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96B9" w14:textId="23595852" w:rsidR="00BF5C75" w:rsidRDefault="00ED76CF" w:rsidP="00FA0BDB">
      <w:pPr>
        <w:spacing w:line="360" w:lineRule="auto"/>
      </w:pPr>
      <w:r>
        <w:t xml:space="preserve">Report: </w:t>
      </w:r>
    </w:p>
    <w:p w14:paraId="7A20C66E" w14:textId="458B2160" w:rsidR="0059070A" w:rsidRDefault="00184FE5" w:rsidP="00FA0BDB">
      <w:pPr>
        <w:spacing w:line="360" w:lineRule="auto"/>
      </w:pPr>
      <w:r>
        <w:t>Crowdfunding is one of the popular ways new business ventures use to finance their business. Small amounts of capital are raised from large numbers of investors. Ventures will launch their businesses on easily accessible social media and crowdfunding websites to solicit funds. Most popular crowdfunding platforms are Kickstarter, Indiegogo, and GoFundMe. Interested investors are allowed to choose from hundreds of projects and contribute as little as $15</w:t>
      </w:r>
      <w:r w:rsidR="0059070A">
        <w:t>.</w:t>
      </w:r>
    </w:p>
    <w:p w14:paraId="701EACAF" w14:textId="5AFAD88C" w:rsidR="0059070A" w:rsidRDefault="0059070A" w:rsidP="00FA0BDB">
      <w:pPr>
        <w:spacing w:line="360" w:lineRule="auto"/>
      </w:pPr>
      <w:r>
        <w:t xml:space="preserve">Crowdfunding places restrictions on people who can fund new business and how much they can contribute.  This </w:t>
      </w:r>
      <w:r w:rsidR="00B94112">
        <w:t>prevents</w:t>
      </w:r>
      <w:r>
        <w:t xml:space="preserve"> the possibility of non-wealth and unsophisticated investors from losing their savings.  Through </w:t>
      </w:r>
      <w:r w:rsidR="00B94112">
        <w:t>crowdfunding,</w:t>
      </w:r>
      <w:r>
        <w:t xml:space="preserve"> </w:t>
      </w:r>
      <w:r w:rsidR="00B94112">
        <w:t>startup</w:t>
      </w:r>
      <w:r>
        <w:t xml:space="preserve"> businesses have been able to raise hundreds of thousands or millions of dollars </w:t>
      </w:r>
      <w:r w:rsidR="00B94112">
        <w:t xml:space="preserve">from individual investors with money to invest. </w:t>
      </w:r>
    </w:p>
    <w:p w14:paraId="5A296A27" w14:textId="4323B1A3" w:rsidR="000A28C5" w:rsidRDefault="000A28C5" w:rsidP="00FA0BDB">
      <w:pPr>
        <w:spacing w:line="360" w:lineRule="auto"/>
      </w:pPr>
      <w:r>
        <w:t xml:space="preserve">This crowdfunding data set was generated from EdX Boot Camps LLC and it’s intended for educational purposes only. The sample size of the data is 1000 with 16 variable points.  To determine hidden trends more variables were created to uncover these trends. The data was sampled from north America, Europe and Australia. Startup companies captured in </w:t>
      </w:r>
      <w:r w:rsidR="009E2744">
        <w:t>the date</w:t>
      </w:r>
      <w:r>
        <w:t xml:space="preserve"> are mostly found in the entertainment industry with a handful of tech companies and restaurants. Below is a brief description of the data set.</w:t>
      </w:r>
    </w:p>
    <w:p w14:paraId="1FECEBFA" w14:textId="1100DD10" w:rsidR="00B94112" w:rsidRDefault="00B94112" w:rsidP="00FA0BDB">
      <w:pPr>
        <w:spacing w:line="360" w:lineRule="auto"/>
      </w:pPr>
      <w:r>
        <w:t>Description of Data Set</w:t>
      </w:r>
    </w:p>
    <w:tbl>
      <w:tblPr>
        <w:tblStyle w:val="TableGrid"/>
        <w:tblW w:w="0" w:type="auto"/>
        <w:tblLook w:val="04A0" w:firstRow="1" w:lastRow="0" w:firstColumn="1" w:lastColumn="0" w:noHBand="0" w:noVBand="1"/>
      </w:tblPr>
      <w:tblGrid>
        <w:gridCol w:w="4675"/>
        <w:gridCol w:w="4675"/>
      </w:tblGrid>
      <w:tr w:rsidR="00B94112" w14:paraId="6B0D6E09" w14:textId="77777777" w:rsidTr="00B94112">
        <w:tc>
          <w:tcPr>
            <w:tcW w:w="4675" w:type="dxa"/>
          </w:tcPr>
          <w:p w14:paraId="340DECC2" w14:textId="7674BA12" w:rsidR="00B94112" w:rsidRDefault="00B94112" w:rsidP="00FA0BDB">
            <w:pPr>
              <w:spacing w:line="360" w:lineRule="auto"/>
            </w:pPr>
            <w:r>
              <w:t>Source</w:t>
            </w:r>
          </w:p>
        </w:tc>
        <w:tc>
          <w:tcPr>
            <w:tcW w:w="4675" w:type="dxa"/>
          </w:tcPr>
          <w:p w14:paraId="15409E81" w14:textId="2B0BA97B" w:rsidR="00B94112" w:rsidRDefault="00B94112" w:rsidP="00FA0BDB">
            <w:pPr>
              <w:spacing w:line="360" w:lineRule="auto"/>
            </w:pPr>
            <w:r>
              <w:t>EdX Boot Cam</w:t>
            </w:r>
            <w:r w:rsidR="00FE6ACC">
              <w:t>ps LLC</w:t>
            </w:r>
          </w:p>
        </w:tc>
      </w:tr>
      <w:tr w:rsidR="00B94112" w14:paraId="642DDA4D" w14:textId="77777777" w:rsidTr="00B94112">
        <w:tc>
          <w:tcPr>
            <w:tcW w:w="4675" w:type="dxa"/>
          </w:tcPr>
          <w:p w14:paraId="7D4351CB" w14:textId="0EC07465" w:rsidR="00B94112" w:rsidRDefault="00B94112" w:rsidP="00FA0BDB">
            <w:pPr>
              <w:spacing w:line="360" w:lineRule="auto"/>
            </w:pPr>
            <w:r>
              <w:t>Sample Size</w:t>
            </w:r>
          </w:p>
        </w:tc>
        <w:tc>
          <w:tcPr>
            <w:tcW w:w="4675" w:type="dxa"/>
          </w:tcPr>
          <w:p w14:paraId="1AA5C2C6" w14:textId="57EBB878" w:rsidR="00B94112" w:rsidRDefault="00FE6ACC" w:rsidP="00FA0BDB">
            <w:pPr>
              <w:spacing w:line="360" w:lineRule="auto"/>
            </w:pPr>
            <w:r>
              <w:t>1000</w:t>
            </w:r>
          </w:p>
        </w:tc>
      </w:tr>
      <w:tr w:rsidR="00B94112" w14:paraId="55377D10" w14:textId="77777777" w:rsidTr="00B94112">
        <w:tc>
          <w:tcPr>
            <w:tcW w:w="4675" w:type="dxa"/>
          </w:tcPr>
          <w:p w14:paraId="4E1CBAE7" w14:textId="16B50D1F" w:rsidR="00B94112" w:rsidRDefault="00B94112" w:rsidP="00FA0BDB">
            <w:pPr>
              <w:spacing w:line="360" w:lineRule="auto"/>
            </w:pPr>
            <w:r>
              <w:t>Variables</w:t>
            </w:r>
          </w:p>
        </w:tc>
        <w:tc>
          <w:tcPr>
            <w:tcW w:w="4675" w:type="dxa"/>
          </w:tcPr>
          <w:p w14:paraId="3F3AFE38" w14:textId="72D47D38" w:rsidR="00B94112" w:rsidRDefault="00FE6ACC" w:rsidP="00FA0BDB">
            <w:pPr>
              <w:spacing w:line="360" w:lineRule="auto"/>
            </w:pPr>
            <w:r>
              <w:t>Name, blurb, goal, pledged, outcome, backers count, average donation, country, currency, launched at, deadline, staff pick, spotlight and category and sub-category.</w:t>
            </w:r>
          </w:p>
        </w:tc>
      </w:tr>
      <w:tr w:rsidR="00B94112" w14:paraId="4CF2C541" w14:textId="77777777" w:rsidTr="00B94112">
        <w:tc>
          <w:tcPr>
            <w:tcW w:w="4675" w:type="dxa"/>
          </w:tcPr>
          <w:p w14:paraId="4CC5BD08" w14:textId="6577CB12" w:rsidR="00B94112" w:rsidRDefault="00B94112" w:rsidP="00FA0BDB">
            <w:pPr>
              <w:spacing w:line="360" w:lineRule="auto"/>
            </w:pPr>
            <w:r>
              <w:t>Region</w:t>
            </w:r>
          </w:p>
        </w:tc>
        <w:tc>
          <w:tcPr>
            <w:tcW w:w="4675" w:type="dxa"/>
          </w:tcPr>
          <w:p w14:paraId="58F1BD29" w14:textId="3EA99459" w:rsidR="00B94112" w:rsidRDefault="00FE6ACC" w:rsidP="00FA0BDB">
            <w:pPr>
              <w:spacing w:line="360" w:lineRule="auto"/>
            </w:pPr>
            <w:r>
              <w:t>North America, Europe, and Australia</w:t>
            </w:r>
          </w:p>
        </w:tc>
      </w:tr>
      <w:tr w:rsidR="00B94112" w14:paraId="0D5CD22A" w14:textId="77777777" w:rsidTr="00B94112">
        <w:tc>
          <w:tcPr>
            <w:tcW w:w="4675" w:type="dxa"/>
          </w:tcPr>
          <w:p w14:paraId="18863604" w14:textId="7B1CCD9E" w:rsidR="00B94112" w:rsidRDefault="00FE6ACC" w:rsidP="00FA0BDB">
            <w:pPr>
              <w:spacing w:line="360" w:lineRule="auto"/>
            </w:pPr>
            <w:r>
              <w:t>Country</w:t>
            </w:r>
          </w:p>
        </w:tc>
        <w:tc>
          <w:tcPr>
            <w:tcW w:w="4675" w:type="dxa"/>
          </w:tcPr>
          <w:p w14:paraId="6FD30467" w14:textId="2C88200D" w:rsidR="00B94112" w:rsidRDefault="00FE6ACC" w:rsidP="00FA0BDB">
            <w:pPr>
              <w:spacing w:line="360" w:lineRule="auto"/>
            </w:pPr>
            <w:r>
              <w:t>USA, UK, Canada, Denmark, Australia,</w:t>
            </w:r>
          </w:p>
        </w:tc>
      </w:tr>
      <w:tr w:rsidR="00B94112" w14:paraId="16F6BA3F" w14:textId="77777777" w:rsidTr="00B94112">
        <w:tc>
          <w:tcPr>
            <w:tcW w:w="4675" w:type="dxa"/>
          </w:tcPr>
          <w:p w14:paraId="3CF75AB8" w14:textId="4D094ACC" w:rsidR="00B94112" w:rsidRDefault="00B94112" w:rsidP="00FA0BDB">
            <w:pPr>
              <w:spacing w:line="360" w:lineRule="auto"/>
            </w:pPr>
            <w:r>
              <w:t>purpose</w:t>
            </w:r>
          </w:p>
        </w:tc>
        <w:tc>
          <w:tcPr>
            <w:tcW w:w="4675" w:type="dxa"/>
          </w:tcPr>
          <w:p w14:paraId="786006ED" w14:textId="6C8E8D7C" w:rsidR="00B94112" w:rsidRDefault="00FE6ACC" w:rsidP="00FA0BDB">
            <w:pPr>
              <w:spacing w:line="360" w:lineRule="auto"/>
            </w:pPr>
            <w:r>
              <w:t>To determine the success rate of crowdfunding campaign for new startup businesses.</w:t>
            </w:r>
          </w:p>
        </w:tc>
      </w:tr>
      <w:tr w:rsidR="00B94112" w14:paraId="61A17E7C" w14:textId="77777777" w:rsidTr="00B94112">
        <w:tc>
          <w:tcPr>
            <w:tcW w:w="4675" w:type="dxa"/>
          </w:tcPr>
          <w:p w14:paraId="1253B804" w14:textId="77777777" w:rsidR="00B94112" w:rsidRDefault="00B94112" w:rsidP="00FA0BDB">
            <w:pPr>
              <w:spacing w:line="360" w:lineRule="auto"/>
            </w:pPr>
          </w:p>
        </w:tc>
        <w:tc>
          <w:tcPr>
            <w:tcW w:w="4675" w:type="dxa"/>
          </w:tcPr>
          <w:p w14:paraId="30C71C9D" w14:textId="77777777" w:rsidR="00B94112" w:rsidRDefault="00B94112" w:rsidP="00FA0BDB">
            <w:pPr>
              <w:spacing w:line="360" w:lineRule="auto"/>
            </w:pPr>
          </w:p>
        </w:tc>
      </w:tr>
    </w:tbl>
    <w:p w14:paraId="466628E7" w14:textId="77777777" w:rsidR="00B94112" w:rsidRDefault="00B94112" w:rsidP="00FA0BDB">
      <w:pPr>
        <w:spacing w:line="360" w:lineRule="auto"/>
      </w:pPr>
    </w:p>
    <w:p w14:paraId="0C774E19" w14:textId="366A2BEE" w:rsidR="00ED76CF" w:rsidRDefault="00ED76CF" w:rsidP="00FA0BDB">
      <w:pPr>
        <w:spacing w:line="360" w:lineRule="auto"/>
      </w:pPr>
      <w:r>
        <w:t>3 Conclusions from the data set.</w:t>
      </w:r>
    </w:p>
    <w:p w14:paraId="5D518AD4" w14:textId="379DEB3F" w:rsidR="00ED76CF" w:rsidRDefault="00ED76CF" w:rsidP="00FA0BDB">
      <w:pPr>
        <w:pStyle w:val="ListParagraph"/>
        <w:numPr>
          <w:ilvl w:val="0"/>
          <w:numId w:val="1"/>
        </w:numPr>
        <w:spacing w:line="360" w:lineRule="auto"/>
      </w:pPr>
      <w:r>
        <w:lastRenderedPageBreak/>
        <w:t xml:space="preserve">A crowdfunding campaign requires many people (investors) to contribute relatively small </w:t>
      </w:r>
      <w:r w:rsidR="00430655">
        <w:t>amounts</w:t>
      </w:r>
      <w:r>
        <w:t xml:space="preserve"> of cash.</w:t>
      </w:r>
    </w:p>
    <w:p w14:paraId="41856863" w14:textId="21F79FEF" w:rsidR="00ED76CF" w:rsidRDefault="00ED76CF" w:rsidP="00FA0BDB">
      <w:pPr>
        <w:pStyle w:val="ListParagraph"/>
        <w:numPr>
          <w:ilvl w:val="0"/>
          <w:numId w:val="1"/>
        </w:numPr>
        <w:spacing w:line="360" w:lineRule="auto"/>
      </w:pPr>
      <w:r>
        <w:t>Large numbers of startups are always competing for funds from crowdfunding campaigns.</w:t>
      </w:r>
    </w:p>
    <w:p w14:paraId="0C892D03" w14:textId="405AB6F2" w:rsidR="00430655" w:rsidRDefault="00430655" w:rsidP="00FA0BDB">
      <w:pPr>
        <w:pStyle w:val="ListParagraph"/>
        <w:numPr>
          <w:ilvl w:val="0"/>
          <w:numId w:val="1"/>
        </w:numPr>
        <w:spacing w:line="360" w:lineRule="auto"/>
      </w:pPr>
      <w:r>
        <w:t>The outcome of a campaign does not necessarily depend on the number of pledges a campaign receives.</w:t>
      </w:r>
    </w:p>
    <w:p w14:paraId="58BFAA79" w14:textId="27D0449F" w:rsidR="00430655" w:rsidRDefault="00430655" w:rsidP="00FA0BDB">
      <w:pPr>
        <w:spacing w:line="360" w:lineRule="auto"/>
      </w:pPr>
      <w:r>
        <w:t>Limitation of Data Set</w:t>
      </w:r>
    </w:p>
    <w:p w14:paraId="29E3E25C" w14:textId="6C6504FB" w:rsidR="00430655" w:rsidRDefault="00430655" w:rsidP="00FA0BDB">
      <w:pPr>
        <w:pStyle w:val="ListParagraph"/>
        <w:numPr>
          <w:ilvl w:val="0"/>
          <w:numId w:val="2"/>
        </w:numPr>
        <w:spacing w:line="360" w:lineRule="auto"/>
      </w:pPr>
      <w:r>
        <w:t>The data se</w:t>
      </w:r>
      <w:r w:rsidR="00966625">
        <w:t>t covers</w:t>
      </w:r>
      <w:r>
        <w:t xml:space="preserve"> a few </w:t>
      </w:r>
      <w:r w:rsidR="00966625">
        <w:t>countries.</w:t>
      </w:r>
    </w:p>
    <w:p w14:paraId="79A61F48" w14:textId="18B3661C" w:rsidR="00430655" w:rsidRDefault="00430655" w:rsidP="00FA0BDB">
      <w:pPr>
        <w:pStyle w:val="ListParagraph"/>
        <w:numPr>
          <w:ilvl w:val="0"/>
          <w:numId w:val="2"/>
        </w:numPr>
        <w:spacing w:line="360" w:lineRule="auto"/>
      </w:pPr>
      <w:r>
        <w:t xml:space="preserve">The data </w:t>
      </w:r>
      <w:r w:rsidR="00966625">
        <w:t xml:space="preserve">is </w:t>
      </w:r>
      <w:r>
        <w:t>focused more on the en</w:t>
      </w:r>
      <w:r w:rsidR="00966625">
        <w:t>tertainment industry with a handful of tech companies.</w:t>
      </w:r>
    </w:p>
    <w:p w14:paraId="667535CF" w14:textId="153F5CE0" w:rsidR="00966625" w:rsidRDefault="00EE01A6" w:rsidP="00FA0BDB">
      <w:pPr>
        <w:pStyle w:val="ListParagraph"/>
        <w:numPr>
          <w:ilvl w:val="0"/>
          <w:numId w:val="2"/>
        </w:numPr>
        <w:spacing w:line="360" w:lineRule="auto"/>
      </w:pPr>
      <w:r>
        <w:t>The time period between date created conversion and date ended conversion is not enough, they’ll within one year.</w:t>
      </w:r>
    </w:p>
    <w:p w14:paraId="38FA6374" w14:textId="4BCC11A5" w:rsidR="00B358BB" w:rsidRDefault="00B358BB" w:rsidP="00FA0BDB">
      <w:pPr>
        <w:spacing w:line="360" w:lineRule="auto"/>
      </w:pPr>
      <w:r>
        <w:t xml:space="preserve">Possible table and/or Graphs </w:t>
      </w:r>
      <w:r w:rsidR="00657B79">
        <w:t>that could be created with additional value.</w:t>
      </w:r>
    </w:p>
    <w:p w14:paraId="699FA557" w14:textId="36D1E5D2" w:rsidR="00657B79" w:rsidRDefault="00657B79" w:rsidP="00FA0BDB">
      <w:pPr>
        <w:spacing w:line="360" w:lineRule="auto"/>
      </w:pPr>
      <w:r>
        <w:t>Graphs</w:t>
      </w:r>
    </w:p>
    <w:p w14:paraId="6932A64C" w14:textId="6BFBE95B" w:rsidR="00657B79" w:rsidRDefault="00657B79" w:rsidP="00FA0BDB">
      <w:pPr>
        <w:pStyle w:val="ListParagraph"/>
        <w:numPr>
          <w:ilvl w:val="0"/>
          <w:numId w:val="3"/>
        </w:numPr>
        <w:spacing w:line="360" w:lineRule="auto"/>
      </w:pPr>
      <w:r>
        <w:t>Pie Chart- to provide accurate visualization of campaign outcome.</w:t>
      </w:r>
    </w:p>
    <w:p w14:paraId="7DC2FDC3" w14:textId="07C5CBB9" w:rsidR="00657B79" w:rsidRDefault="00657B79" w:rsidP="00FA0BDB">
      <w:pPr>
        <w:pStyle w:val="ListParagraph"/>
        <w:numPr>
          <w:ilvl w:val="0"/>
          <w:numId w:val="3"/>
        </w:numPr>
        <w:spacing w:line="360" w:lineRule="auto"/>
      </w:pPr>
      <w:r>
        <w:t>Unstacked Bar Chart for easy comparison, at times comparing stacked bar chart is strenuous.</w:t>
      </w:r>
    </w:p>
    <w:p w14:paraId="3FC94126" w14:textId="7707F993" w:rsidR="00657B79" w:rsidRDefault="00657B79" w:rsidP="00FA0BDB">
      <w:pPr>
        <w:pStyle w:val="ListParagraph"/>
        <w:numPr>
          <w:ilvl w:val="0"/>
          <w:numId w:val="3"/>
        </w:numPr>
        <w:spacing w:line="360" w:lineRule="auto"/>
      </w:pPr>
      <w:r>
        <w:t>Histogram</w:t>
      </w:r>
    </w:p>
    <w:p w14:paraId="696D2264" w14:textId="77777777" w:rsidR="00E56159" w:rsidRDefault="00E56159" w:rsidP="00FA0BDB">
      <w:pPr>
        <w:spacing w:line="360" w:lineRule="auto"/>
      </w:pPr>
    </w:p>
    <w:p w14:paraId="0815EAD9" w14:textId="63EB50CC" w:rsidR="00E56159" w:rsidRDefault="00E56159" w:rsidP="00FA0BDB">
      <w:pPr>
        <w:spacing w:line="360" w:lineRule="auto"/>
      </w:pPr>
      <w:r>
        <w:t xml:space="preserve">Tables </w:t>
      </w:r>
    </w:p>
    <w:p w14:paraId="49DBC8C0" w14:textId="0D9FF159" w:rsidR="00E56159" w:rsidRDefault="00E56159" w:rsidP="00FA0BDB">
      <w:pPr>
        <w:pStyle w:val="ListParagraph"/>
        <w:numPr>
          <w:ilvl w:val="0"/>
          <w:numId w:val="4"/>
        </w:numPr>
        <w:spacing w:line="360" w:lineRule="auto"/>
      </w:pPr>
      <w:r>
        <w:t>How companies do after successful campaign</w:t>
      </w:r>
      <w:r w:rsidR="003E270D">
        <w:t>.</w:t>
      </w:r>
    </w:p>
    <w:p w14:paraId="32FE0FBA" w14:textId="023BD5AC" w:rsidR="00E56159" w:rsidRDefault="00E56159" w:rsidP="00FA0BDB">
      <w:pPr>
        <w:pStyle w:val="ListParagraph"/>
        <w:numPr>
          <w:ilvl w:val="0"/>
          <w:numId w:val="4"/>
        </w:numPr>
        <w:spacing w:line="360" w:lineRule="auto"/>
      </w:pPr>
      <w:r>
        <w:t>Countries with most successful/</w:t>
      </w:r>
      <w:r w:rsidR="003E270D">
        <w:t>failed campaigns.</w:t>
      </w:r>
    </w:p>
    <w:p w14:paraId="045D3811" w14:textId="17393278" w:rsidR="003E270D" w:rsidRDefault="003E270D" w:rsidP="00FA0BDB">
      <w:pPr>
        <w:pStyle w:val="ListParagraph"/>
        <w:numPr>
          <w:ilvl w:val="0"/>
          <w:numId w:val="4"/>
        </w:numPr>
        <w:spacing w:line="360" w:lineRule="auto"/>
      </w:pPr>
      <w:r>
        <w:t>Countries where most pledges come from.</w:t>
      </w:r>
    </w:p>
    <w:p w14:paraId="4945FF16" w14:textId="57AB068F" w:rsidR="003E270D" w:rsidRDefault="003E270D" w:rsidP="00FA0BDB">
      <w:pPr>
        <w:spacing w:line="360" w:lineRule="auto"/>
      </w:pPr>
      <w:r>
        <w:t>This additional information will uncover areas where campaigns are most likely to be successful.</w:t>
      </w:r>
    </w:p>
    <w:p w14:paraId="40C786DA" w14:textId="77777777" w:rsidR="00873258" w:rsidRDefault="00873258" w:rsidP="00FA0BDB">
      <w:pPr>
        <w:spacing w:line="360" w:lineRule="auto"/>
      </w:pPr>
    </w:p>
    <w:p w14:paraId="5F1CE6C3" w14:textId="7DC14B24" w:rsidR="00873258" w:rsidRDefault="00873258" w:rsidP="00FA0BDB">
      <w:pPr>
        <w:spacing w:line="360" w:lineRule="auto"/>
      </w:pPr>
      <w:r>
        <w:t>Statistical Analysis:</w:t>
      </w:r>
    </w:p>
    <w:p w14:paraId="5B9C9644" w14:textId="5F9F96F6" w:rsidR="00873258" w:rsidRDefault="00873258" w:rsidP="00FA0BDB">
      <w:pPr>
        <w:spacing w:line="360" w:lineRule="auto"/>
      </w:pPr>
      <w:r>
        <w:t>Successful                                                                                                          Failed</w:t>
      </w:r>
    </w:p>
    <w:tbl>
      <w:tblPr>
        <w:tblW w:w="9840" w:type="dxa"/>
        <w:tblLook w:val="04A0" w:firstRow="1" w:lastRow="0" w:firstColumn="1" w:lastColumn="0" w:noHBand="0" w:noVBand="1"/>
      </w:tblPr>
      <w:tblGrid>
        <w:gridCol w:w="2840"/>
        <w:gridCol w:w="2140"/>
        <w:gridCol w:w="1060"/>
        <w:gridCol w:w="1900"/>
        <w:gridCol w:w="1900"/>
      </w:tblGrid>
      <w:tr w:rsidR="00873258" w:rsidRPr="00873258" w14:paraId="4003D2BD" w14:textId="77777777" w:rsidTr="00873258">
        <w:trPr>
          <w:trHeight w:val="312"/>
        </w:trPr>
        <w:tc>
          <w:tcPr>
            <w:tcW w:w="2840" w:type="dxa"/>
            <w:tcBorders>
              <w:top w:val="nil"/>
              <w:left w:val="nil"/>
              <w:bottom w:val="nil"/>
              <w:right w:val="nil"/>
            </w:tcBorders>
            <w:shd w:val="clear" w:color="000000" w:fill="FFFF00"/>
            <w:noWrap/>
            <w:vAlign w:val="bottom"/>
            <w:hideMark/>
          </w:tcPr>
          <w:p w14:paraId="0CAFB32C"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Mean</w:t>
            </w:r>
          </w:p>
        </w:tc>
        <w:tc>
          <w:tcPr>
            <w:tcW w:w="2140" w:type="dxa"/>
            <w:tcBorders>
              <w:top w:val="nil"/>
              <w:left w:val="nil"/>
              <w:bottom w:val="nil"/>
              <w:right w:val="nil"/>
            </w:tcBorders>
            <w:shd w:val="clear" w:color="000000" w:fill="FFFF00"/>
            <w:noWrap/>
            <w:vAlign w:val="bottom"/>
            <w:hideMark/>
          </w:tcPr>
          <w:p w14:paraId="4B7962A5"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560.8</w:t>
            </w:r>
          </w:p>
        </w:tc>
        <w:tc>
          <w:tcPr>
            <w:tcW w:w="1060" w:type="dxa"/>
            <w:tcBorders>
              <w:top w:val="nil"/>
              <w:left w:val="nil"/>
              <w:bottom w:val="nil"/>
              <w:right w:val="nil"/>
            </w:tcBorders>
            <w:shd w:val="clear" w:color="auto" w:fill="auto"/>
            <w:noWrap/>
            <w:vAlign w:val="bottom"/>
            <w:hideMark/>
          </w:tcPr>
          <w:p w14:paraId="0ACA2E9C"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096AC1E9"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Mean</w:t>
            </w:r>
          </w:p>
        </w:tc>
        <w:tc>
          <w:tcPr>
            <w:tcW w:w="1900" w:type="dxa"/>
            <w:tcBorders>
              <w:top w:val="nil"/>
              <w:left w:val="nil"/>
              <w:bottom w:val="nil"/>
              <w:right w:val="nil"/>
            </w:tcBorders>
            <w:shd w:val="clear" w:color="000000" w:fill="FFC000"/>
            <w:noWrap/>
            <w:vAlign w:val="bottom"/>
            <w:hideMark/>
          </w:tcPr>
          <w:p w14:paraId="5F9DB3B3"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97.0</w:t>
            </w:r>
          </w:p>
        </w:tc>
      </w:tr>
      <w:tr w:rsidR="00873258" w:rsidRPr="00873258" w14:paraId="615B88C3" w14:textId="77777777" w:rsidTr="00873258">
        <w:trPr>
          <w:trHeight w:val="312"/>
        </w:trPr>
        <w:tc>
          <w:tcPr>
            <w:tcW w:w="2840" w:type="dxa"/>
            <w:tcBorders>
              <w:top w:val="nil"/>
              <w:left w:val="nil"/>
              <w:bottom w:val="nil"/>
              <w:right w:val="nil"/>
            </w:tcBorders>
            <w:shd w:val="clear" w:color="000000" w:fill="FFFF00"/>
            <w:noWrap/>
            <w:vAlign w:val="bottom"/>
            <w:hideMark/>
          </w:tcPr>
          <w:p w14:paraId="6DB86809"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Median</w:t>
            </w:r>
          </w:p>
        </w:tc>
        <w:tc>
          <w:tcPr>
            <w:tcW w:w="2140" w:type="dxa"/>
            <w:tcBorders>
              <w:top w:val="nil"/>
              <w:left w:val="nil"/>
              <w:bottom w:val="nil"/>
              <w:right w:val="nil"/>
            </w:tcBorders>
            <w:shd w:val="clear" w:color="000000" w:fill="FFFF00"/>
            <w:noWrap/>
            <w:vAlign w:val="bottom"/>
            <w:hideMark/>
          </w:tcPr>
          <w:p w14:paraId="567C1721"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220.0</w:t>
            </w:r>
          </w:p>
        </w:tc>
        <w:tc>
          <w:tcPr>
            <w:tcW w:w="1060" w:type="dxa"/>
            <w:tcBorders>
              <w:top w:val="nil"/>
              <w:left w:val="nil"/>
              <w:bottom w:val="nil"/>
              <w:right w:val="nil"/>
            </w:tcBorders>
            <w:shd w:val="clear" w:color="auto" w:fill="auto"/>
            <w:noWrap/>
            <w:vAlign w:val="bottom"/>
            <w:hideMark/>
          </w:tcPr>
          <w:p w14:paraId="7190428C"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4655F4D6"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Median</w:t>
            </w:r>
          </w:p>
        </w:tc>
        <w:tc>
          <w:tcPr>
            <w:tcW w:w="1900" w:type="dxa"/>
            <w:tcBorders>
              <w:top w:val="nil"/>
              <w:left w:val="nil"/>
              <w:bottom w:val="nil"/>
              <w:right w:val="nil"/>
            </w:tcBorders>
            <w:shd w:val="clear" w:color="000000" w:fill="FFC000"/>
            <w:noWrap/>
            <w:vAlign w:val="bottom"/>
            <w:hideMark/>
          </w:tcPr>
          <w:p w14:paraId="6A9E98DF"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44.0</w:t>
            </w:r>
          </w:p>
        </w:tc>
      </w:tr>
      <w:tr w:rsidR="00873258" w:rsidRPr="00873258" w14:paraId="0A58B219" w14:textId="77777777" w:rsidTr="00873258">
        <w:trPr>
          <w:trHeight w:val="312"/>
        </w:trPr>
        <w:tc>
          <w:tcPr>
            <w:tcW w:w="2840" w:type="dxa"/>
            <w:tcBorders>
              <w:top w:val="nil"/>
              <w:left w:val="nil"/>
              <w:bottom w:val="nil"/>
              <w:right w:val="nil"/>
            </w:tcBorders>
            <w:shd w:val="clear" w:color="000000" w:fill="FFFF00"/>
            <w:noWrap/>
            <w:vAlign w:val="bottom"/>
            <w:hideMark/>
          </w:tcPr>
          <w:p w14:paraId="0F9A944F"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lastRenderedPageBreak/>
              <w:t>Min</w:t>
            </w:r>
          </w:p>
        </w:tc>
        <w:tc>
          <w:tcPr>
            <w:tcW w:w="2140" w:type="dxa"/>
            <w:tcBorders>
              <w:top w:val="nil"/>
              <w:left w:val="nil"/>
              <w:bottom w:val="nil"/>
              <w:right w:val="nil"/>
            </w:tcBorders>
            <w:shd w:val="clear" w:color="000000" w:fill="FFFF00"/>
            <w:noWrap/>
            <w:vAlign w:val="bottom"/>
            <w:hideMark/>
          </w:tcPr>
          <w:p w14:paraId="38384AA7"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98.0</w:t>
            </w:r>
          </w:p>
        </w:tc>
        <w:tc>
          <w:tcPr>
            <w:tcW w:w="1060" w:type="dxa"/>
            <w:tcBorders>
              <w:top w:val="nil"/>
              <w:left w:val="nil"/>
              <w:bottom w:val="nil"/>
              <w:right w:val="nil"/>
            </w:tcBorders>
            <w:shd w:val="clear" w:color="auto" w:fill="auto"/>
            <w:noWrap/>
            <w:vAlign w:val="bottom"/>
            <w:hideMark/>
          </w:tcPr>
          <w:p w14:paraId="6294CC19"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0166B659"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Min</w:t>
            </w:r>
          </w:p>
        </w:tc>
        <w:tc>
          <w:tcPr>
            <w:tcW w:w="1900" w:type="dxa"/>
            <w:tcBorders>
              <w:top w:val="nil"/>
              <w:left w:val="nil"/>
              <w:bottom w:val="nil"/>
              <w:right w:val="nil"/>
            </w:tcBorders>
            <w:shd w:val="clear" w:color="000000" w:fill="FFC000"/>
            <w:noWrap/>
            <w:vAlign w:val="bottom"/>
            <w:hideMark/>
          </w:tcPr>
          <w:p w14:paraId="5C6E30F3"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44.0</w:t>
            </w:r>
          </w:p>
        </w:tc>
      </w:tr>
      <w:tr w:rsidR="00873258" w:rsidRPr="00873258" w14:paraId="0658B7B2" w14:textId="77777777" w:rsidTr="00873258">
        <w:trPr>
          <w:trHeight w:val="312"/>
        </w:trPr>
        <w:tc>
          <w:tcPr>
            <w:tcW w:w="2840" w:type="dxa"/>
            <w:tcBorders>
              <w:top w:val="nil"/>
              <w:left w:val="nil"/>
              <w:bottom w:val="nil"/>
              <w:right w:val="nil"/>
            </w:tcBorders>
            <w:shd w:val="clear" w:color="000000" w:fill="FFFF00"/>
            <w:noWrap/>
            <w:vAlign w:val="bottom"/>
            <w:hideMark/>
          </w:tcPr>
          <w:p w14:paraId="07B52388"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Max</w:t>
            </w:r>
          </w:p>
        </w:tc>
        <w:tc>
          <w:tcPr>
            <w:tcW w:w="2140" w:type="dxa"/>
            <w:tcBorders>
              <w:top w:val="nil"/>
              <w:left w:val="nil"/>
              <w:bottom w:val="nil"/>
              <w:right w:val="nil"/>
            </w:tcBorders>
            <w:shd w:val="clear" w:color="000000" w:fill="FFFF00"/>
            <w:noWrap/>
            <w:vAlign w:val="bottom"/>
            <w:hideMark/>
          </w:tcPr>
          <w:p w14:paraId="4B20BF98"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1425.0</w:t>
            </w:r>
          </w:p>
        </w:tc>
        <w:tc>
          <w:tcPr>
            <w:tcW w:w="1060" w:type="dxa"/>
            <w:tcBorders>
              <w:top w:val="nil"/>
              <w:left w:val="nil"/>
              <w:bottom w:val="nil"/>
              <w:right w:val="nil"/>
            </w:tcBorders>
            <w:shd w:val="clear" w:color="auto" w:fill="auto"/>
            <w:noWrap/>
            <w:vAlign w:val="bottom"/>
            <w:hideMark/>
          </w:tcPr>
          <w:p w14:paraId="426303FC"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6B9CA540"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Max</w:t>
            </w:r>
          </w:p>
        </w:tc>
        <w:tc>
          <w:tcPr>
            <w:tcW w:w="1900" w:type="dxa"/>
            <w:tcBorders>
              <w:top w:val="nil"/>
              <w:left w:val="nil"/>
              <w:bottom w:val="nil"/>
              <w:right w:val="nil"/>
            </w:tcBorders>
            <w:shd w:val="clear" w:color="000000" w:fill="FFC000"/>
            <w:noWrap/>
            <w:vAlign w:val="bottom"/>
            <w:hideMark/>
          </w:tcPr>
          <w:p w14:paraId="737C65C2"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452.0</w:t>
            </w:r>
          </w:p>
        </w:tc>
      </w:tr>
      <w:tr w:rsidR="00873258" w:rsidRPr="00873258" w14:paraId="164FAE6F" w14:textId="77777777" w:rsidTr="00873258">
        <w:trPr>
          <w:trHeight w:val="312"/>
        </w:trPr>
        <w:tc>
          <w:tcPr>
            <w:tcW w:w="2840" w:type="dxa"/>
            <w:tcBorders>
              <w:top w:val="nil"/>
              <w:left w:val="nil"/>
              <w:bottom w:val="nil"/>
              <w:right w:val="nil"/>
            </w:tcBorders>
            <w:shd w:val="clear" w:color="000000" w:fill="FFFF00"/>
            <w:noWrap/>
            <w:vAlign w:val="bottom"/>
            <w:hideMark/>
          </w:tcPr>
          <w:p w14:paraId="148BD0A7"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Variance</w:t>
            </w:r>
          </w:p>
        </w:tc>
        <w:tc>
          <w:tcPr>
            <w:tcW w:w="2140" w:type="dxa"/>
            <w:tcBorders>
              <w:top w:val="nil"/>
              <w:left w:val="nil"/>
              <w:bottom w:val="nil"/>
              <w:right w:val="nil"/>
            </w:tcBorders>
            <w:shd w:val="clear" w:color="000000" w:fill="FFFF00"/>
            <w:noWrap/>
            <w:vAlign w:val="bottom"/>
            <w:hideMark/>
          </w:tcPr>
          <w:p w14:paraId="52D057DB"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320441.1</w:t>
            </w:r>
          </w:p>
        </w:tc>
        <w:tc>
          <w:tcPr>
            <w:tcW w:w="1060" w:type="dxa"/>
            <w:tcBorders>
              <w:top w:val="nil"/>
              <w:left w:val="nil"/>
              <w:bottom w:val="nil"/>
              <w:right w:val="nil"/>
            </w:tcBorders>
            <w:shd w:val="clear" w:color="auto" w:fill="auto"/>
            <w:noWrap/>
            <w:vAlign w:val="bottom"/>
            <w:hideMark/>
          </w:tcPr>
          <w:p w14:paraId="1DC74773"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010CC6EC"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Variance</w:t>
            </w:r>
          </w:p>
        </w:tc>
        <w:tc>
          <w:tcPr>
            <w:tcW w:w="1900" w:type="dxa"/>
            <w:tcBorders>
              <w:top w:val="nil"/>
              <w:left w:val="nil"/>
              <w:bottom w:val="nil"/>
              <w:right w:val="nil"/>
            </w:tcBorders>
            <w:shd w:val="clear" w:color="000000" w:fill="FFC000"/>
            <w:noWrap/>
            <w:vAlign w:val="bottom"/>
            <w:hideMark/>
          </w:tcPr>
          <w:p w14:paraId="6237EB6D"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18780.2</w:t>
            </w:r>
          </w:p>
        </w:tc>
      </w:tr>
      <w:tr w:rsidR="00873258" w:rsidRPr="00873258" w14:paraId="4E404FB1" w14:textId="77777777" w:rsidTr="00873258">
        <w:trPr>
          <w:trHeight w:val="312"/>
        </w:trPr>
        <w:tc>
          <w:tcPr>
            <w:tcW w:w="2840" w:type="dxa"/>
            <w:tcBorders>
              <w:top w:val="nil"/>
              <w:left w:val="nil"/>
              <w:bottom w:val="nil"/>
              <w:right w:val="nil"/>
            </w:tcBorders>
            <w:shd w:val="clear" w:color="000000" w:fill="FFFF00"/>
            <w:noWrap/>
            <w:vAlign w:val="bottom"/>
            <w:hideMark/>
          </w:tcPr>
          <w:p w14:paraId="09E3A49B"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St. Deviation</w:t>
            </w:r>
          </w:p>
        </w:tc>
        <w:tc>
          <w:tcPr>
            <w:tcW w:w="2140" w:type="dxa"/>
            <w:tcBorders>
              <w:top w:val="nil"/>
              <w:left w:val="nil"/>
              <w:bottom w:val="nil"/>
              <w:right w:val="nil"/>
            </w:tcBorders>
            <w:shd w:val="clear" w:color="000000" w:fill="FFFF00"/>
            <w:noWrap/>
            <w:vAlign w:val="bottom"/>
            <w:hideMark/>
          </w:tcPr>
          <w:p w14:paraId="7D2E7E56"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566.1</w:t>
            </w:r>
          </w:p>
        </w:tc>
        <w:tc>
          <w:tcPr>
            <w:tcW w:w="1060" w:type="dxa"/>
            <w:tcBorders>
              <w:top w:val="nil"/>
              <w:left w:val="nil"/>
              <w:bottom w:val="nil"/>
              <w:right w:val="nil"/>
            </w:tcBorders>
            <w:shd w:val="clear" w:color="auto" w:fill="auto"/>
            <w:noWrap/>
            <w:vAlign w:val="bottom"/>
            <w:hideMark/>
          </w:tcPr>
          <w:p w14:paraId="7BB193A3"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hideMark/>
          </w:tcPr>
          <w:p w14:paraId="6679D1B8"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r w:rsidRPr="00873258">
              <w:rPr>
                <w:rFonts w:ascii="Calibri" w:eastAsia="Times New Roman" w:hAnsi="Calibri" w:cs="Calibri"/>
                <w:b/>
                <w:bCs/>
                <w:color w:val="000000"/>
                <w:kern w:val="0"/>
                <w:sz w:val="24"/>
                <w:szCs w:val="24"/>
                <w14:ligatures w14:val="none"/>
              </w:rPr>
              <w:t>St. Deviation</w:t>
            </w:r>
          </w:p>
        </w:tc>
        <w:tc>
          <w:tcPr>
            <w:tcW w:w="1900" w:type="dxa"/>
            <w:tcBorders>
              <w:top w:val="nil"/>
              <w:left w:val="nil"/>
              <w:bottom w:val="nil"/>
              <w:right w:val="nil"/>
            </w:tcBorders>
            <w:shd w:val="clear" w:color="000000" w:fill="FFC000"/>
            <w:noWrap/>
            <w:vAlign w:val="bottom"/>
            <w:hideMark/>
          </w:tcPr>
          <w:p w14:paraId="6A6F6345"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r w:rsidRPr="00873258">
              <w:rPr>
                <w:rFonts w:ascii="Calibri" w:eastAsia="Times New Roman" w:hAnsi="Calibri" w:cs="Calibri"/>
                <w:color w:val="000000"/>
                <w:kern w:val="0"/>
                <w:sz w:val="24"/>
                <w:szCs w:val="24"/>
                <w14:ligatures w14:val="none"/>
              </w:rPr>
              <w:t>137.0</w:t>
            </w:r>
          </w:p>
        </w:tc>
      </w:tr>
      <w:tr w:rsidR="00873258" w:rsidRPr="00873258" w14:paraId="4504A89E" w14:textId="77777777" w:rsidTr="00873258">
        <w:trPr>
          <w:trHeight w:val="312"/>
        </w:trPr>
        <w:tc>
          <w:tcPr>
            <w:tcW w:w="2840" w:type="dxa"/>
            <w:tcBorders>
              <w:top w:val="nil"/>
              <w:left w:val="nil"/>
              <w:bottom w:val="nil"/>
              <w:right w:val="nil"/>
            </w:tcBorders>
            <w:shd w:val="clear" w:color="000000" w:fill="FFFF00"/>
            <w:noWrap/>
            <w:vAlign w:val="bottom"/>
          </w:tcPr>
          <w:p w14:paraId="69746833"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p>
        </w:tc>
        <w:tc>
          <w:tcPr>
            <w:tcW w:w="2140" w:type="dxa"/>
            <w:tcBorders>
              <w:top w:val="nil"/>
              <w:left w:val="nil"/>
              <w:bottom w:val="nil"/>
              <w:right w:val="nil"/>
            </w:tcBorders>
            <w:shd w:val="clear" w:color="000000" w:fill="FFFF00"/>
            <w:noWrap/>
            <w:vAlign w:val="bottom"/>
          </w:tcPr>
          <w:p w14:paraId="31CE56DA"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060" w:type="dxa"/>
            <w:tcBorders>
              <w:top w:val="nil"/>
              <w:left w:val="nil"/>
              <w:bottom w:val="nil"/>
              <w:right w:val="nil"/>
            </w:tcBorders>
            <w:shd w:val="clear" w:color="auto" w:fill="auto"/>
            <w:noWrap/>
            <w:vAlign w:val="bottom"/>
          </w:tcPr>
          <w:p w14:paraId="53E6B95E"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c>
          <w:tcPr>
            <w:tcW w:w="1900" w:type="dxa"/>
            <w:tcBorders>
              <w:top w:val="nil"/>
              <w:left w:val="nil"/>
              <w:bottom w:val="nil"/>
              <w:right w:val="nil"/>
            </w:tcBorders>
            <w:shd w:val="clear" w:color="000000" w:fill="FFC000"/>
            <w:noWrap/>
            <w:vAlign w:val="bottom"/>
          </w:tcPr>
          <w:p w14:paraId="556232A0" w14:textId="77777777" w:rsidR="00873258" w:rsidRPr="00873258" w:rsidRDefault="00873258" w:rsidP="00FA0BDB">
            <w:pPr>
              <w:spacing w:after="0" w:line="360" w:lineRule="auto"/>
              <w:rPr>
                <w:rFonts w:ascii="Calibri" w:eastAsia="Times New Roman" w:hAnsi="Calibri" w:cs="Calibri"/>
                <w:b/>
                <w:bCs/>
                <w:color w:val="000000"/>
                <w:kern w:val="0"/>
                <w:sz w:val="24"/>
                <w:szCs w:val="24"/>
                <w14:ligatures w14:val="none"/>
              </w:rPr>
            </w:pPr>
          </w:p>
        </w:tc>
        <w:tc>
          <w:tcPr>
            <w:tcW w:w="1900" w:type="dxa"/>
            <w:tcBorders>
              <w:top w:val="nil"/>
              <w:left w:val="nil"/>
              <w:bottom w:val="nil"/>
              <w:right w:val="nil"/>
            </w:tcBorders>
            <w:shd w:val="clear" w:color="000000" w:fill="FFC000"/>
            <w:noWrap/>
            <w:vAlign w:val="bottom"/>
          </w:tcPr>
          <w:p w14:paraId="333CF80C" w14:textId="77777777" w:rsidR="00873258" w:rsidRPr="00873258" w:rsidRDefault="00873258" w:rsidP="00FA0BDB">
            <w:pPr>
              <w:spacing w:after="0" w:line="360" w:lineRule="auto"/>
              <w:jc w:val="right"/>
              <w:rPr>
                <w:rFonts w:ascii="Calibri" w:eastAsia="Times New Roman" w:hAnsi="Calibri" w:cs="Calibri"/>
                <w:color w:val="000000"/>
                <w:kern w:val="0"/>
                <w:sz w:val="24"/>
                <w:szCs w:val="24"/>
                <w14:ligatures w14:val="none"/>
              </w:rPr>
            </w:pPr>
          </w:p>
        </w:tc>
      </w:tr>
    </w:tbl>
    <w:p w14:paraId="12266D10" w14:textId="77777777" w:rsidR="00873258" w:rsidRDefault="00873258" w:rsidP="00FA0BDB">
      <w:pPr>
        <w:spacing w:line="360" w:lineRule="auto"/>
      </w:pPr>
    </w:p>
    <w:p w14:paraId="27155394" w14:textId="638C088A" w:rsidR="003E270D" w:rsidRDefault="00873258" w:rsidP="00FA0BDB">
      <w:pPr>
        <w:spacing w:line="360" w:lineRule="auto"/>
      </w:pPr>
      <w:r>
        <w:t xml:space="preserve">The mean (average) value of a successful campaign is 560.8, with a median, variance and standard deviation of 220.0, 320441.1, and 566.1 respectively. The range for a successful campaign is </w:t>
      </w:r>
      <w:r w:rsidR="002952A1">
        <w:t>1327.</w:t>
      </w:r>
    </w:p>
    <w:p w14:paraId="7383B248" w14:textId="501574AE" w:rsidR="002952A1" w:rsidRDefault="002952A1" w:rsidP="00FA0BDB">
      <w:pPr>
        <w:spacing w:line="360" w:lineRule="auto"/>
      </w:pPr>
      <w:r>
        <w:t>The mean(average) value of a failed campaign is 97.0 with a median, variance and standard deviation of 44.0, 187802, and 137.0 respectively. The range for a failed campaign is 408.</w:t>
      </w:r>
    </w:p>
    <w:p w14:paraId="01674236" w14:textId="7E331A8E" w:rsidR="002952A1" w:rsidRDefault="008571BF" w:rsidP="00FA0BDB">
      <w:pPr>
        <w:spacing w:line="360" w:lineRule="auto"/>
      </w:pPr>
      <w:r>
        <w:rPr>
          <w:noProof/>
        </w:rPr>
        <w:drawing>
          <wp:inline distT="0" distB="0" distL="0" distR="0" wp14:anchorId="098EB4B2" wp14:editId="42B6D4ED">
            <wp:extent cx="4573905" cy="2752725"/>
            <wp:effectExtent l="0" t="0" r="17145" b="9525"/>
            <wp:docPr id="1098739422" name="Chart 1">
              <a:extLst xmlns:a="http://schemas.openxmlformats.org/drawingml/2006/main">
                <a:ext uri="{FF2B5EF4-FFF2-40B4-BE49-F238E27FC236}">
                  <a16:creationId xmlns:a16="http://schemas.microsoft.com/office/drawing/2014/main" id="{CCDAC351-A3D7-BACD-2DB7-D0BAC5B7D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2439A8B" w14:textId="77777777" w:rsidR="00CE78D7" w:rsidRDefault="00CE78D7" w:rsidP="00FA0BDB">
      <w:pPr>
        <w:spacing w:line="360" w:lineRule="auto"/>
      </w:pPr>
    </w:p>
    <w:p w14:paraId="5A64A861" w14:textId="3BC17824" w:rsidR="008571BF" w:rsidRDefault="008571BF" w:rsidP="00FA0BDB">
      <w:pPr>
        <w:spacing w:line="360" w:lineRule="auto"/>
      </w:pPr>
      <w:r>
        <w:rPr>
          <w:noProof/>
        </w:rPr>
        <w:lastRenderedPageBreak/>
        <w:drawing>
          <wp:inline distT="0" distB="0" distL="0" distR="0" wp14:anchorId="082AE23C" wp14:editId="7035D383">
            <wp:extent cx="4572000" cy="2743200"/>
            <wp:effectExtent l="0" t="0" r="0" b="0"/>
            <wp:docPr id="1425334032" name="Chart 1">
              <a:extLst xmlns:a="http://schemas.openxmlformats.org/drawingml/2006/main">
                <a:ext uri="{FF2B5EF4-FFF2-40B4-BE49-F238E27FC236}">
                  <a16:creationId xmlns:a16="http://schemas.microsoft.com/office/drawing/2014/main" id="{246159D8-CB39-D8BD-BB30-CBE9988A4C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27819FD" w14:textId="77777777" w:rsidR="008571BF" w:rsidRDefault="008571BF" w:rsidP="00FA0BDB">
      <w:pPr>
        <w:spacing w:line="360" w:lineRule="auto"/>
      </w:pPr>
    </w:p>
    <w:p w14:paraId="50AA3BDA" w14:textId="6C2221D3" w:rsidR="008571BF" w:rsidRDefault="008571BF" w:rsidP="00FA0BDB">
      <w:pPr>
        <w:spacing w:line="360" w:lineRule="auto"/>
      </w:pPr>
      <w:r>
        <w:t>From the 2 graphs above, it could be inferred that there’s a lot of outliers in the data sets for the 2 campaign types. In this scenario the median of the data set will better summarize the data.</w:t>
      </w:r>
    </w:p>
    <w:p w14:paraId="01FA77E2" w14:textId="21951BD1" w:rsidR="0039761C" w:rsidRDefault="0039761C" w:rsidP="00FA0BDB">
      <w:pPr>
        <w:pStyle w:val="ListParagraph"/>
        <w:numPr>
          <w:ilvl w:val="0"/>
          <w:numId w:val="5"/>
        </w:numPr>
        <w:spacing w:line="360" w:lineRule="auto"/>
      </w:pPr>
      <w:r>
        <w:t>There is more variability with successful campaigns than failed campaigns.</w:t>
      </w:r>
    </w:p>
    <w:p w14:paraId="1AB6C6A5" w14:textId="77777777" w:rsidR="0039761C" w:rsidRDefault="0039761C" w:rsidP="00FA0BDB">
      <w:pPr>
        <w:spacing w:line="360" w:lineRule="auto"/>
      </w:pPr>
    </w:p>
    <w:p w14:paraId="38FEAAAD" w14:textId="6A45F8D5" w:rsidR="0039761C" w:rsidRDefault="0039761C" w:rsidP="00FA0BDB">
      <w:pPr>
        <w:spacing w:line="360" w:lineRule="auto"/>
      </w:pPr>
      <w:r>
        <w:t>Yes, it makes sense. Because the variance and the standard deviation for successful campaign compared to the mean is much higher than that of the failed campaign.</w:t>
      </w:r>
    </w:p>
    <w:p w14:paraId="4FE17EF4" w14:textId="77777777" w:rsidR="002952A1" w:rsidRDefault="002952A1" w:rsidP="00FA0BDB">
      <w:pPr>
        <w:spacing w:line="360" w:lineRule="auto"/>
      </w:pPr>
    </w:p>
    <w:sectPr w:rsidR="0029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965"/>
    <w:multiLevelType w:val="hybridMultilevel"/>
    <w:tmpl w:val="BFC2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A2B1A"/>
    <w:multiLevelType w:val="hybridMultilevel"/>
    <w:tmpl w:val="93DC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00F70"/>
    <w:multiLevelType w:val="hybridMultilevel"/>
    <w:tmpl w:val="C670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6B3E39"/>
    <w:multiLevelType w:val="hybridMultilevel"/>
    <w:tmpl w:val="A9AC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B6D48"/>
    <w:multiLevelType w:val="hybridMultilevel"/>
    <w:tmpl w:val="3F48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955986">
    <w:abstractNumId w:val="3"/>
  </w:num>
  <w:num w:numId="2" w16cid:durableId="104888255">
    <w:abstractNumId w:val="2"/>
  </w:num>
  <w:num w:numId="3" w16cid:durableId="1458445901">
    <w:abstractNumId w:val="0"/>
  </w:num>
  <w:num w:numId="4" w16cid:durableId="1816141349">
    <w:abstractNumId w:val="1"/>
  </w:num>
  <w:num w:numId="5" w16cid:durableId="9114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75"/>
    <w:rsid w:val="000A28C5"/>
    <w:rsid w:val="00184FE5"/>
    <w:rsid w:val="001F62EA"/>
    <w:rsid w:val="002952A1"/>
    <w:rsid w:val="0039761C"/>
    <w:rsid w:val="003E270D"/>
    <w:rsid w:val="00430655"/>
    <w:rsid w:val="0059070A"/>
    <w:rsid w:val="00657B79"/>
    <w:rsid w:val="007C5C93"/>
    <w:rsid w:val="008571BF"/>
    <w:rsid w:val="00873258"/>
    <w:rsid w:val="00966625"/>
    <w:rsid w:val="009E2744"/>
    <w:rsid w:val="00A121B7"/>
    <w:rsid w:val="00B358BB"/>
    <w:rsid w:val="00B94112"/>
    <w:rsid w:val="00BF5C75"/>
    <w:rsid w:val="00CE78D7"/>
    <w:rsid w:val="00D555C0"/>
    <w:rsid w:val="00E56159"/>
    <w:rsid w:val="00ED76CF"/>
    <w:rsid w:val="00EE01A6"/>
    <w:rsid w:val="00FA0BDB"/>
    <w:rsid w:val="00FE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EB45"/>
  <w15:chartTrackingRefBased/>
  <w15:docId w15:val="{E3385941-910B-4C93-AEB7-FD6D8ECB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6CF"/>
    <w:pPr>
      <w:ind w:left="720"/>
      <w:contextualSpacing/>
    </w:pPr>
  </w:style>
  <w:style w:type="table" w:styleId="TableGrid">
    <w:name w:val="Table Grid"/>
    <w:basedOn w:val="TableNormal"/>
    <w:uiPriority w:val="39"/>
    <w:rsid w:val="00B94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2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o2\Desktop\Excel%20Challenge%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o2\Desktop\Excel%20Challenge%20(version%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backers_count</c:v>
                </c:pt>
              </c:strCache>
            </c:strRef>
          </c:tx>
          <c:spPr>
            <a:solidFill>
              <a:schemeClr val="accent1"/>
            </a:solidFill>
            <a:ln>
              <a:noFill/>
            </a:ln>
            <a:effectLst/>
          </c:spPr>
          <c:invertIfNegative val="0"/>
          <c:cat>
            <c:strRef>
              <c:f>Sheet1!$D$2:$D$10</c:f>
              <c:strCache>
                <c:ptCount val="9"/>
                <c:pt idx="0">
                  <c:v>Successful</c:v>
                </c:pt>
                <c:pt idx="1">
                  <c:v>Successful</c:v>
                </c:pt>
                <c:pt idx="2">
                  <c:v>Successful</c:v>
                </c:pt>
                <c:pt idx="3">
                  <c:v>Successful</c:v>
                </c:pt>
                <c:pt idx="4">
                  <c:v>Successful</c:v>
                </c:pt>
                <c:pt idx="5">
                  <c:v>Successful</c:v>
                </c:pt>
                <c:pt idx="6">
                  <c:v>Successful</c:v>
                </c:pt>
                <c:pt idx="7">
                  <c:v>Successful</c:v>
                </c:pt>
                <c:pt idx="8">
                  <c:v>Successful</c:v>
                </c:pt>
              </c:strCache>
            </c:strRef>
          </c:cat>
          <c:val>
            <c:numRef>
              <c:f>Sheet1!$E$2:$E$10</c:f>
              <c:numCache>
                <c:formatCode>General</c:formatCode>
                <c:ptCount val="9"/>
                <c:pt idx="0">
                  <c:v>158</c:v>
                </c:pt>
                <c:pt idx="1">
                  <c:v>1425</c:v>
                </c:pt>
                <c:pt idx="2">
                  <c:v>174</c:v>
                </c:pt>
                <c:pt idx="3">
                  <c:v>227</c:v>
                </c:pt>
                <c:pt idx="4">
                  <c:v>220</c:v>
                </c:pt>
                <c:pt idx="5">
                  <c:v>98</c:v>
                </c:pt>
                <c:pt idx="6">
                  <c:v>100</c:v>
                </c:pt>
                <c:pt idx="7">
                  <c:v>1249</c:v>
                </c:pt>
                <c:pt idx="8">
                  <c:v>1396</c:v>
                </c:pt>
              </c:numCache>
            </c:numRef>
          </c:val>
          <c:extLst>
            <c:ext xmlns:c16="http://schemas.microsoft.com/office/drawing/2014/chart" uri="{C3380CC4-5D6E-409C-BE32-E72D297353CC}">
              <c16:uniqueId val="{00000000-EBB5-4923-A5D8-A686A5295352}"/>
            </c:ext>
          </c:extLst>
        </c:ser>
        <c:dLbls>
          <c:showLegendKey val="0"/>
          <c:showVal val="0"/>
          <c:showCatName val="0"/>
          <c:showSerName val="0"/>
          <c:showPercent val="0"/>
          <c:showBubbleSize val="0"/>
        </c:dLbls>
        <c:gapWidth val="219"/>
        <c:overlap val="-27"/>
        <c:axId val="1090330911"/>
        <c:axId val="1090324671"/>
      </c:barChart>
      <c:catAx>
        <c:axId val="10903309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24671"/>
        <c:crosses val="autoZero"/>
        <c:auto val="1"/>
        <c:lblAlgn val="ctr"/>
        <c:lblOffset val="100"/>
        <c:noMultiLvlLbl val="0"/>
      </c:catAx>
      <c:valAx>
        <c:axId val="1090324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309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backers_count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c:f>
              <c:strCache>
                <c:ptCount val="1"/>
                <c:pt idx="0">
                  <c:v>baxkers_count</c:v>
                </c:pt>
              </c:strCache>
            </c:strRef>
          </c:tx>
          <c:spPr>
            <a:solidFill>
              <a:schemeClr val="accent1"/>
            </a:solidFill>
            <a:ln>
              <a:noFill/>
            </a:ln>
            <a:effectLst/>
          </c:spPr>
          <c:invertIfNegative val="0"/>
          <c:cat>
            <c:strRef>
              <c:f>Sheet1!$G$2:$G$10</c:f>
              <c:strCache>
                <c:ptCount val="9"/>
                <c:pt idx="0">
                  <c:v>failed</c:v>
                </c:pt>
                <c:pt idx="1">
                  <c:v>failed</c:v>
                </c:pt>
                <c:pt idx="2">
                  <c:v>failed</c:v>
                </c:pt>
                <c:pt idx="3">
                  <c:v>failed</c:v>
                </c:pt>
                <c:pt idx="4">
                  <c:v>failed</c:v>
                </c:pt>
                <c:pt idx="5">
                  <c:v>failed</c:v>
                </c:pt>
                <c:pt idx="6">
                  <c:v>failed</c:v>
                </c:pt>
                <c:pt idx="7">
                  <c:v>failed</c:v>
                </c:pt>
                <c:pt idx="8">
                  <c:v>failed</c:v>
                </c:pt>
              </c:strCache>
            </c:strRef>
          </c:cat>
          <c:val>
            <c:numRef>
              <c:f>Sheet1!$H$2:$H$10</c:f>
              <c:numCache>
                <c:formatCode>General</c:formatCode>
                <c:ptCount val="9"/>
                <c:pt idx="0">
                  <c:v>0</c:v>
                </c:pt>
                <c:pt idx="1">
                  <c:v>24</c:v>
                </c:pt>
                <c:pt idx="2">
                  <c:v>53</c:v>
                </c:pt>
                <c:pt idx="3">
                  <c:v>18</c:v>
                </c:pt>
                <c:pt idx="4">
                  <c:v>44</c:v>
                </c:pt>
                <c:pt idx="5">
                  <c:v>27</c:v>
                </c:pt>
                <c:pt idx="6">
                  <c:v>55</c:v>
                </c:pt>
                <c:pt idx="7">
                  <c:v>200</c:v>
                </c:pt>
                <c:pt idx="8">
                  <c:v>452</c:v>
                </c:pt>
              </c:numCache>
            </c:numRef>
          </c:val>
          <c:extLst>
            <c:ext xmlns:c16="http://schemas.microsoft.com/office/drawing/2014/chart" uri="{C3380CC4-5D6E-409C-BE32-E72D297353CC}">
              <c16:uniqueId val="{00000000-43FA-4A16-BC18-2CB63D76735B}"/>
            </c:ext>
          </c:extLst>
        </c:ser>
        <c:dLbls>
          <c:showLegendKey val="0"/>
          <c:showVal val="0"/>
          <c:showCatName val="0"/>
          <c:showSerName val="0"/>
          <c:showPercent val="0"/>
          <c:showBubbleSize val="0"/>
        </c:dLbls>
        <c:gapWidth val="219"/>
        <c:overlap val="-27"/>
        <c:axId val="1090342431"/>
        <c:axId val="1090343391"/>
      </c:barChart>
      <c:catAx>
        <c:axId val="109034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43391"/>
        <c:crosses val="autoZero"/>
        <c:auto val="1"/>
        <c:lblAlgn val="ctr"/>
        <c:lblOffset val="100"/>
        <c:noMultiLvlLbl val="0"/>
      </c:catAx>
      <c:valAx>
        <c:axId val="1090343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0342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Narh</dc:creator>
  <cp:keywords/>
  <dc:description/>
  <cp:lastModifiedBy>Nii Narh</cp:lastModifiedBy>
  <cp:revision>13</cp:revision>
  <dcterms:created xsi:type="dcterms:W3CDTF">2023-06-15T17:44:00Z</dcterms:created>
  <dcterms:modified xsi:type="dcterms:W3CDTF">2023-06-16T04:52:00Z</dcterms:modified>
</cp:coreProperties>
</file>