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3C1" w:rsidRPr="005D7D27" w:rsidRDefault="00C013C1" w:rsidP="00C013C1">
      <w:pPr>
        <w:spacing w:before="240"/>
        <w:jc w:val="both"/>
        <w:rPr>
          <w:iCs/>
          <w:sz w:val="22"/>
          <w:szCs w:val="22"/>
        </w:rPr>
      </w:pPr>
      <w:r>
        <w:rPr>
          <w:b/>
          <w:iCs/>
          <w:sz w:val="22"/>
          <w:szCs w:val="22"/>
        </w:rPr>
        <w:t>1</w:t>
      </w:r>
      <w:r w:rsidRPr="005D7D27">
        <w:rPr>
          <w:b/>
          <w:iCs/>
          <w:sz w:val="22"/>
          <w:szCs w:val="22"/>
        </w:rPr>
        <w:t>. OBJETIVO.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 xml:space="preserve">Definir las operaciones necesarias </w:t>
      </w:r>
      <w:r>
        <w:rPr>
          <w:iCs/>
          <w:sz w:val="22"/>
          <w:szCs w:val="22"/>
        </w:rPr>
        <w:t>para el correcto Control y</w:t>
      </w:r>
      <w:r w:rsidRPr="005D7D27">
        <w:rPr>
          <w:iCs/>
          <w:sz w:val="22"/>
          <w:szCs w:val="22"/>
        </w:rPr>
        <w:t xml:space="preserve"> mantenimiento de los extintores</w:t>
      </w:r>
      <w:r>
        <w:rPr>
          <w:iCs/>
          <w:sz w:val="22"/>
          <w:szCs w:val="22"/>
        </w:rPr>
        <w:t>.</w:t>
      </w:r>
    </w:p>
    <w:p w:rsidR="00C013C1" w:rsidRPr="005D7D27" w:rsidRDefault="00C013C1" w:rsidP="00C013C1">
      <w:pPr>
        <w:spacing w:before="240" w:line="320" w:lineRule="atLeast"/>
        <w:jc w:val="both"/>
        <w:rPr>
          <w:b/>
          <w:bCs/>
          <w:iCs/>
          <w:sz w:val="22"/>
          <w:szCs w:val="22"/>
        </w:rPr>
      </w:pPr>
      <w:r w:rsidRPr="005D7D27">
        <w:rPr>
          <w:b/>
          <w:bCs/>
          <w:iCs/>
          <w:sz w:val="22"/>
          <w:szCs w:val="22"/>
        </w:rPr>
        <w:t>2. ALCANCE</w:t>
      </w:r>
    </w:p>
    <w:p w:rsidR="00C013C1" w:rsidRPr="005D7D27" w:rsidRDefault="00C013C1" w:rsidP="00F9068E">
      <w:pPr>
        <w:tabs>
          <w:tab w:val="left" w:pos="6184"/>
        </w:tabs>
        <w:spacing w:before="240" w:line="320" w:lineRule="atLeast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Para todos los extintores </w:t>
      </w:r>
      <w:r w:rsidR="005F4C3A">
        <w:rPr>
          <w:iCs/>
          <w:sz w:val="22"/>
          <w:szCs w:val="22"/>
        </w:rPr>
        <w:t xml:space="preserve">de </w:t>
      </w:r>
      <w:proofErr w:type="spellStart"/>
      <w:r w:rsidR="005F4C3A">
        <w:rPr>
          <w:iCs/>
          <w:sz w:val="22"/>
          <w:szCs w:val="22"/>
        </w:rPr>
        <w:t>Pe</w:t>
      </w:r>
      <w:r w:rsidR="00117EE6">
        <w:rPr>
          <w:iCs/>
          <w:sz w:val="22"/>
          <w:szCs w:val="22"/>
        </w:rPr>
        <w:t>trocompani</w:t>
      </w:r>
      <w:proofErr w:type="spellEnd"/>
      <w:r w:rsidR="00117EE6">
        <w:rPr>
          <w:iCs/>
          <w:sz w:val="22"/>
          <w:szCs w:val="22"/>
        </w:rPr>
        <w:t xml:space="preserve"> S.A.</w:t>
      </w:r>
      <w:r w:rsidR="00F9068E">
        <w:rPr>
          <w:iCs/>
          <w:sz w:val="22"/>
          <w:szCs w:val="22"/>
        </w:rPr>
        <w:tab/>
      </w:r>
    </w:p>
    <w:p w:rsidR="00C013C1" w:rsidRPr="005D7D27" w:rsidRDefault="00C013C1" w:rsidP="00C013C1">
      <w:pPr>
        <w:spacing w:before="240" w:line="320" w:lineRule="atLeast"/>
        <w:jc w:val="both"/>
        <w:rPr>
          <w:b/>
          <w:iCs/>
          <w:sz w:val="22"/>
          <w:szCs w:val="22"/>
        </w:rPr>
      </w:pPr>
      <w:r w:rsidRPr="005D7D27">
        <w:rPr>
          <w:b/>
          <w:iCs/>
          <w:sz w:val="22"/>
          <w:szCs w:val="22"/>
        </w:rPr>
        <w:t>3. CAMPO DE APLICACIÓN.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Los procedimientos descritos en este documento se aplican  a los siguientes  tipos de extintores portátiles:</w:t>
      </w:r>
    </w:p>
    <w:p w:rsidR="00C013C1" w:rsidRPr="005D7D27" w:rsidRDefault="00C013C1" w:rsidP="00C013C1">
      <w:pPr>
        <w:numPr>
          <w:ilvl w:val="0"/>
          <w:numId w:val="29"/>
        </w:num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 xml:space="preserve">Extintores de Presión Permanente: Agua, espuma y agua, polvo y </w:t>
      </w:r>
      <w:proofErr w:type="spellStart"/>
      <w:r w:rsidRPr="005D7D27">
        <w:rPr>
          <w:iCs/>
          <w:sz w:val="22"/>
          <w:szCs w:val="22"/>
        </w:rPr>
        <w:t>halón</w:t>
      </w:r>
      <w:proofErr w:type="spellEnd"/>
      <w:r w:rsidRPr="005D7D27">
        <w:rPr>
          <w:iCs/>
          <w:sz w:val="22"/>
          <w:szCs w:val="22"/>
        </w:rPr>
        <w:t>.</w:t>
      </w:r>
    </w:p>
    <w:p w:rsidR="00C013C1" w:rsidRPr="005D7D27" w:rsidRDefault="00C013C1" w:rsidP="00C013C1">
      <w:pPr>
        <w:numPr>
          <w:ilvl w:val="0"/>
          <w:numId w:val="29"/>
        </w:numPr>
        <w:spacing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 xml:space="preserve">Extintores con botella </w:t>
      </w:r>
      <w:proofErr w:type="gramStart"/>
      <w:r w:rsidRPr="005D7D27">
        <w:rPr>
          <w:iCs/>
          <w:sz w:val="22"/>
          <w:szCs w:val="22"/>
        </w:rPr>
        <w:t>adosado</w:t>
      </w:r>
      <w:proofErr w:type="gramEnd"/>
      <w:r w:rsidRPr="005D7D27">
        <w:rPr>
          <w:iCs/>
          <w:sz w:val="22"/>
          <w:szCs w:val="22"/>
        </w:rPr>
        <w:t xml:space="preserve"> interior y/o exterior: Agua, espuma y agua y polvo. </w:t>
      </w:r>
    </w:p>
    <w:p w:rsidR="00C013C1" w:rsidRPr="005D7D27" w:rsidRDefault="00C013C1" w:rsidP="00C013C1">
      <w:pPr>
        <w:numPr>
          <w:ilvl w:val="0"/>
          <w:numId w:val="29"/>
        </w:numPr>
        <w:spacing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Extintores de Anhídrido carbónico (Dióxido de carbono).</w:t>
      </w:r>
    </w:p>
    <w:p w:rsidR="00C013C1" w:rsidRPr="005D7D27" w:rsidRDefault="00C013C1" w:rsidP="00C013C1">
      <w:pPr>
        <w:spacing w:line="320" w:lineRule="atLeast"/>
        <w:jc w:val="both"/>
        <w:rPr>
          <w:iCs/>
          <w:sz w:val="22"/>
          <w:szCs w:val="22"/>
        </w:rPr>
      </w:pPr>
    </w:p>
    <w:p w:rsidR="00C013C1" w:rsidRPr="005D7D27" w:rsidRDefault="00C013C1" w:rsidP="00C013C1">
      <w:pPr>
        <w:spacing w:line="320" w:lineRule="atLeast"/>
        <w:jc w:val="both"/>
        <w:rPr>
          <w:b/>
          <w:iCs/>
          <w:sz w:val="22"/>
          <w:szCs w:val="22"/>
        </w:rPr>
      </w:pPr>
      <w:r w:rsidRPr="005D7D27">
        <w:rPr>
          <w:b/>
          <w:iCs/>
          <w:sz w:val="22"/>
          <w:szCs w:val="22"/>
        </w:rPr>
        <w:t>4.  DEFINICIONES.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b/>
          <w:iCs/>
          <w:sz w:val="22"/>
          <w:szCs w:val="22"/>
        </w:rPr>
        <w:t>-</w:t>
      </w:r>
      <w:r w:rsidRPr="005D7D27">
        <w:rPr>
          <w:iCs/>
          <w:sz w:val="22"/>
          <w:szCs w:val="22"/>
        </w:rPr>
        <w:t xml:space="preserve"> </w:t>
      </w:r>
      <w:r w:rsidRPr="005D7D27">
        <w:rPr>
          <w:b/>
          <w:iCs/>
          <w:sz w:val="22"/>
          <w:szCs w:val="22"/>
        </w:rPr>
        <w:t>Extintor</w:t>
      </w:r>
      <w:r w:rsidRPr="005D7D27">
        <w:rPr>
          <w:iCs/>
          <w:sz w:val="22"/>
          <w:szCs w:val="22"/>
        </w:rPr>
        <w:t>: Contiene un agente extintor, el cual puede ser  dirigido sobre el fuego por la acción de una presión interna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b/>
          <w:iCs/>
          <w:sz w:val="22"/>
          <w:szCs w:val="22"/>
        </w:rPr>
        <w:t>- Extintor portátil</w:t>
      </w:r>
      <w:r w:rsidRPr="005D7D27">
        <w:rPr>
          <w:iCs/>
          <w:sz w:val="22"/>
          <w:szCs w:val="22"/>
        </w:rPr>
        <w:t>: Extintor diseñado para ser llevado y utilizado a mano y que en  condiciones de funcionamiento tiene una peso aproximado de  20 Kg.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 xml:space="preserve">- </w:t>
      </w:r>
      <w:r w:rsidRPr="005D7D27">
        <w:rPr>
          <w:b/>
          <w:iCs/>
          <w:sz w:val="22"/>
          <w:szCs w:val="22"/>
        </w:rPr>
        <w:t>Agente extintor</w:t>
      </w:r>
      <w:r w:rsidRPr="005D7D27">
        <w:rPr>
          <w:iCs/>
          <w:sz w:val="22"/>
          <w:szCs w:val="22"/>
        </w:rPr>
        <w:t>: Producto o conjunto de productos contenidos en el extintor y cuya  acción provoca la extinción.</w:t>
      </w:r>
    </w:p>
    <w:p w:rsidR="00C013C1" w:rsidRPr="005D7D27" w:rsidRDefault="00C013C1" w:rsidP="00C013C1">
      <w:pPr>
        <w:spacing w:before="240" w:line="320" w:lineRule="atLeast"/>
        <w:jc w:val="both"/>
        <w:rPr>
          <w:b/>
          <w:bCs/>
          <w:iCs/>
          <w:sz w:val="22"/>
          <w:szCs w:val="22"/>
        </w:rPr>
      </w:pPr>
      <w:r w:rsidRPr="005D7D27">
        <w:rPr>
          <w:b/>
          <w:bCs/>
          <w:iCs/>
          <w:sz w:val="22"/>
          <w:szCs w:val="22"/>
        </w:rPr>
        <w:t>5. INSPECCION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b/>
          <w:iCs/>
          <w:sz w:val="22"/>
          <w:szCs w:val="22"/>
        </w:rPr>
        <w:t xml:space="preserve">   5.1 Generalidades.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b/>
          <w:iCs/>
          <w:sz w:val="22"/>
          <w:szCs w:val="22"/>
        </w:rPr>
        <w:t>5.1.1</w:t>
      </w:r>
      <w:r w:rsidRPr="005D7D27">
        <w:rPr>
          <w:iCs/>
          <w:sz w:val="22"/>
          <w:szCs w:val="22"/>
        </w:rPr>
        <w:t>. La inspección es rápida, se determina visualmente que el extintor esté situado adecuadamente y que funciona.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b/>
          <w:iCs/>
          <w:sz w:val="22"/>
          <w:szCs w:val="22"/>
        </w:rPr>
        <w:t>5.1.2</w:t>
      </w:r>
      <w:r w:rsidRPr="005D7D27">
        <w:rPr>
          <w:iCs/>
          <w:sz w:val="22"/>
          <w:szCs w:val="22"/>
        </w:rPr>
        <w:t>. Las operaciones de inspección, deben asegurar que: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 xml:space="preserve">- El extintor está ubicado en el lugar asignado, y debidamente señalizado. 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 Está libre de obstrucciones, que sea fácilmente accesible, visible y con  instrucciones de funcionamiento a la vista.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lastRenderedPageBreak/>
        <w:t>-  No ha sido activado, ni está parcial o totalmente vacío.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 No ha sufrido daños visibles ni ha sido expuesto a condiciones ambientales que  pudieran interferir en su funcionamiento (por ejemplo, humos corrosivos).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Tenga seguros e indicadores de manipulación presentes e intactos.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 Manómetro debe indicar que la presión es la adecuada (ubicada en área verde)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b/>
          <w:iCs/>
          <w:sz w:val="22"/>
          <w:szCs w:val="22"/>
        </w:rPr>
        <w:t xml:space="preserve">- </w:t>
      </w:r>
      <w:r w:rsidRPr="005D7D27">
        <w:rPr>
          <w:iCs/>
          <w:sz w:val="22"/>
          <w:szCs w:val="22"/>
        </w:rPr>
        <w:t>Los extintores deben ser revisados mensualmente</w:t>
      </w:r>
    </w:p>
    <w:p w:rsidR="00C013C1" w:rsidRPr="005D7D27" w:rsidRDefault="00C013C1" w:rsidP="00C013C1">
      <w:pPr>
        <w:spacing w:before="240"/>
        <w:jc w:val="both"/>
        <w:rPr>
          <w:iCs/>
          <w:sz w:val="22"/>
          <w:szCs w:val="22"/>
        </w:rPr>
      </w:pPr>
      <w:r w:rsidRPr="005D7D27">
        <w:rPr>
          <w:b/>
          <w:iCs/>
          <w:sz w:val="22"/>
          <w:szCs w:val="22"/>
        </w:rPr>
        <w:t>5.2. PROCEDIMIENTO PARA LA INSPECCIÓN.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b/>
          <w:iCs/>
          <w:sz w:val="22"/>
          <w:szCs w:val="22"/>
        </w:rPr>
        <w:t>5.2.1</w:t>
      </w:r>
      <w:r w:rsidRPr="005D7D27">
        <w:rPr>
          <w:iCs/>
          <w:sz w:val="22"/>
          <w:szCs w:val="22"/>
        </w:rPr>
        <w:t>. Las operaciones a efectuar en la inspección de extintores portátiles son las siguientes: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Verificar que el extintor está en el lugar asignado.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Comprobar la accesibilidad al extintor y la adecuada señalización del mismo.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 Descolgar el extintor de su soporte.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Comprobar que posee las instrucciones de funcionamiento a la vista y que éstas son legibles.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Verificar que el precinto de la anilla de seguridad no ha sido retirado.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Comprobar el buen estado aparente de conservación de seguros, inscripciones, mangueras, precintos, etc.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Constatar que no existe evidencia alguna de oxidación.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Comprobar el estado de carga del extintor: verificar peso y presión. Para verificar la presión, comprobar que la aguja del manómetro marque sobre la zona verde  de utilización.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Realizar una inspección ocular del estado externo de las partes mecánicas (boquilla, válvula, manguera, etc.).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Colocar adecuadamente el extintor en su soporte.</w:t>
      </w:r>
    </w:p>
    <w:p w:rsidR="00C013C1" w:rsidRPr="005D7D27" w:rsidRDefault="00C013C1" w:rsidP="00C013C1">
      <w:pPr>
        <w:keepNext/>
        <w:spacing w:before="240" w:line="320" w:lineRule="atLeast"/>
        <w:jc w:val="both"/>
        <w:outlineLvl w:val="0"/>
        <w:rPr>
          <w:b/>
          <w:bCs/>
          <w:iCs/>
          <w:sz w:val="22"/>
          <w:szCs w:val="22"/>
        </w:rPr>
      </w:pPr>
      <w:r w:rsidRPr="005D7D27">
        <w:rPr>
          <w:b/>
          <w:bCs/>
          <w:iCs/>
          <w:sz w:val="22"/>
          <w:szCs w:val="22"/>
        </w:rPr>
        <w:lastRenderedPageBreak/>
        <w:t>6. INSPECCION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b/>
          <w:iCs/>
          <w:sz w:val="22"/>
          <w:szCs w:val="22"/>
        </w:rPr>
        <w:t xml:space="preserve">6.1 </w:t>
      </w:r>
      <w:r w:rsidRPr="005D7D27">
        <w:rPr>
          <w:iCs/>
          <w:sz w:val="22"/>
          <w:szCs w:val="22"/>
        </w:rPr>
        <w:t>El objetivo de las operaciones de inspección es asegurarse que el extintor está cargado y que funcionará eficazmente si se necesita.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Las operaciones de inspección, deben determinar que: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 xml:space="preserve">- El extintor está ubicado en el lugar asignado, y debidamente señalizado. 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</w:t>
      </w:r>
      <w:r>
        <w:rPr>
          <w:iCs/>
          <w:sz w:val="22"/>
          <w:szCs w:val="22"/>
        </w:rPr>
        <w:t xml:space="preserve"> Está libre de obstrucciones </w:t>
      </w:r>
      <w:r w:rsidRPr="005D7D27">
        <w:rPr>
          <w:iCs/>
          <w:sz w:val="22"/>
          <w:szCs w:val="22"/>
        </w:rPr>
        <w:t>y por tanto, que sea fácilmente accesible, visible y con             instrucciones de funcionamiento a la vista.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No ha sido activado, ni está parcial o totalmente vacío.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 xml:space="preserve">- No ha sufrido daños ostensibles ni ha sido expuesto a condiciones ambientales que pudieran interferir en su funcionamiento (por ejemplo, </w:t>
      </w:r>
      <w:r>
        <w:rPr>
          <w:iCs/>
          <w:sz w:val="22"/>
          <w:szCs w:val="22"/>
        </w:rPr>
        <w:t>gases</w:t>
      </w:r>
      <w:r w:rsidRPr="005D7D27">
        <w:rPr>
          <w:iCs/>
          <w:sz w:val="22"/>
          <w:szCs w:val="22"/>
        </w:rPr>
        <w:t xml:space="preserve"> corrosivos).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Tenga seguros e indicadores de manipulación presentes e intactos.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Muestre en cualquier manómetro o indicador existente una lectura dentro del campo o posición en que puede funcionar.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Si la inspección revela alguna de las anomalías descritas en los puntos anteriores, se tomarán inmediatamente, las medidas correctoras adecuadas.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b/>
          <w:iCs/>
          <w:sz w:val="22"/>
          <w:szCs w:val="22"/>
        </w:rPr>
        <w:t>-</w:t>
      </w:r>
      <w:r w:rsidRPr="005D7D27">
        <w:rPr>
          <w:iCs/>
          <w:sz w:val="22"/>
          <w:szCs w:val="22"/>
        </w:rPr>
        <w:t xml:space="preserve"> La frecuencia de las verificaciones debe ser mensual ambientales desfavorables o severas).</w:t>
      </w:r>
    </w:p>
    <w:p w:rsidR="00C013C1" w:rsidRPr="005D7D27" w:rsidRDefault="00C013C1" w:rsidP="00C013C1">
      <w:pPr>
        <w:spacing w:before="240"/>
        <w:jc w:val="both"/>
        <w:rPr>
          <w:iCs/>
          <w:sz w:val="22"/>
          <w:szCs w:val="22"/>
        </w:rPr>
      </w:pPr>
      <w:r w:rsidRPr="005D7D27">
        <w:rPr>
          <w:b/>
          <w:iCs/>
          <w:sz w:val="22"/>
          <w:szCs w:val="22"/>
        </w:rPr>
        <w:t>6.2. PROCEDIMIENTO PARA LA INSPECCIÓN.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Verificar que el extintor está en el lugar asignado.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Comprobar la accesibilidad al extintor y la adecuada señalización del mismo.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Descolgar el extintor de su soporte.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Comprobar que posee las instrucciones de funcionamiento a la vista y que éstas son legibles.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Verificar que el pasador de la anilla de seguridad no ha sido retirado.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Comprobar el buen estado aparente de conservación de seguros, inscripciones, mangueras, precintos, etc.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lastRenderedPageBreak/>
        <w:t>- Constatar que no existe traza alguna de oxidación.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Comprobar el estado de carga del extintor: verificar peso y presión. Para verificar la presión, comprobar que la aguja del manómetro marque sobre la zona verde  de utilización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Realizar una inspección ocular del estado externo de las partes mecánicas (boquilla, válvula, manguera, etc.).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Colocar convenientemente el extintor en su soporte.</w:t>
      </w:r>
    </w:p>
    <w:p w:rsidR="00C013C1" w:rsidRPr="005D7D27" w:rsidRDefault="00C013C1" w:rsidP="00C013C1">
      <w:pPr>
        <w:keepNext/>
        <w:spacing w:before="240" w:line="320" w:lineRule="atLeast"/>
        <w:jc w:val="both"/>
        <w:outlineLvl w:val="1"/>
        <w:rPr>
          <w:b/>
          <w:bCs/>
          <w:iCs/>
          <w:sz w:val="22"/>
          <w:szCs w:val="22"/>
        </w:rPr>
      </w:pPr>
      <w:r w:rsidRPr="005D7D27">
        <w:rPr>
          <w:b/>
          <w:bCs/>
          <w:iCs/>
          <w:sz w:val="22"/>
          <w:szCs w:val="22"/>
        </w:rPr>
        <w:t>7. MANTENIMIENTO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b/>
          <w:iCs/>
          <w:sz w:val="22"/>
          <w:szCs w:val="22"/>
        </w:rPr>
        <w:t>7.1</w:t>
      </w:r>
      <w:proofErr w:type="gramStart"/>
      <w:r w:rsidRPr="005D7D27">
        <w:rPr>
          <w:iCs/>
          <w:sz w:val="22"/>
          <w:szCs w:val="22"/>
        </w:rPr>
        <w:t>..</w:t>
      </w:r>
      <w:proofErr w:type="gramEnd"/>
      <w:r w:rsidRPr="005D7D27">
        <w:rPr>
          <w:iCs/>
          <w:sz w:val="22"/>
          <w:szCs w:val="22"/>
        </w:rPr>
        <w:t xml:space="preserve"> El mantenimiento se distingue de la simple inspección, en que supone un examen  en profundidad de cada extintor. Un mantenimiento implica desmontaje del extintor, examen de todos sus componentes, limpieza y sustitución de cualquier pieza defectuosa y montaje, recarga y, cuando sea aplicable, presurización del extintor. Estas revisiones pueden revelar la necesidad e incluso la  conveniencia de sustituirlo y reemplazarlo por uno nuevo.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b/>
          <w:iCs/>
          <w:sz w:val="22"/>
          <w:szCs w:val="22"/>
        </w:rPr>
        <w:t>7.2</w:t>
      </w:r>
      <w:r w:rsidRPr="005D7D27">
        <w:rPr>
          <w:iCs/>
          <w:sz w:val="22"/>
          <w:szCs w:val="22"/>
        </w:rPr>
        <w:t>. El mantenimiento debe realizarse periódicamente, como mínimo una vez al año, inmediatamente después de cada utilización o cuando una inspección muestre la necesidad de revisión.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b/>
          <w:iCs/>
          <w:sz w:val="22"/>
          <w:szCs w:val="22"/>
        </w:rPr>
        <w:t>7.3</w:t>
      </w:r>
      <w:r w:rsidRPr="005D7D27">
        <w:rPr>
          <w:iCs/>
          <w:sz w:val="22"/>
          <w:szCs w:val="22"/>
        </w:rPr>
        <w:t>. En cualquier revisión de mantenimiento, existen tres puntos básicos a verificar:</w:t>
      </w:r>
    </w:p>
    <w:p w:rsidR="00C013C1" w:rsidRPr="005D7D27" w:rsidRDefault="00C013C1" w:rsidP="00C013C1">
      <w:pPr>
        <w:spacing w:before="120" w:line="320" w:lineRule="atLeast"/>
        <w:ind w:firstLine="709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a. Los componentes del dispositivo (es decir, el contenedor manguera, precinto, manómetro).</w:t>
      </w:r>
    </w:p>
    <w:p w:rsidR="00C013C1" w:rsidRPr="005D7D27" w:rsidRDefault="00C013C1" w:rsidP="00C013C1">
      <w:pPr>
        <w:spacing w:before="120" w:line="320" w:lineRule="atLeast"/>
        <w:ind w:firstLine="709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b. La cantidad y el estado del agente extintor.</w:t>
      </w:r>
    </w:p>
    <w:p w:rsidR="00C013C1" w:rsidRPr="005D7D27" w:rsidRDefault="00C013C1" w:rsidP="00C013C1">
      <w:pPr>
        <w:spacing w:before="120" w:line="320" w:lineRule="atLeast"/>
        <w:ind w:firstLine="709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c. Los medios de expulsión del agente extintor. (Manguera, tova)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b/>
          <w:iCs/>
          <w:sz w:val="22"/>
          <w:szCs w:val="22"/>
        </w:rPr>
        <w:t>7.3</w:t>
      </w:r>
      <w:r w:rsidRPr="005D7D27">
        <w:rPr>
          <w:iCs/>
          <w:sz w:val="22"/>
          <w:szCs w:val="22"/>
        </w:rPr>
        <w:t>. Cualquier extintor o componente del mismo debe considerarse inseguro para su utilización si, a juicio de la persona competente:</w:t>
      </w:r>
    </w:p>
    <w:p w:rsidR="00C013C1" w:rsidRPr="005D7D27" w:rsidRDefault="00C013C1" w:rsidP="00C013C1">
      <w:pPr>
        <w:spacing w:before="12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su estado es peligroso.</w:t>
      </w:r>
    </w:p>
    <w:p w:rsidR="00C013C1" w:rsidRPr="005D7D27" w:rsidRDefault="00C013C1" w:rsidP="00C013C1">
      <w:pPr>
        <w:spacing w:before="12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sería peligroso si se utilizara.</w:t>
      </w:r>
    </w:p>
    <w:p w:rsidR="00C013C1" w:rsidRPr="005D7D27" w:rsidRDefault="00C013C1" w:rsidP="00C013C1">
      <w:pPr>
        <w:spacing w:before="120" w:line="32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- su estado puede impedir que funcione de manera satisfactoria.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b/>
          <w:iCs/>
          <w:sz w:val="22"/>
          <w:szCs w:val="22"/>
        </w:rPr>
        <w:t>7.4</w:t>
      </w:r>
      <w:r w:rsidRPr="005D7D27">
        <w:rPr>
          <w:iCs/>
          <w:sz w:val="22"/>
          <w:szCs w:val="22"/>
        </w:rPr>
        <w:t xml:space="preserve"> Tras la apertura y revisión del extintor, se situará en el exterior del mismo un sistema indicativo que acredite que se ha realizado la revisión interior del aparato. </w:t>
      </w:r>
    </w:p>
    <w:p w:rsidR="00C013C1" w:rsidRPr="005D7D27" w:rsidRDefault="00C013C1" w:rsidP="00C013C1">
      <w:pPr>
        <w:spacing w:before="240" w:line="320" w:lineRule="atLeast"/>
        <w:jc w:val="both"/>
        <w:rPr>
          <w:iCs/>
          <w:sz w:val="22"/>
          <w:szCs w:val="22"/>
        </w:rPr>
      </w:pPr>
      <w:r w:rsidRPr="005D7D27">
        <w:rPr>
          <w:b/>
          <w:iCs/>
          <w:sz w:val="22"/>
          <w:szCs w:val="22"/>
        </w:rPr>
        <w:lastRenderedPageBreak/>
        <w:t>7.5</w:t>
      </w:r>
      <w:r w:rsidRPr="005D7D27">
        <w:rPr>
          <w:iCs/>
          <w:sz w:val="22"/>
          <w:szCs w:val="22"/>
        </w:rPr>
        <w:t>. Todo extintor, que haya sido mantenido, deberá ser rotulado con una etiqueta  indicando los siguientes datos:</w:t>
      </w:r>
    </w:p>
    <w:p w:rsidR="00C013C1" w:rsidRPr="005D7D27" w:rsidRDefault="00C013C1" w:rsidP="00C013C1">
      <w:pPr>
        <w:numPr>
          <w:ilvl w:val="0"/>
          <w:numId w:val="30"/>
        </w:numPr>
        <w:spacing w:before="240" w:line="6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Número de autorización.</w:t>
      </w:r>
    </w:p>
    <w:p w:rsidR="00C013C1" w:rsidRPr="005D7D27" w:rsidRDefault="00C013C1" w:rsidP="00C013C1">
      <w:pPr>
        <w:numPr>
          <w:ilvl w:val="0"/>
          <w:numId w:val="30"/>
        </w:numPr>
        <w:spacing w:before="240" w:line="6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Nombre.</w:t>
      </w:r>
    </w:p>
    <w:p w:rsidR="00C013C1" w:rsidRPr="005D7D27" w:rsidRDefault="00C013C1" w:rsidP="00C013C1">
      <w:pPr>
        <w:numPr>
          <w:ilvl w:val="0"/>
          <w:numId w:val="30"/>
        </w:numPr>
        <w:spacing w:before="240" w:line="6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Dirección.</w:t>
      </w:r>
    </w:p>
    <w:p w:rsidR="00C013C1" w:rsidRPr="005D7D27" w:rsidRDefault="00C013C1" w:rsidP="00C013C1">
      <w:pPr>
        <w:numPr>
          <w:ilvl w:val="0"/>
          <w:numId w:val="30"/>
        </w:numPr>
        <w:spacing w:before="240" w:line="6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Fecha en la que se ha realizado la operación (año y mes).</w:t>
      </w:r>
    </w:p>
    <w:p w:rsidR="00C013C1" w:rsidRPr="005D7D27" w:rsidRDefault="00C013C1" w:rsidP="00C013C1">
      <w:pPr>
        <w:numPr>
          <w:ilvl w:val="0"/>
          <w:numId w:val="30"/>
        </w:numPr>
        <w:spacing w:before="240" w:line="60" w:lineRule="atLeast"/>
        <w:jc w:val="both"/>
        <w:rPr>
          <w:iCs/>
          <w:sz w:val="22"/>
          <w:szCs w:val="22"/>
        </w:rPr>
      </w:pPr>
      <w:r w:rsidRPr="005D7D27">
        <w:rPr>
          <w:iCs/>
          <w:sz w:val="22"/>
          <w:szCs w:val="22"/>
        </w:rPr>
        <w:t>Fecha en que debe realizarse la próxima revisión (año y mes).</w:t>
      </w:r>
    </w:p>
    <w:p w:rsidR="00C013C1" w:rsidRPr="005D7D27" w:rsidRDefault="00C013C1" w:rsidP="00C013C1">
      <w:pPr>
        <w:autoSpaceDE w:val="0"/>
        <w:autoSpaceDN w:val="0"/>
        <w:adjustRightInd w:val="0"/>
        <w:jc w:val="both"/>
        <w:rPr>
          <w:rFonts w:cs="Arial"/>
          <w:color w:val="000000"/>
          <w:sz w:val="22"/>
          <w:szCs w:val="22"/>
        </w:rPr>
      </w:pPr>
    </w:p>
    <w:p w:rsidR="00C013C1" w:rsidRPr="005D7D27" w:rsidRDefault="00C013C1" w:rsidP="00C013C1">
      <w:pPr>
        <w:jc w:val="both"/>
        <w:rPr>
          <w:rFonts w:cs="Arial"/>
          <w:sz w:val="22"/>
          <w:szCs w:val="22"/>
        </w:rPr>
      </w:pPr>
    </w:p>
    <w:p w:rsidR="00C013C1" w:rsidRPr="005D7D27" w:rsidRDefault="00C013C1" w:rsidP="00C013C1">
      <w:pPr>
        <w:numPr>
          <w:ilvl w:val="0"/>
          <w:numId w:val="28"/>
        </w:numPr>
        <w:jc w:val="both"/>
        <w:rPr>
          <w:rFonts w:cs="Arial"/>
          <w:b/>
          <w:sz w:val="22"/>
          <w:szCs w:val="22"/>
        </w:rPr>
      </w:pPr>
      <w:r w:rsidRPr="005D7D27">
        <w:rPr>
          <w:rFonts w:cs="Arial"/>
          <w:b/>
          <w:sz w:val="22"/>
          <w:szCs w:val="22"/>
        </w:rPr>
        <w:t>FORMATOS</w:t>
      </w:r>
    </w:p>
    <w:p w:rsidR="00C013C1" w:rsidRPr="005D7D27" w:rsidRDefault="00C013C1" w:rsidP="00C013C1">
      <w:pPr>
        <w:ind w:left="720"/>
        <w:jc w:val="both"/>
        <w:rPr>
          <w:rFonts w:cs="Arial"/>
          <w:b/>
          <w:sz w:val="22"/>
          <w:szCs w:val="22"/>
        </w:rPr>
      </w:pPr>
    </w:p>
    <w:p w:rsidR="00C013C1" w:rsidRPr="005D7D27" w:rsidRDefault="00C013C1" w:rsidP="00C013C1">
      <w:pPr>
        <w:jc w:val="both"/>
        <w:rPr>
          <w:rFonts w:cs="Arial"/>
          <w:sz w:val="22"/>
          <w:szCs w:val="22"/>
        </w:rPr>
      </w:pPr>
      <w:r w:rsidRPr="005D7D27">
        <w:rPr>
          <w:rFonts w:cs="Arial"/>
          <w:b/>
          <w:sz w:val="22"/>
          <w:szCs w:val="22"/>
        </w:rPr>
        <w:t xml:space="preserve">       </w:t>
      </w:r>
      <w:r w:rsidRPr="005D7D27">
        <w:rPr>
          <w:rFonts w:cs="Arial"/>
          <w:sz w:val="22"/>
          <w:szCs w:val="22"/>
        </w:rPr>
        <w:t>Ver formato de control de extintores</w:t>
      </w:r>
    </w:p>
    <w:p w:rsidR="00C013C1" w:rsidRPr="005D7D27" w:rsidRDefault="00C013C1" w:rsidP="00C013C1">
      <w:pPr>
        <w:jc w:val="both"/>
        <w:rPr>
          <w:rFonts w:cs="Arial"/>
          <w:b/>
          <w:sz w:val="22"/>
          <w:szCs w:val="22"/>
        </w:rPr>
      </w:pPr>
    </w:p>
    <w:p w:rsidR="00C013C1" w:rsidRPr="005D7D27" w:rsidRDefault="00C013C1" w:rsidP="00C013C1">
      <w:pPr>
        <w:ind w:left="360"/>
        <w:jc w:val="both"/>
        <w:rPr>
          <w:rFonts w:cs="Arial"/>
          <w:sz w:val="22"/>
          <w:szCs w:val="22"/>
        </w:rPr>
      </w:pPr>
    </w:p>
    <w:p w:rsidR="00C013C1" w:rsidRPr="005D7D27" w:rsidRDefault="00C013C1" w:rsidP="00C013C1">
      <w:pPr>
        <w:numPr>
          <w:ilvl w:val="0"/>
          <w:numId w:val="28"/>
        </w:numPr>
        <w:jc w:val="both"/>
        <w:rPr>
          <w:rFonts w:cs="Arial"/>
          <w:sz w:val="22"/>
          <w:szCs w:val="22"/>
        </w:rPr>
      </w:pPr>
      <w:r w:rsidRPr="005D7D27">
        <w:rPr>
          <w:rFonts w:cs="Arial"/>
          <w:b/>
          <w:sz w:val="22"/>
          <w:szCs w:val="22"/>
        </w:rPr>
        <w:t xml:space="preserve">  ANEXOS</w:t>
      </w:r>
    </w:p>
    <w:p w:rsidR="00C013C1" w:rsidRPr="005D7D27" w:rsidRDefault="00C013C1" w:rsidP="00C013C1">
      <w:pPr>
        <w:ind w:left="720"/>
        <w:jc w:val="both"/>
        <w:rPr>
          <w:rFonts w:cs="Arial"/>
          <w:sz w:val="22"/>
          <w:szCs w:val="22"/>
        </w:rPr>
      </w:pPr>
    </w:p>
    <w:p w:rsidR="00C013C1" w:rsidRPr="005D7D27" w:rsidRDefault="00C013C1" w:rsidP="00C013C1">
      <w:pPr>
        <w:ind w:left="720"/>
        <w:jc w:val="both"/>
        <w:rPr>
          <w:rFonts w:cs="Arial"/>
          <w:sz w:val="22"/>
          <w:szCs w:val="22"/>
        </w:rPr>
      </w:pPr>
      <w:r w:rsidRPr="005D7D27">
        <w:rPr>
          <w:rFonts w:cs="Arial"/>
          <w:sz w:val="22"/>
          <w:szCs w:val="22"/>
        </w:rPr>
        <w:t>N/A</w:t>
      </w:r>
    </w:p>
    <w:p w:rsidR="00853C00" w:rsidRDefault="0048225B" w:rsidP="00853C00">
      <w:pPr>
        <w:tabs>
          <w:tab w:val="num" w:pos="284"/>
        </w:tabs>
        <w:autoSpaceDE w:val="0"/>
        <w:autoSpaceDN w:val="0"/>
        <w:adjustRightInd w:val="0"/>
        <w:rPr>
          <w:rFonts w:cs="Arial"/>
          <w:b/>
          <w:bCs/>
        </w:rPr>
      </w:pPr>
      <w:r>
        <w:rPr>
          <w:rFonts w:cs="Arial"/>
          <w:b/>
          <w:bCs/>
        </w:rPr>
        <w:t>N/A</w:t>
      </w:r>
    </w:p>
    <w:p w:rsidR="00853C00" w:rsidRDefault="00853C00" w:rsidP="00853C00">
      <w:pPr>
        <w:tabs>
          <w:tab w:val="num" w:pos="284"/>
        </w:tabs>
        <w:autoSpaceDE w:val="0"/>
        <w:autoSpaceDN w:val="0"/>
        <w:adjustRightInd w:val="0"/>
        <w:rPr>
          <w:rFonts w:cs="Arial"/>
          <w:b/>
          <w:bCs/>
        </w:rPr>
      </w:pPr>
    </w:p>
    <w:p w:rsidR="00853C00" w:rsidRPr="00853C00" w:rsidRDefault="00853C00" w:rsidP="00853C00">
      <w:pPr>
        <w:tabs>
          <w:tab w:val="num" w:pos="284"/>
        </w:tabs>
        <w:autoSpaceDE w:val="0"/>
        <w:autoSpaceDN w:val="0"/>
        <w:adjustRightInd w:val="0"/>
        <w:rPr>
          <w:rFonts w:cs="Arial"/>
          <w:b/>
          <w:bCs/>
        </w:rPr>
      </w:pPr>
    </w:p>
    <w:p w:rsidR="00853C00" w:rsidRDefault="00853C00" w:rsidP="00117EE7">
      <w:pPr>
        <w:pStyle w:val="Prrafodelista"/>
        <w:numPr>
          <w:ilvl w:val="0"/>
          <w:numId w:val="1"/>
        </w:numPr>
        <w:tabs>
          <w:tab w:val="num" w:pos="284"/>
        </w:tabs>
        <w:autoSpaceDE w:val="0"/>
        <w:autoSpaceDN w:val="0"/>
        <w:adjustRightInd w:val="0"/>
        <w:rPr>
          <w:rFonts w:cs="Arial"/>
          <w:b/>
          <w:bCs/>
        </w:rPr>
      </w:pPr>
      <w:r>
        <w:rPr>
          <w:rFonts w:cs="Arial"/>
          <w:b/>
          <w:bCs/>
        </w:rPr>
        <w:t>DIAGRAMA DE FLUJO</w:t>
      </w:r>
    </w:p>
    <w:p w:rsidR="00853C00" w:rsidRDefault="00853C00" w:rsidP="00853C00">
      <w:pPr>
        <w:tabs>
          <w:tab w:val="num" w:pos="284"/>
        </w:tabs>
        <w:autoSpaceDE w:val="0"/>
        <w:autoSpaceDN w:val="0"/>
        <w:adjustRightInd w:val="0"/>
        <w:rPr>
          <w:rFonts w:cs="Arial"/>
          <w:b/>
          <w:bCs/>
        </w:rPr>
      </w:pPr>
    </w:p>
    <w:p w:rsidR="00853C00" w:rsidRDefault="00853C00" w:rsidP="00853C00">
      <w:pPr>
        <w:tabs>
          <w:tab w:val="num" w:pos="284"/>
        </w:tabs>
        <w:autoSpaceDE w:val="0"/>
        <w:autoSpaceDN w:val="0"/>
        <w:adjustRightInd w:val="0"/>
        <w:rPr>
          <w:rFonts w:cs="Arial"/>
          <w:b/>
          <w:bCs/>
        </w:rPr>
      </w:pPr>
    </w:p>
    <w:p w:rsidR="00853C00" w:rsidRPr="00853C00" w:rsidRDefault="00853C00" w:rsidP="00853C00">
      <w:pPr>
        <w:tabs>
          <w:tab w:val="num" w:pos="284"/>
        </w:tabs>
        <w:autoSpaceDE w:val="0"/>
        <w:autoSpaceDN w:val="0"/>
        <w:adjustRightInd w:val="0"/>
        <w:rPr>
          <w:rFonts w:cs="Arial"/>
          <w:b/>
          <w:bCs/>
        </w:rPr>
      </w:pPr>
    </w:p>
    <w:p w:rsidR="001B7A74" w:rsidRDefault="001B7A74" w:rsidP="001B7A74">
      <w:pPr>
        <w:tabs>
          <w:tab w:val="num" w:pos="284"/>
        </w:tabs>
        <w:autoSpaceDE w:val="0"/>
        <w:autoSpaceDN w:val="0"/>
        <w:adjustRightInd w:val="0"/>
        <w:rPr>
          <w:rFonts w:cs="Arial"/>
          <w:b/>
          <w:bCs/>
        </w:rPr>
      </w:pPr>
    </w:p>
    <w:p w:rsidR="001B7A74" w:rsidRDefault="001B7A74" w:rsidP="001B7A74">
      <w:pPr>
        <w:tabs>
          <w:tab w:val="num" w:pos="284"/>
        </w:tabs>
        <w:autoSpaceDE w:val="0"/>
        <w:autoSpaceDN w:val="0"/>
        <w:adjustRightInd w:val="0"/>
        <w:rPr>
          <w:rFonts w:cs="Arial"/>
          <w:b/>
          <w:bCs/>
        </w:rPr>
      </w:pPr>
    </w:p>
    <w:p w:rsidR="001B7A74" w:rsidRPr="001B7A74" w:rsidRDefault="001B7A74" w:rsidP="001B7A74">
      <w:pPr>
        <w:tabs>
          <w:tab w:val="num" w:pos="284"/>
        </w:tabs>
        <w:autoSpaceDE w:val="0"/>
        <w:autoSpaceDN w:val="0"/>
        <w:adjustRightInd w:val="0"/>
        <w:rPr>
          <w:rFonts w:cs="Arial"/>
          <w:b/>
          <w:bCs/>
        </w:rPr>
      </w:pPr>
    </w:p>
    <w:sectPr w:rsidR="001B7A74" w:rsidRPr="001B7A74" w:rsidSect="001B5C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329" w:rsidRDefault="009C0329" w:rsidP="0054004B">
      <w:r>
        <w:separator/>
      </w:r>
    </w:p>
  </w:endnote>
  <w:endnote w:type="continuationSeparator" w:id="0">
    <w:p w:rsidR="009C0329" w:rsidRDefault="009C0329" w:rsidP="00540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842" w:rsidRDefault="00B8284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418"/>
      <w:gridCol w:w="3174"/>
      <w:gridCol w:w="3063"/>
      <w:gridCol w:w="1065"/>
    </w:tblGrid>
    <w:tr w:rsidR="00675C88" w:rsidRPr="0082346F" w:rsidTr="00675C88">
      <w:tc>
        <w:tcPr>
          <w:tcW w:w="1318" w:type="dxa"/>
        </w:tcPr>
        <w:p w:rsidR="00675C88" w:rsidRDefault="00675C88" w:rsidP="00E21DE7">
          <w:pPr>
            <w:pStyle w:val="Piedepgina"/>
          </w:pPr>
          <w:r>
            <w:t>Fecha:</w:t>
          </w:r>
        </w:p>
      </w:tc>
      <w:tc>
        <w:tcPr>
          <w:tcW w:w="3216" w:type="dxa"/>
        </w:tcPr>
        <w:p w:rsidR="00675C88" w:rsidRDefault="00675C88" w:rsidP="00E21DE7">
          <w:pPr>
            <w:pStyle w:val="Piedepgina"/>
          </w:pPr>
          <w:r>
            <w:t xml:space="preserve">Realizado por: </w:t>
          </w:r>
          <w:r w:rsidR="00A033BD">
            <w:t xml:space="preserve">                 </w:t>
          </w:r>
          <w:r>
            <w:t>Patricia Sánchez</w:t>
          </w:r>
        </w:p>
      </w:tc>
      <w:tc>
        <w:tcPr>
          <w:tcW w:w="3118" w:type="dxa"/>
        </w:tcPr>
        <w:p w:rsidR="00675C88" w:rsidRPr="0082346F" w:rsidRDefault="00675C88" w:rsidP="00E21DE7">
          <w:pPr>
            <w:pStyle w:val="Piedepgina"/>
            <w:rPr>
              <w:lang w:val="es-EC"/>
            </w:rPr>
          </w:pPr>
          <w:r w:rsidRPr="0082346F">
            <w:rPr>
              <w:lang w:val="es-EC"/>
            </w:rPr>
            <w:t xml:space="preserve">Revisado por: Ing. </w:t>
          </w:r>
          <w:r>
            <w:rPr>
              <w:lang w:val="es-EC"/>
            </w:rPr>
            <w:t>Gustavo Córdova</w:t>
          </w:r>
        </w:p>
      </w:tc>
      <w:tc>
        <w:tcPr>
          <w:tcW w:w="1068" w:type="dxa"/>
        </w:tcPr>
        <w:p w:rsidR="00675C88" w:rsidRPr="0082346F" w:rsidRDefault="00675C88" w:rsidP="00E21DE7">
          <w:pPr>
            <w:pStyle w:val="Piedepgina"/>
            <w:rPr>
              <w:lang w:val="es-EC"/>
            </w:rPr>
          </w:pPr>
          <w:r w:rsidRPr="0082346F">
            <w:rPr>
              <w:lang w:val="es-EC"/>
            </w:rPr>
            <w:t>Página N°</w:t>
          </w:r>
        </w:p>
      </w:tc>
    </w:tr>
    <w:tr w:rsidR="00675C88" w:rsidRPr="0082346F" w:rsidTr="00675C88">
      <w:tc>
        <w:tcPr>
          <w:tcW w:w="1318" w:type="dxa"/>
        </w:tcPr>
        <w:p w:rsidR="00675C88" w:rsidRPr="0082346F" w:rsidRDefault="00675C88" w:rsidP="00675C88">
          <w:pPr>
            <w:pStyle w:val="Piedepgina"/>
            <w:rPr>
              <w:lang w:val="es-EC"/>
            </w:rPr>
          </w:pPr>
          <w:r>
            <w:rPr>
              <w:lang w:val="es-EC"/>
            </w:rPr>
            <w:t>20</w:t>
          </w:r>
          <w:r w:rsidRPr="0082346F">
            <w:rPr>
              <w:lang w:val="es-EC"/>
            </w:rPr>
            <w:t>/03/2012</w:t>
          </w:r>
        </w:p>
      </w:tc>
      <w:tc>
        <w:tcPr>
          <w:tcW w:w="3216" w:type="dxa"/>
        </w:tcPr>
        <w:p w:rsidR="00675C88" w:rsidRPr="0082346F" w:rsidRDefault="00675C88" w:rsidP="00A033BD">
          <w:pPr>
            <w:pStyle w:val="Piedepgina"/>
            <w:rPr>
              <w:lang w:val="es-EC"/>
            </w:rPr>
          </w:pPr>
          <w:r w:rsidRPr="0082346F">
            <w:rPr>
              <w:lang w:val="es-EC"/>
            </w:rPr>
            <w:t xml:space="preserve">Cargo: </w:t>
          </w:r>
          <w:r w:rsidR="00A033BD">
            <w:rPr>
              <w:lang w:val="es-EC"/>
            </w:rPr>
            <w:t>Representante SIG</w:t>
          </w:r>
        </w:p>
      </w:tc>
      <w:tc>
        <w:tcPr>
          <w:tcW w:w="3118" w:type="dxa"/>
        </w:tcPr>
        <w:p w:rsidR="00675C88" w:rsidRPr="0082346F" w:rsidRDefault="00675C88" w:rsidP="00E21DE7">
          <w:pPr>
            <w:pStyle w:val="Piedepgina"/>
            <w:rPr>
              <w:lang w:val="es-EC"/>
            </w:rPr>
          </w:pPr>
          <w:r w:rsidRPr="0082346F">
            <w:rPr>
              <w:lang w:val="es-EC"/>
            </w:rPr>
            <w:t>Cargo:</w:t>
          </w:r>
          <w:r>
            <w:rPr>
              <w:lang w:val="es-EC"/>
            </w:rPr>
            <w:t xml:space="preserve"> Gerente General</w:t>
          </w:r>
        </w:p>
      </w:tc>
      <w:tc>
        <w:tcPr>
          <w:tcW w:w="1068" w:type="dxa"/>
        </w:tcPr>
        <w:p w:rsidR="00675C88" w:rsidRPr="0082346F" w:rsidRDefault="005D0C9D" w:rsidP="00675C88">
          <w:pPr>
            <w:pStyle w:val="Piedepgina"/>
            <w:jc w:val="right"/>
            <w:rPr>
              <w:lang w:val="es-EC"/>
            </w:rPr>
          </w:pPr>
          <w:r>
            <w:rPr>
              <w:lang w:val="es-EC"/>
            </w:rPr>
            <w:t>1</w:t>
          </w:r>
          <w:r w:rsidR="00675C88">
            <w:rPr>
              <w:lang w:val="es-EC"/>
            </w:rPr>
            <w:t>/6</w:t>
          </w:r>
        </w:p>
      </w:tc>
    </w:tr>
  </w:tbl>
  <w:p w:rsidR="00675C88" w:rsidRDefault="00675C8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842" w:rsidRDefault="00B828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329" w:rsidRDefault="009C0329" w:rsidP="0054004B">
      <w:r>
        <w:separator/>
      </w:r>
    </w:p>
  </w:footnote>
  <w:footnote w:type="continuationSeparator" w:id="0">
    <w:p w:rsidR="009C0329" w:rsidRDefault="009C0329" w:rsidP="005400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842" w:rsidRDefault="00B8284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889" w:type="dxa"/>
      <w:tblLook w:val="04A0" w:firstRow="1" w:lastRow="0" w:firstColumn="1" w:lastColumn="0" w:noHBand="0" w:noVBand="1"/>
    </w:tblPr>
    <w:tblGrid>
      <w:gridCol w:w="1764"/>
      <w:gridCol w:w="5715"/>
      <w:gridCol w:w="2410"/>
    </w:tblGrid>
    <w:tr w:rsidR="00675C88" w:rsidRPr="00FF6CB1" w:rsidTr="00E21DE7">
      <w:tc>
        <w:tcPr>
          <w:tcW w:w="1764" w:type="dxa"/>
          <w:vAlign w:val="center"/>
        </w:tcPr>
        <w:p w:rsidR="00675C88" w:rsidRPr="007A2358" w:rsidRDefault="00D03EE2" w:rsidP="00E21DE7">
          <w:pPr>
            <w:pStyle w:val="Encabezado"/>
            <w:jc w:val="center"/>
            <w:rPr>
              <w:rFonts w:cs="Arial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4B542A2E" wp14:editId="76E310BB">
                <wp:extent cx="685800" cy="666750"/>
                <wp:effectExtent l="0" t="0" r="0" b="0"/>
                <wp:docPr id="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15" w:type="dxa"/>
        </w:tcPr>
        <w:p w:rsidR="00C013C1" w:rsidRDefault="00C013C1" w:rsidP="00675C88">
          <w:pPr>
            <w:jc w:val="center"/>
            <w:rPr>
              <w:rFonts w:eastAsia="Times New Roman" w:cs="Arial"/>
              <w:b/>
              <w:bCs/>
              <w:color w:val="000000"/>
              <w:lang w:val="es-EC"/>
            </w:rPr>
          </w:pPr>
        </w:p>
        <w:p w:rsidR="00675C88" w:rsidRPr="007A2358" w:rsidRDefault="00D112DC" w:rsidP="00675C88">
          <w:pPr>
            <w:jc w:val="center"/>
            <w:rPr>
              <w:rFonts w:eastAsia="Times New Roman" w:cs="Arial"/>
              <w:b/>
              <w:bCs/>
              <w:color w:val="000000"/>
              <w:lang w:val="es-EC"/>
            </w:rPr>
          </w:pPr>
          <w:r>
            <w:rPr>
              <w:rFonts w:eastAsia="Times New Roman" w:cs="Arial"/>
              <w:b/>
              <w:bCs/>
              <w:color w:val="000000"/>
              <w:lang w:val="es-EC"/>
            </w:rPr>
            <w:t xml:space="preserve">PROCEDIMIENTO DE </w:t>
          </w:r>
          <w:r w:rsidR="00C013C1">
            <w:rPr>
              <w:rFonts w:eastAsia="Times New Roman" w:cs="Arial"/>
              <w:b/>
              <w:bCs/>
              <w:color w:val="000000"/>
              <w:lang w:val="es-EC"/>
            </w:rPr>
            <w:t>CONTROL Y MANTENIMIENTO DE EXTINTORES</w:t>
          </w:r>
        </w:p>
        <w:p w:rsidR="00675C88" w:rsidRPr="007A2358" w:rsidRDefault="00675C88" w:rsidP="00675C88">
          <w:pPr>
            <w:jc w:val="center"/>
            <w:rPr>
              <w:rFonts w:cs="Arial"/>
              <w:lang w:val="es-EC"/>
            </w:rPr>
          </w:pPr>
        </w:p>
      </w:tc>
      <w:tc>
        <w:tcPr>
          <w:tcW w:w="2410" w:type="dxa"/>
        </w:tcPr>
        <w:p w:rsidR="00B82842" w:rsidRDefault="00B82842" w:rsidP="00E21DE7">
          <w:pPr>
            <w:pStyle w:val="Encabezado"/>
            <w:rPr>
              <w:rFonts w:eastAsia="Times New Roman" w:cs="Arial"/>
              <w:b/>
              <w:color w:val="000000"/>
              <w:sz w:val="22"/>
              <w:szCs w:val="22"/>
            </w:rPr>
          </w:pPr>
        </w:p>
        <w:p w:rsidR="00675C88" w:rsidRPr="00B82842" w:rsidRDefault="00675C88" w:rsidP="00E21DE7">
          <w:pPr>
            <w:pStyle w:val="Encabezado"/>
            <w:rPr>
              <w:rFonts w:eastAsia="Times New Roman" w:cs="Arial"/>
              <w:b/>
              <w:color w:val="000000"/>
              <w:sz w:val="22"/>
              <w:szCs w:val="22"/>
            </w:rPr>
          </w:pPr>
          <w:bookmarkStart w:id="0" w:name="_GoBack"/>
          <w:bookmarkEnd w:id="0"/>
          <w:r w:rsidRPr="00B82842">
            <w:rPr>
              <w:rFonts w:eastAsia="Times New Roman" w:cs="Arial"/>
              <w:b/>
              <w:color w:val="000000"/>
              <w:sz w:val="22"/>
              <w:szCs w:val="22"/>
            </w:rPr>
            <w:t xml:space="preserve">Código: </w:t>
          </w:r>
          <w:r w:rsidR="00F9068E" w:rsidRPr="00B82842">
            <w:rPr>
              <w:rFonts w:eastAsia="Times New Roman" w:cs="Arial"/>
              <w:b/>
              <w:color w:val="000000"/>
              <w:sz w:val="22"/>
              <w:szCs w:val="22"/>
            </w:rPr>
            <w:t>PE-3.2.7</w:t>
          </w:r>
        </w:p>
        <w:p w:rsidR="00675C88" w:rsidRPr="00B82842" w:rsidRDefault="00675C88" w:rsidP="00E21DE7">
          <w:pPr>
            <w:pStyle w:val="Encabezado"/>
            <w:rPr>
              <w:rFonts w:eastAsia="Times New Roman" w:cs="Arial"/>
              <w:b/>
              <w:color w:val="000000"/>
            </w:rPr>
          </w:pPr>
        </w:p>
        <w:p w:rsidR="00675C88" w:rsidRPr="007A2358" w:rsidRDefault="00675C88" w:rsidP="00E21DE7">
          <w:pPr>
            <w:pStyle w:val="Encabezado"/>
            <w:rPr>
              <w:rFonts w:cs="Arial"/>
              <w:lang w:val="es-EC"/>
            </w:rPr>
          </w:pPr>
          <w:r w:rsidRPr="00B82842">
            <w:rPr>
              <w:rFonts w:eastAsia="Times New Roman" w:cs="Arial"/>
              <w:b/>
              <w:color w:val="000000"/>
              <w:lang w:val="es-EC"/>
            </w:rPr>
            <w:t>Versión</w:t>
          </w:r>
          <w:r w:rsidRPr="00B82842">
            <w:rPr>
              <w:rFonts w:eastAsia="Times New Roman" w:cs="Arial"/>
              <w:b/>
              <w:color w:val="000000"/>
            </w:rPr>
            <w:t>:  1.00</w:t>
          </w:r>
        </w:p>
      </w:tc>
    </w:tr>
  </w:tbl>
  <w:p w:rsidR="00675C88" w:rsidRDefault="00675C8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842" w:rsidRDefault="00B828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D274EA"/>
    <w:multiLevelType w:val="hybridMultilevel"/>
    <w:tmpl w:val="81029D9A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C44DD"/>
    <w:multiLevelType w:val="hybridMultilevel"/>
    <w:tmpl w:val="42C030C6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C3735"/>
    <w:multiLevelType w:val="hybridMultilevel"/>
    <w:tmpl w:val="786E900E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24BE7"/>
    <w:multiLevelType w:val="hybridMultilevel"/>
    <w:tmpl w:val="3B8008FA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317B3D"/>
    <w:multiLevelType w:val="hybridMultilevel"/>
    <w:tmpl w:val="48A451C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9675ED"/>
    <w:multiLevelType w:val="hybridMultilevel"/>
    <w:tmpl w:val="AA8C2DB4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577994"/>
    <w:multiLevelType w:val="hybridMultilevel"/>
    <w:tmpl w:val="04241A82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92A32"/>
    <w:multiLevelType w:val="hybridMultilevel"/>
    <w:tmpl w:val="3858D21E"/>
    <w:lvl w:ilvl="0" w:tplc="827658A0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940530"/>
    <w:multiLevelType w:val="hybridMultilevel"/>
    <w:tmpl w:val="98A46EC4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685110"/>
    <w:multiLevelType w:val="hybridMultilevel"/>
    <w:tmpl w:val="2B04A728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9F62C4"/>
    <w:multiLevelType w:val="hybridMultilevel"/>
    <w:tmpl w:val="8876BD18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630902"/>
    <w:multiLevelType w:val="hybridMultilevel"/>
    <w:tmpl w:val="40928D42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3D39D0"/>
    <w:multiLevelType w:val="hybridMultilevel"/>
    <w:tmpl w:val="454A77DE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D13218"/>
    <w:multiLevelType w:val="hybridMultilevel"/>
    <w:tmpl w:val="8A20830A"/>
    <w:lvl w:ilvl="0" w:tplc="9C0E42F6">
      <w:start w:val="1"/>
      <w:numFmt w:val="lowerLetter"/>
      <w:lvlText w:val="%1)"/>
      <w:lvlJc w:val="left"/>
      <w:pPr>
        <w:ind w:left="1636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>
    <w:nsid w:val="3C647C86"/>
    <w:multiLevelType w:val="hybridMultilevel"/>
    <w:tmpl w:val="ECE815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2F08C2"/>
    <w:multiLevelType w:val="hybridMultilevel"/>
    <w:tmpl w:val="7A521756"/>
    <w:lvl w:ilvl="0" w:tplc="06B6BC6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2302CE"/>
    <w:multiLevelType w:val="hybridMultilevel"/>
    <w:tmpl w:val="A37C554E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6C05C0"/>
    <w:multiLevelType w:val="hybridMultilevel"/>
    <w:tmpl w:val="AC56F992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B05A0C"/>
    <w:multiLevelType w:val="hybridMultilevel"/>
    <w:tmpl w:val="95264234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8F30E0"/>
    <w:multiLevelType w:val="hybridMultilevel"/>
    <w:tmpl w:val="567080C2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09057D"/>
    <w:multiLevelType w:val="hybridMultilevel"/>
    <w:tmpl w:val="550C3A80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FE6110C"/>
    <w:multiLevelType w:val="hybridMultilevel"/>
    <w:tmpl w:val="EF4014D2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37D4ACE"/>
    <w:multiLevelType w:val="hybridMultilevel"/>
    <w:tmpl w:val="1E54CBB6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AAE4726"/>
    <w:multiLevelType w:val="hybridMultilevel"/>
    <w:tmpl w:val="9BD6F086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</w:num>
  <w:num w:numId="5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4"/>
  </w:num>
  <w:num w:numId="13">
    <w:abstractNumId w:val="8"/>
  </w:num>
  <w:num w:numId="14">
    <w:abstractNumId w:val="1"/>
  </w:num>
  <w:num w:numId="15">
    <w:abstractNumId w:val="13"/>
  </w:num>
  <w:num w:numId="16">
    <w:abstractNumId w:val="2"/>
  </w:num>
  <w:num w:numId="17">
    <w:abstractNumId w:val="24"/>
  </w:num>
  <w:num w:numId="18">
    <w:abstractNumId w:val="3"/>
  </w:num>
  <w:num w:numId="19">
    <w:abstractNumId w:val="11"/>
  </w:num>
  <w:num w:numId="20">
    <w:abstractNumId w:val="19"/>
  </w:num>
  <w:num w:numId="21">
    <w:abstractNumId w:val="10"/>
  </w:num>
  <w:num w:numId="22">
    <w:abstractNumId w:val="17"/>
  </w:num>
  <w:num w:numId="23">
    <w:abstractNumId w:val="14"/>
  </w:num>
  <w:num w:numId="24">
    <w:abstractNumId w:val="20"/>
  </w:num>
  <w:num w:numId="25">
    <w:abstractNumId w:val="9"/>
  </w:num>
  <w:num w:numId="26">
    <w:abstractNumId w:val="7"/>
  </w:num>
  <w:num w:numId="27">
    <w:abstractNumId w:val="12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lvl w:ilvl="0">
        <w:start w:val="1"/>
        <w:numFmt w:val="bullet"/>
        <w:lvlText w:val=""/>
        <w:legacy w:legacy="1" w:legacySpace="0" w:legacyIndent="170"/>
        <w:lvlJc w:val="left"/>
        <w:pPr>
          <w:ind w:left="879" w:hanging="170"/>
        </w:pPr>
        <w:rPr>
          <w:rFonts w:ascii="Symbol" w:hAnsi="Symbol" w:hint="default"/>
        </w:rPr>
      </w:lvl>
    </w:lvlOverride>
  </w:num>
  <w:num w:numId="30">
    <w:abstractNumId w:val="0"/>
    <w:lvlOverride w:ilvl="0">
      <w:lvl w:ilvl="0">
        <w:start w:val="1"/>
        <w:numFmt w:val="bullet"/>
        <w:lvlText w:val=""/>
        <w:legacy w:legacy="1" w:legacySpace="170" w:legacyIndent="0"/>
        <w:lvlJc w:val="left"/>
        <w:pPr>
          <w:ind w:left="709" w:firstLine="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EE7"/>
    <w:rsid w:val="0008610F"/>
    <w:rsid w:val="000A7C53"/>
    <w:rsid w:val="000C7525"/>
    <w:rsid w:val="00117EE6"/>
    <w:rsid w:val="00117EE7"/>
    <w:rsid w:val="001A25E4"/>
    <w:rsid w:val="001B078C"/>
    <w:rsid w:val="001B5C02"/>
    <w:rsid w:val="001B7A74"/>
    <w:rsid w:val="001C31BE"/>
    <w:rsid w:val="001D25FA"/>
    <w:rsid w:val="001E681E"/>
    <w:rsid w:val="001E6D5D"/>
    <w:rsid w:val="002023C5"/>
    <w:rsid w:val="0021526C"/>
    <w:rsid w:val="00221833"/>
    <w:rsid w:val="00261F4B"/>
    <w:rsid w:val="002741B3"/>
    <w:rsid w:val="00295D8C"/>
    <w:rsid w:val="002C05FF"/>
    <w:rsid w:val="002C7B73"/>
    <w:rsid w:val="002E7C3B"/>
    <w:rsid w:val="0030727D"/>
    <w:rsid w:val="00325ED9"/>
    <w:rsid w:val="00330EAF"/>
    <w:rsid w:val="003565D1"/>
    <w:rsid w:val="0037002B"/>
    <w:rsid w:val="003E35C2"/>
    <w:rsid w:val="004044B3"/>
    <w:rsid w:val="0040534C"/>
    <w:rsid w:val="004260B1"/>
    <w:rsid w:val="00436DB7"/>
    <w:rsid w:val="00452C99"/>
    <w:rsid w:val="004650DB"/>
    <w:rsid w:val="0048225B"/>
    <w:rsid w:val="004B73C4"/>
    <w:rsid w:val="004E31F0"/>
    <w:rsid w:val="00536A21"/>
    <w:rsid w:val="0054004B"/>
    <w:rsid w:val="005636D3"/>
    <w:rsid w:val="00585A71"/>
    <w:rsid w:val="00593F06"/>
    <w:rsid w:val="00594BE9"/>
    <w:rsid w:val="005D0C9D"/>
    <w:rsid w:val="005E0192"/>
    <w:rsid w:val="005E546C"/>
    <w:rsid w:val="005F4C3A"/>
    <w:rsid w:val="0060162E"/>
    <w:rsid w:val="0060664D"/>
    <w:rsid w:val="006200C6"/>
    <w:rsid w:val="00621D83"/>
    <w:rsid w:val="00646A6A"/>
    <w:rsid w:val="006565E7"/>
    <w:rsid w:val="00674F39"/>
    <w:rsid w:val="00675C88"/>
    <w:rsid w:val="006B470E"/>
    <w:rsid w:val="006C44BD"/>
    <w:rsid w:val="007244D9"/>
    <w:rsid w:val="00747E92"/>
    <w:rsid w:val="00787637"/>
    <w:rsid w:val="008210C2"/>
    <w:rsid w:val="00827868"/>
    <w:rsid w:val="0085145A"/>
    <w:rsid w:val="00852A67"/>
    <w:rsid w:val="00853C00"/>
    <w:rsid w:val="00864C67"/>
    <w:rsid w:val="00876F33"/>
    <w:rsid w:val="008835E4"/>
    <w:rsid w:val="008B0A06"/>
    <w:rsid w:val="008D537A"/>
    <w:rsid w:val="008E201F"/>
    <w:rsid w:val="008F0474"/>
    <w:rsid w:val="008F64CF"/>
    <w:rsid w:val="0094155D"/>
    <w:rsid w:val="009A1A79"/>
    <w:rsid w:val="009A21A8"/>
    <w:rsid w:val="009C0329"/>
    <w:rsid w:val="009E3A26"/>
    <w:rsid w:val="00A033BD"/>
    <w:rsid w:val="00A30D7D"/>
    <w:rsid w:val="00A435C8"/>
    <w:rsid w:val="00A518D4"/>
    <w:rsid w:val="00A627FA"/>
    <w:rsid w:val="00A62E4A"/>
    <w:rsid w:val="00AB4C2E"/>
    <w:rsid w:val="00AF0965"/>
    <w:rsid w:val="00B82842"/>
    <w:rsid w:val="00BA52CB"/>
    <w:rsid w:val="00BC4B50"/>
    <w:rsid w:val="00BE4AE5"/>
    <w:rsid w:val="00C013C1"/>
    <w:rsid w:val="00CB1BFC"/>
    <w:rsid w:val="00CB3FC3"/>
    <w:rsid w:val="00D03EE2"/>
    <w:rsid w:val="00D112DC"/>
    <w:rsid w:val="00D217FE"/>
    <w:rsid w:val="00D2754A"/>
    <w:rsid w:val="00D33F72"/>
    <w:rsid w:val="00D53A23"/>
    <w:rsid w:val="00D76812"/>
    <w:rsid w:val="00D91F93"/>
    <w:rsid w:val="00D94E58"/>
    <w:rsid w:val="00DB3E27"/>
    <w:rsid w:val="00DC6667"/>
    <w:rsid w:val="00DD567D"/>
    <w:rsid w:val="00DE00AD"/>
    <w:rsid w:val="00DE7B53"/>
    <w:rsid w:val="00E00719"/>
    <w:rsid w:val="00E038C9"/>
    <w:rsid w:val="00E20249"/>
    <w:rsid w:val="00E26F0A"/>
    <w:rsid w:val="00E558BE"/>
    <w:rsid w:val="00E6557C"/>
    <w:rsid w:val="00EA05AB"/>
    <w:rsid w:val="00EA7807"/>
    <w:rsid w:val="00ED709A"/>
    <w:rsid w:val="00F41F02"/>
    <w:rsid w:val="00F623EF"/>
    <w:rsid w:val="00F6643A"/>
    <w:rsid w:val="00F9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EE7"/>
    <w:pPr>
      <w:spacing w:after="0" w:line="240" w:lineRule="auto"/>
    </w:pPr>
    <w:rPr>
      <w:rFonts w:ascii="Arial" w:eastAsia="SimSun" w:hAnsi="Arial" w:cs="Times New Roman"/>
      <w:sz w:val="24"/>
      <w:szCs w:val="24"/>
      <w:lang w:val="es-MX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7EE7"/>
    <w:pPr>
      <w:ind w:left="720"/>
      <w:contextualSpacing/>
    </w:pPr>
  </w:style>
  <w:style w:type="paragraph" w:customStyle="1" w:styleId="xl75">
    <w:name w:val="xl75"/>
    <w:basedOn w:val="Normal"/>
    <w:rsid w:val="00117EE7"/>
    <w:pPr>
      <w:spacing w:before="100" w:beforeAutospacing="1" w:after="100" w:afterAutospacing="1"/>
      <w:jc w:val="both"/>
    </w:pPr>
    <w:rPr>
      <w:rFonts w:eastAsia="Arial Unicode MS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117EE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54004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004B"/>
    <w:rPr>
      <w:rFonts w:ascii="Arial" w:eastAsia="SimSun" w:hAnsi="Arial" w:cs="Times New Roman"/>
      <w:sz w:val="24"/>
      <w:szCs w:val="24"/>
      <w:lang w:val="es-MX" w:eastAsia="zh-CN"/>
    </w:rPr>
  </w:style>
  <w:style w:type="paragraph" w:styleId="Piedepgina">
    <w:name w:val="footer"/>
    <w:basedOn w:val="Normal"/>
    <w:link w:val="PiedepginaCar"/>
    <w:uiPriority w:val="99"/>
    <w:unhideWhenUsed/>
    <w:rsid w:val="0054004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04B"/>
    <w:rPr>
      <w:rFonts w:ascii="Arial" w:eastAsia="SimSun" w:hAnsi="Arial" w:cs="Times New Roman"/>
      <w:sz w:val="24"/>
      <w:szCs w:val="24"/>
      <w:lang w:val="es-MX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5C8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5C88"/>
    <w:rPr>
      <w:rFonts w:ascii="Tahoma" w:eastAsia="SimSun" w:hAnsi="Tahoma" w:cs="Tahoma"/>
      <w:sz w:val="16"/>
      <w:szCs w:val="16"/>
      <w:lang w:val="es-MX" w:eastAsia="zh-CN"/>
    </w:rPr>
  </w:style>
  <w:style w:type="paragraph" w:customStyle="1" w:styleId="Default">
    <w:name w:val="Default"/>
    <w:rsid w:val="008B0A0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ps">
    <w:name w:val="hps"/>
    <w:basedOn w:val="Fuentedeprrafopredeter"/>
    <w:rsid w:val="00D33F72"/>
  </w:style>
  <w:style w:type="character" w:customStyle="1" w:styleId="apple-converted-space">
    <w:name w:val="apple-converted-space"/>
    <w:basedOn w:val="Fuentedeprrafopredeter"/>
    <w:rsid w:val="00D217FE"/>
  </w:style>
  <w:style w:type="character" w:styleId="nfasis">
    <w:name w:val="Emphasis"/>
    <w:basedOn w:val="Fuentedeprrafopredeter"/>
    <w:uiPriority w:val="20"/>
    <w:qFormat/>
    <w:rsid w:val="00D217F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EE7"/>
    <w:pPr>
      <w:spacing w:after="0" w:line="240" w:lineRule="auto"/>
    </w:pPr>
    <w:rPr>
      <w:rFonts w:ascii="Arial" w:eastAsia="SimSun" w:hAnsi="Arial" w:cs="Times New Roman"/>
      <w:sz w:val="24"/>
      <w:szCs w:val="24"/>
      <w:lang w:val="es-MX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7EE7"/>
    <w:pPr>
      <w:ind w:left="720"/>
      <w:contextualSpacing/>
    </w:pPr>
  </w:style>
  <w:style w:type="paragraph" w:customStyle="1" w:styleId="xl75">
    <w:name w:val="xl75"/>
    <w:basedOn w:val="Normal"/>
    <w:rsid w:val="00117EE7"/>
    <w:pPr>
      <w:spacing w:before="100" w:beforeAutospacing="1" w:after="100" w:afterAutospacing="1"/>
      <w:jc w:val="both"/>
    </w:pPr>
    <w:rPr>
      <w:rFonts w:eastAsia="Arial Unicode MS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117EE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54004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004B"/>
    <w:rPr>
      <w:rFonts w:ascii="Arial" w:eastAsia="SimSun" w:hAnsi="Arial" w:cs="Times New Roman"/>
      <w:sz w:val="24"/>
      <w:szCs w:val="24"/>
      <w:lang w:val="es-MX" w:eastAsia="zh-CN"/>
    </w:rPr>
  </w:style>
  <w:style w:type="paragraph" w:styleId="Piedepgina">
    <w:name w:val="footer"/>
    <w:basedOn w:val="Normal"/>
    <w:link w:val="PiedepginaCar"/>
    <w:uiPriority w:val="99"/>
    <w:unhideWhenUsed/>
    <w:rsid w:val="0054004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04B"/>
    <w:rPr>
      <w:rFonts w:ascii="Arial" w:eastAsia="SimSun" w:hAnsi="Arial" w:cs="Times New Roman"/>
      <w:sz w:val="24"/>
      <w:szCs w:val="24"/>
      <w:lang w:val="es-MX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5C8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5C88"/>
    <w:rPr>
      <w:rFonts w:ascii="Tahoma" w:eastAsia="SimSun" w:hAnsi="Tahoma" w:cs="Tahoma"/>
      <w:sz w:val="16"/>
      <w:szCs w:val="16"/>
      <w:lang w:val="es-MX" w:eastAsia="zh-CN"/>
    </w:rPr>
  </w:style>
  <w:style w:type="paragraph" w:customStyle="1" w:styleId="Default">
    <w:name w:val="Default"/>
    <w:rsid w:val="008B0A0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ps">
    <w:name w:val="hps"/>
    <w:basedOn w:val="Fuentedeprrafopredeter"/>
    <w:rsid w:val="00D33F72"/>
  </w:style>
  <w:style w:type="character" w:customStyle="1" w:styleId="apple-converted-space">
    <w:name w:val="apple-converted-space"/>
    <w:basedOn w:val="Fuentedeprrafopredeter"/>
    <w:rsid w:val="00D217FE"/>
  </w:style>
  <w:style w:type="character" w:styleId="nfasis">
    <w:name w:val="Emphasis"/>
    <w:basedOn w:val="Fuentedeprrafopredeter"/>
    <w:uiPriority w:val="20"/>
    <w:qFormat/>
    <w:rsid w:val="00D217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987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PETROCOMPANY</dc:creator>
  <cp:lastModifiedBy>ALESANDRO</cp:lastModifiedBy>
  <cp:revision>6</cp:revision>
  <dcterms:created xsi:type="dcterms:W3CDTF">2012-05-22T03:35:00Z</dcterms:created>
  <dcterms:modified xsi:type="dcterms:W3CDTF">2012-06-07T12:00:00Z</dcterms:modified>
</cp:coreProperties>
</file>