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Realizar la compra (adquisición) de: materiales, servicios, vehículos, maquinaria, herramientas e insumos industriales en general más idóneos para satisfacer los requerimientos de nuestros clientes, que por sus características o requerimientos del cliente, deban ser adquiridos fuera del país.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es válido para todas las adquisiciones que se requieran hacer fuera de nuestro país.  Podemos realizar la compra directamente a un proveedor recomendado por el cliente, o establecer al proveedor más idóneo, según la Calificación de Proveedores, PE 231.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C7305" w:rsidRPr="001C7305" w:rsidRDefault="001C730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8541B" w:rsidRPr="00DB0919" w:rsidRDefault="00AF4A11" w:rsidP="00A8541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Para todo el trámite de embarque, transporte, </w:t>
      </w:r>
      <w:proofErr w:type="spellStart"/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desaduanización</w:t>
      </w:r>
      <w:proofErr w:type="spellEnd"/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puesta en obra, se contrata a un proveedor de servicio, previamente calificado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E0659C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954D1">
        <w:rPr>
          <w:rFonts w:ascii="Arial" w:hAnsi="Arial" w:cs="Arial"/>
          <w:color w:val="000000" w:themeColor="text1"/>
          <w:sz w:val="24"/>
          <w:szCs w:val="24"/>
          <w:lang w:val="es-EC"/>
        </w:rPr>
        <w:t>También se considera el uso de una compañía importadora recomendada por el cliente para quien se elabora la obra.</w:t>
      </w:r>
    </w:p>
    <w:p w:rsidR="005954D1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954D1">
        <w:rPr>
          <w:rFonts w:ascii="Arial" w:hAnsi="Arial" w:cs="Arial"/>
          <w:color w:val="000000" w:themeColor="text1"/>
          <w:sz w:val="24"/>
          <w:szCs w:val="24"/>
          <w:lang w:val="es-EC"/>
        </w:rPr>
        <w:t>Cuando el proveedor en el exterior posee un formato específico para la Orden de Compra, nos sujetamos a éste.</w:t>
      </w:r>
    </w:p>
    <w:p w:rsidR="005954D1" w:rsidRPr="00E0659C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4A49D3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F7310D" w:rsidP="005954D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596" w:rsidRPr="00436596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1.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Establece la necesidad de compra, que puede ser:</w:t>
            </w:r>
          </w:p>
          <w:p w:rsidR="00436596" w:rsidRPr="00436596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954D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-Compra Planificada: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 se basa en el Cuadro Comparativo de Precios,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aprobado en el Proceso de Ventas, PE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1, y pasa a la Actividad N</w:t>
            </w:r>
            <w:r w:rsidR="00FC73D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°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3. </w:t>
            </w:r>
          </w:p>
          <w:p w:rsidR="00CB6E01" w:rsidRPr="00DB0919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-Compra Imprevista: debe ejecutarla de acuerdo a la actividad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N°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6.</w:t>
            </w:r>
          </w:p>
        </w:tc>
      </w:tr>
      <w:tr w:rsidR="00CB6E01" w:rsidRPr="004A49D3" w:rsidTr="001C2785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5954D1" w:rsidP="00F7310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954D1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 xml:space="preserve">Gerente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436596" w:rsidP="00896D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Cotiza lo solicitado en la Re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quisición de Compra, RE 232 1,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según las necesidades de cada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proyecto.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Elaborar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 Cuadro Comparativo de Precios,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2, (mínimo 2 proveedores), para el análisis del Gerente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Compras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.   </w:t>
            </w:r>
          </w:p>
        </w:tc>
      </w:tr>
      <w:tr w:rsidR="00CB6E01" w:rsidRPr="004A49D3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896DCF" w:rsidP="00F7310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compras/</w:t>
            </w:r>
            <w:r w:rsidR="00F7310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662E6D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 w:rsid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la información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los posibles proveedores, Cuadro Comparativo de Precios,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2.   Esta información se comunica al Gerente </w:t>
            </w:r>
            <w:r w:rsid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Compras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 Gerente de Proyecto  e Superintendente de Obra para que designen al proveedor más idóneo.</w:t>
            </w:r>
          </w:p>
        </w:tc>
      </w:tr>
      <w:tr w:rsidR="00CB6E01" w:rsidRPr="004A49D3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F7310D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506B09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Elabora la Orden de Compra,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3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para su firma y la remite al Proveedor.  Coordina con el Área de Contabilidad para establecer el pago correspondiente.</w:t>
            </w:r>
          </w:p>
        </w:tc>
      </w:tr>
    </w:tbl>
    <w:p w:rsidR="00CB6E01" w:rsidRPr="00DB0919" w:rsidRDefault="00CB6E01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1C7305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1C7305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547D9" w:rsidRPr="00DB0919" w:rsidRDefault="00F7310D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E661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B99" w:rsidRDefault="00801B99" w:rsidP="00FF6CB1">
      <w:pPr>
        <w:spacing w:after="0" w:line="240" w:lineRule="auto"/>
      </w:pPr>
      <w:r>
        <w:separator/>
      </w:r>
    </w:p>
  </w:endnote>
  <w:endnote w:type="continuationSeparator" w:id="0">
    <w:p w:rsidR="00801B99" w:rsidRDefault="00801B99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3" w:rsidRDefault="004A49D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356" w:type="dxa"/>
      <w:jc w:val="center"/>
      <w:tblInd w:w="-743" w:type="dxa"/>
      <w:tblLook w:val="04A0"/>
    </w:tblPr>
    <w:tblGrid>
      <w:gridCol w:w="2127"/>
      <w:gridCol w:w="2835"/>
      <w:gridCol w:w="2835"/>
      <w:gridCol w:w="1559"/>
    </w:tblGrid>
    <w:tr w:rsidR="004A49D3" w:rsidTr="00DC57BE">
      <w:trPr>
        <w:jc w:val="center"/>
      </w:trPr>
      <w:tc>
        <w:tcPr>
          <w:tcW w:w="2127" w:type="dxa"/>
        </w:tcPr>
        <w:p w:rsidR="004A49D3" w:rsidRPr="00473674" w:rsidRDefault="004A49D3" w:rsidP="00DC57BE">
          <w:pPr>
            <w:pStyle w:val="Piedepgina"/>
            <w:rPr>
              <w:b/>
            </w:rPr>
          </w:pPr>
          <w:proofErr w:type="spellStart"/>
          <w:r w:rsidRPr="006E55C0">
            <w:t>Fecha</w:t>
          </w:r>
          <w:proofErr w:type="spellEnd"/>
          <w:r w:rsidRPr="006E55C0">
            <w:t xml:space="preserve"> de </w:t>
          </w:r>
          <w:proofErr w:type="spellStart"/>
          <w:r w:rsidRPr="006E55C0">
            <w:t>realización</w:t>
          </w:r>
          <w:proofErr w:type="spellEnd"/>
          <w:r>
            <w:rPr>
              <w:b/>
            </w:rPr>
            <w:t>:</w:t>
          </w:r>
        </w:p>
      </w:tc>
      <w:tc>
        <w:tcPr>
          <w:tcW w:w="2835" w:type="dxa"/>
        </w:tcPr>
        <w:p w:rsidR="004A49D3" w:rsidRPr="006E55C0" w:rsidRDefault="004A49D3" w:rsidP="00DC57BE">
          <w:pPr>
            <w:pStyle w:val="Piedepgina"/>
          </w:pPr>
          <w:proofErr w:type="spellStart"/>
          <w:r w:rsidRPr="006E55C0">
            <w:t>Realizado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2835" w:type="dxa"/>
        </w:tcPr>
        <w:p w:rsidR="004A49D3" w:rsidRPr="006E55C0" w:rsidRDefault="004A49D3" w:rsidP="00DC57BE">
          <w:pPr>
            <w:pStyle w:val="Piedepgina"/>
          </w:pPr>
          <w:proofErr w:type="spellStart"/>
          <w:r w:rsidRPr="006E55C0">
            <w:t>Aprobado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1559" w:type="dxa"/>
        </w:tcPr>
        <w:p w:rsidR="004A49D3" w:rsidRPr="006E55C0" w:rsidRDefault="004A49D3" w:rsidP="00DC57BE">
          <w:pPr>
            <w:pStyle w:val="Piedepgina"/>
          </w:pPr>
          <w:proofErr w:type="spellStart"/>
          <w:r w:rsidRPr="006E55C0">
            <w:t>Página</w:t>
          </w:r>
          <w:proofErr w:type="spellEnd"/>
          <w:r w:rsidRPr="006E55C0">
            <w:t xml:space="preserve"> N°:</w:t>
          </w:r>
        </w:p>
      </w:tc>
    </w:tr>
    <w:tr w:rsidR="004A49D3" w:rsidTr="00DC57BE">
      <w:trPr>
        <w:trHeight w:val="568"/>
        <w:jc w:val="center"/>
      </w:trPr>
      <w:tc>
        <w:tcPr>
          <w:tcW w:w="2127" w:type="dxa"/>
        </w:tcPr>
        <w:p w:rsidR="004A49D3" w:rsidRDefault="004A49D3" w:rsidP="00DC57BE">
          <w:pPr>
            <w:pStyle w:val="Piedepgina"/>
          </w:pPr>
          <w:r>
            <w:t>08/07/2012</w:t>
          </w:r>
        </w:p>
        <w:p w:rsidR="004A49D3" w:rsidRPr="00473674" w:rsidRDefault="004A49D3" w:rsidP="00DC57BE">
          <w:pPr>
            <w:pStyle w:val="Piedepgina"/>
          </w:pPr>
        </w:p>
      </w:tc>
      <w:tc>
        <w:tcPr>
          <w:tcW w:w="2835" w:type="dxa"/>
        </w:tcPr>
        <w:p w:rsidR="004A49D3" w:rsidRPr="004A49D3" w:rsidRDefault="004A49D3" w:rsidP="00DC57BE">
          <w:pPr>
            <w:pStyle w:val="Piedepgina"/>
            <w:rPr>
              <w:lang w:val="es-EC"/>
            </w:rPr>
          </w:pPr>
          <w:r w:rsidRPr="004A49D3">
            <w:rPr>
              <w:lang w:val="es-EC"/>
            </w:rPr>
            <w:t>Sra. Karen Navarrete</w:t>
          </w:r>
        </w:p>
        <w:p w:rsidR="004A49D3" w:rsidRPr="004A49D3" w:rsidRDefault="004A49D3" w:rsidP="00DC57BE">
          <w:pPr>
            <w:pStyle w:val="Piedepgina"/>
            <w:rPr>
              <w:lang w:val="es-EC"/>
            </w:rPr>
          </w:pPr>
          <w:r w:rsidRPr="004A49D3">
            <w:rPr>
              <w:lang w:val="es-EC"/>
            </w:rPr>
            <w:t>Representante SIG</w:t>
          </w:r>
        </w:p>
      </w:tc>
      <w:tc>
        <w:tcPr>
          <w:tcW w:w="2835" w:type="dxa"/>
        </w:tcPr>
        <w:p w:rsidR="004A49D3" w:rsidRPr="004A49D3" w:rsidRDefault="004A49D3" w:rsidP="00DC57BE">
          <w:pPr>
            <w:pStyle w:val="Piedepgina"/>
            <w:rPr>
              <w:lang w:val="es-EC"/>
            </w:rPr>
          </w:pPr>
          <w:r w:rsidRPr="004A49D3">
            <w:rPr>
              <w:lang w:val="es-EC"/>
            </w:rPr>
            <w:t>Myr(R) Ignacio Navarrete L.</w:t>
          </w:r>
        </w:p>
        <w:p w:rsidR="004A49D3" w:rsidRPr="00473674" w:rsidRDefault="004A49D3" w:rsidP="00DC57BE">
          <w:pPr>
            <w:pStyle w:val="Piedepgina"/>
          </w:pPr>
          <w:proofErr w:type="spellStart"/>
          <w:r>
            <w:t>Gerente</w:t>
          </w:r>
          <w:proofErr w:type="spellEnd"/>
          <w:r>
            <w:t xml:space="preserve"> General</w:t>
          </w:r>
        </w:p>
      </w:tc>
      <w:tc>
        <w:tcPr>
          <w:tcW w:w="1559" w:type="dxa"/>
        </w:tcPr>
        <w:p w:rsidR="004A49D3" w:rsidRPr="00473674" w:rsidRDefault="004A49D3" w:rsidP="00DC57BE">
          <w:pPr>
            <w:pStyle w:val="Piedepgina"/>
          </w:pPr>
        </w:p>
      </w:tc>
    </w:tr>
  </w:tbl>
  <w:p w:rsidR="004A49D3" w:rsidRDefault="004A49D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3" w:rsidRDefault="004A49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B99" w:rsidRDefault="00801B99" w:rsidP="00FF6CB1">
      <w:pPr>
        <w:spacing w:after="0" w:line="240" w:lineRule="auto"/>
      </w:pPr>
      <w:r>
        <w:separator/>
      </w:r>
    </w:p>
  </w:footnote>
  <w:footnote w:type="continuationSeparator" w:id="0">
    <w:p w:rsidR="00801B99" w:rsidRDefault="00801B99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3" w:rsidRDefault="004A49D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4A49D3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4A49D3"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83432" cy="698740"/>
                <wp:effectExtent l="0" t="0" r="0" b="0"/>
                <wp:docPr id="4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E0659C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IMPORTACIONES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: PE 2.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3904F7">
            <w:rPr>
              <w:rFonts w:ascii="Arial" w:eastAsia="Times New Roman" w:hAnsi="Arial" w:cs="Arial"/>
              <w:color w:val="000000"/>
              <w:sz w:val="24"/>
              <w:szCs w:val="24"/>
            </w:rPr>
            <w:t>3</w:t>
          </w:r>
          <w:bookmarkStart w:id="0" w:name="_GoBack"/>
          <w:bookmarkEnd w:id="0"/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414B6A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F7310D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C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N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T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R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L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A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D</w:t>
                </w:r>
              </w:p>
              <w:p w:rsidR="00A93CE1" w:rsidRP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</w:rPr>
                </w:pPr>
                <w:r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3" w:rsidRDefault="004A49D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24F77"/>
    <w:rsid w:val="001053C8"/>
    <w:rsid w:val="0017689B"/>
    <w:rsid w:val="001B39CF"/>
    <w:rsid w:val="001B3CB6"/>
    <w:rsid w:val="001C2785"/>
    <w:rsid w:val="001C7305"/>
    <w:rsid w:val="002B7B68"/>
    <w:rsid w:val="002C1021"/>
    <w:rsid w:val="002E1E50"/>
    <w:rsid w:val="00361A80"/>
    <w:rsid w:val="003904F7"/>
    <w:rsid w:val="003D391A"/>
    <w:rsid w:val="003E22FA"/>
    <w:rsid w:val="003E25BB"/>
    <w:rsid w:val="003F0E46"/>
    <w:rsid w:val="003F7B08"/>
    <w:rsid w:val="00414B6A"/>
    <w:rsid w:val="00436596"/>
    <w:rsid w:val="004745F0"/>
    <w:rsid w:val="004A0C0A"/>
    <w:rsid w:val="004A49D3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5FDE"/>
    <w:rsid w:val="00801B99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914E94"/>
    <w:rsid w:val="00A43067"/>
    <w:rsid w:val="00A5369B"/>
    <w:rsid w:val="00A62960"/>
    <w:rsid w:val="00A84079"/>
    <w:rsid w:val="00A8541B"/>
    <w:rsid w:val="00A93CE1"/>
    <w:rsid w:val="00AF4A11"/>
    <w:rsid w:val="00B548BC"/>
    <w:rsid w:val="00BD0E50"/>
    <w:rsid w:val="00C65081"/>
    <w:rsid w:val="00C92A1C"/>
    <w:rsid w:val="00CB6E01"/>
    <w:rsid w:val="00CC4464"/>
    <w:rsid w:val="00D15EDA"/>
    <w:rsid w:val="00D65298"/>
    <w:rsid w:val="00D913A8"/>
    <w:rsid w:val="00DB0919"/>
    <w:rsid w:val="00E0659C"/>
    <w:rsid w:val="00E2561B"/>
    <w:rsid w:val="00E37C46"/>
    <w:rsid w:val="00E6619B"/>
    <w:rsid w:val="00E777B5"/>
    <w:rsid w:val="00F0180B"/>
    <w:rsid w:val="00F17532"/>
    <w:rsid w:val="00F17D82"/>
    <w:rsid w:val="00F2686B"/>
    <w:rsid w:val="00F50108"/>
    <w:rsid w:val="00F561CB"/>
    <w:rsid w:val="00F712F3"/>
    <w:rsid w:val="00F7310D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DA46-CBA7-4712-A671-0586F072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</cp:lastModifiedBy>
  <cp:revision>4</cp:revision>
  <cp:lastPrinted>2012-03-14T15:23:00Z</cp:lastPrinted>
  <dcterms:created xsi:type="dcterms:W3CDTF">2012-04-14T19:07:00Z</dcterms:created>
  <dcterms:modified xsi:type="dcterms:W3CDTF">2013-04-27T07:53:00Z</dcterms:modified>
</cp:coreProperties>
</file>