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tabs>
          <w:tab w:val="clear" w:pos="1134"/>
          <w:tab w:val="left" w:pos="2005" w:leader="none"/>
        </w:tabs>
        <w:bidi w:val="0"/>
        <w:spacing w:lineRule="auto" w:line="240" w:before="91" w:after="0"/>
        <w:ind w:hanging="0" w:left="0" w:right="0"/>
        <w:jc w:val="center"/>
        <w:rPr>
          <w:rFonts w:ascii="Times New Roman" w:hAnsi="Times New Roman"/>
        </w:rPr>
      </w:pPr>
      <w:r>
        <w:rPr>
          <w:spacing w:val="-2"/>
          <w:sz w:val="28"/>
          <w:szCs w:val="28"/>
        </w:rPr>
        <w:t xml:space="preserve">REST </w:t>
      </w:r>
      <w:r>
        <w:rPr>
          <w:spacing w:val="-2"/>
          <w:sz w:val="28"/>
          <w:szCs w:val="28"/>
          <w:lang w:val="en-US"/>
        </w:rPr>
        <w:t>API</w:t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 xml:space="preserve">Endpoint: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POST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/avito/sync</w:t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>Описание: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</w:rPr>
        <w:t>Запуск синхронизации данных с Авито</w:t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b/>
          <w:bCs/>
          <w:lang w:val="ru-RU"/>
        </w:rPr>
        <w:t>Request: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355"/>
        <w:gridCol w:w="2578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Название параметра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Находится в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X-API-Key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 Key для аутентификации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Content-Type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Указывает JSON формат тела запроса (“application/json”)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Response</w:t>
      </w:r>
      <w:r>
        <w:rPr>
          <w:rStyle w:val="Strong"/>
          <w:b/>
          <w:bCs/>
          <w:lang w:val="ru-RU"/>
        </w:rPr>
        <w:t>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273"/>
        <w:gridCol w:w="2660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Название параметра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>
          <w:trHeight w:val="504" w:hRule="atLeast"/>
        </w:trPr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выполнения (“success”, “error”)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message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Сообщение о результате операции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synced_chats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Количество синхронизированных чатов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</w:tr>
    </w:tbl>
    <w:p>
      <w:pPr>
        <w:pStyle w:val="BodyText"/>
        <w:bidi w:val="0"/>
        <w:spacing w:before="0" w:after="55"/>
        <w:jc w:val="left"/>
        <w:rPr/>
      </w:pPr>
      <w:r>
        <w:rPr>
          <w:rStyle w:val="Strong"/>
          <w:lang w:val="en-US"/>
        </w:rPr>
        <w:t xml:space="preserve">Response code: </w:t>
      </w:r>
      <w:r>
        <w:rPr>
          <w:rStyle w:val="Strong"/>
          <w:b w:val="false"/>
          <w:bCs w:val="false"/>
        </w:rPr>
        <w:t>200 OK</w:t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Heading3"/>
        <w:bidi w:val="0"/>
        <w:spacing w:before="80" w:after="0"/>
        <w:ind w:hanging="0" w:left="0"/>
        <w:jc w:val="left"/>
        <w:rPr/>
      </w:pPr>
      <w:r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  <w:t xml:space="preserve">Endpoint: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ru-RU"/>
        </w:rPr>
        <w:t>POST /llm/analyze</w:t>
      </w:r>
    </w:p>
    <w:p>
      <w:pPr>
        <w:pStyle w:val="BodyText"/>
        <w:bidi w:val="0"/>
        <w:spacing w:before="80" w:after="0"/>
        <w:ind w:hanging="0" w:left="0"/>
        <w:jc w:val="left"/>
        <w:rPr>
          <w:rStyle w:val="Style11"/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sz w:val="24"/>
          <w:szCs w:val="24"/>
          <w:lang w:val="en-US"/>
        </w:rPr>
        <w:t>Описание:</w:t>
      </w:r>
      <w:r>
        <w:rPr>
          <w:rStyle w:val="Strong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Strong"/>
          <w:b w:val="false"/>
          <w:bCs w:val="false"/>
          <w:sz w:val="24"/>
          <w:szCs w:val="24"/>
          <w:lang w:val="ru-RU"/>
        </w:rPr>
        <w:t>Запуск анализа чатов через DeepSeek AI</w:t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Request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6"/>
        <w:gridCol w:w="2359"/>
        <w:gridCol w:w="2549"/>
        <w:gridCol w:w="4541"/>
        <w:gridCol w:w="2319"/>
      </w:tblGrid>
      <w:tr>
        <w:trPr/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Название параметра 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Находится в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/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X-API-Key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 Key для аутентификации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Content-Type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Указывает JSON формат тела запроса (“application/json”)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Response</w:t>
      </w:r>
      <w:r>
        <w:rPr>
          <w:rStyle w:val="Strong"/>
          <w:b/>
          <w:bCs/>
          <w:lang w:val="ru-RU"/>
        </w:rPr>
        <w:t>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273"/>
        <w:gridCol w:w="2660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Название параметра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>
          <w:trHeight w:val="504" w:hRule="atLeast"/>
        </w:trPr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выполнения (“success”, “error”)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analyzed_chats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Количество проанализированных чатов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Нет</w:t>
            </w:r>
          </w:p>
        </w:tc>
      </w:tr>
    </w:tbl>
    <w:p>
      <w:pPr>
        <w:pStyle w:val="BodyText"/>
        <w:bidi w:val="0"/>
        <w:spacing w:before="0" w:after="55"/>
        <w:jc w:val="left"/>
        <w:rPr/>
      </w:pPr>
      <w:r>
        <w:rPr>
          <w:rStyle w:val="Strong"/>
          <w:lang w:val="en-US"/>
        </w:rPr>
        <w:t xml:space="preserve">Response code: </w:t>
      </w:r>
      <w:r>
        <w:rPr>
          <w:rStyle w:val="Strong"/>
          <w:b w:val="false"/>
          <w:bCs w:val="false"/>
          <w:lang w:val="ru-RU"/>
        </w:rPr>
        <w:t>200 OK</w:t>
      </w:r>
    </w:p>
    <w:p>
      <w:pPr>
        <w:pStyle w:val="BodyText"/>
        <w:bidi w:val="0"/>
        <w:spacing w:before="57" w:after="57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Heading3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</w:pPr>
      <w:r>
        <w:rPr>
          <w:rFonts w:ascii="Times New Roman" w:hAnsi="Times New Roman"/>
          <w:b/>
          <w:bCs w:val="false"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Heading3"/>
        <w:bidi w:val="0"/>
        <w:spacing w:before="80" w:after="0"/>
        <w:ind w:hanging="0" w:left="0"/>
        <w:jc w:val="left"/>
        <w:rPr/>
      </w:pPr>
      <w:r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  <w:t xml:space="preserve">Endpoint: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ru-RU"/>
        </w:rPr>
        <w:t>POST /timer/reports</w:t>
      </w:r>
    </w:p>
    <w:p>
      <w:pPr>
        <w:pStyle w:val="BodyText"/>
        <w:bidi w:val="0"/>
        <w:spacing w:before="80" w:after="0"/>
        <w:ind w:hanging="0" w:left="0"/>
        <w:jc w:val="left"/>
        <w:rPr>
          <w:rStyle w:val="Style11"/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 xml:space="preserve">Описание: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ru-RU"/>
        </w:rPr>
        <w:t>Отправка ежедневных отчетов</w:t>
      </w:r>
    </w:p>
    <w:p>
      <w:pPr>
        <w:pStyle w:val="BodyText"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Request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6"/>
        <w:gridCol w:w="2359"/>
        <w:gridCol w:w="2549"/>
        <w:gridCol w:w="4541"/>
        <w:gridCol w:w="2319"/>
      </w:tblGrid>
      <w:tr>
        <w:trPr/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Название параметра 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Находится в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/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X-API-Key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 Key для аутентификации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Content-Type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Указывает JSON формат тела запроса (“application/json”)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5" w:after="0"/>
        <w:ind w:hanging="0" w:left="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Response</w:t>
      </w:r>
      <w:r>
        <w:rPr>
          <w:rStyle w:val="Strong"/>
          <w:b/>
          <w:bCs/>
          <w:lang w:val="ru-RU"/>
        </w:rPr>
        <w:t>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273"/>
        <w:gridCol w:w="2660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Название параметра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>
          <w:trHeight w:val="504" w:hRule="atLeast"/>
        </w:trPr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выполнения (“success”, “error”)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Дата, за которую отправлены отчеты (формат: YYYY-MM-DD)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Нет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send_reports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Количество отправленных отчетов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0" w:after="55"/>
        <w:jc w:val="left"/>
        <w:rPr>
          <w:rFonts w:ascii="Times New Roman" w:hAnsi="Times New Roman"/>
          <w:color w:val="auto"/>
        </w:rPr>
      </w:pPr>
      <w:r>
        <w:rPr>
          <w:rStyle w:val="Strong"/>
          <w:lang w:val="en-US"/>
        </w:rPr>
        <w:t xml:space="preserve">Response code: </w:t>
      </w:r>
      <w:r>
        <w:rPr>
          <w:rStyle w:val="Strong"/>
          <w:b w:val="false"/>
          <w:bCs w:val="false"/>
          <w:lang w:val="ru-RU"/>
        </w:rPr>
        <w:t>200 OK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hanging="359" w:left="1002" w:right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ableParagraph">
    <w:name w:val="Table Paragraph"/>
    <w:basedOn w:val="Normal"/>
    <w:qFormat/>
    <w:pPr>
      <w:ind w:hanging="0" w:left="110" w:right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Колонтитул"/>
    <w:basedOn w:val="Normal"/>
    <w:qFormat/>
    <w:pPr>
      <w:suppressLineNumbers/>
      <w:tabs>
        <w:tab w:val="clear" w:pos="1134"/>
        <w:tab w:val="center" w:pos="7285" w:leader="none"/>
        <w:tab w:val="right" w:pos="14570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7"/>
    <w:pPr>
      <w:suppressLineNumbers/>
    </w:pPr>
    <w:rPr/>
  </w:style>
  <w:style w:type="paragraph" w:styleId="Style18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FirstParagraph">
    <w:name w:val="First Paragraph"/>
    <w:basedOn w:val="BodyText"/>
    <w:next w:val="Body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LibreOffice/24.2.7.2$Linux_X86_64 LibreOffice_project/420$Build-2</Application>
  <AppVersion>15.0000</AppVersion>
  <Pages>3</Pages>
  <Words>212</Words>
  <Characters>1468</Characters>
  <CharactersWithSpaces>1574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2025-09-13T10:04:08Z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