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orbit-knowledge-system-pks"/>
    <w:p>
      <w:pPr>
        <w:pStyle w:val="Heading1"/>
      </w:pPr>
      <w:r>
        <w:t xml:space="preserve">Patorbit Knowledge System (PKS)</w:t>
      </w:r>
    </w:p>
    <w:bookmarkEnd w:id="20"/>
    <w:bookmarkStart w:id="23" w:name="volume-0-the-patorbit-canon"/>
    <w:p>
      <w:pPr>
        <w:pStyle w:val="Heading1"/>
      </w:pPr>
      <w:r>
        <w:t xml:space="preserve">Volume 0 — The Patorbit Canon</w:t>
      </w:r>
    </w:p>
    <w:bookmarkStart w:id="22" w:name="book-i-foundation"/>
    <w:p>
      <w:pPr>
        <w:pStyle w:val="Heading2"/>
      </w:pPr>
      <w:r>
        <w:t xml:space="preserve">Book I — Foundation</w:t>
      </w:r>
    </w:p>
    <w:bookmarkStart w:id="21" w:name="X173ad9a6fb9fd68232c65c0395a603738df1c27"/>
    <w:p>
      <w:pPr>
        <w:pStyle w:val="Heading3"/>
      </w:pPr>
      <w:r>
        <w:t xml:space="preserve">Chapter 3 — The Core Domain Model: Claims, Evidence, Confidence, and Trust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PKS-V0-B1-C3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 (Draft)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Founding Review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Foundational</w:t>
      </w:r>
      <w:r>
        <w:br/>
      </w:r>
      <w:r>
        <w:rPr>
          <w:b/>
          <w:bCs/>
        </w:rPr>
        <w:t xml:space="preserve">Authority Level:</w:t>
      </w:r>
      <w:r>
        <w:t xml:space="preserve"> </w:t>
      </w:r>
      <w:r>
        <w:t xml:space="preserve">A0 – Canonical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Patorbit Founding Team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chapter defines the fundamental domain model of Patorbit.</w:t>
      </w:r>
    </w:p>
    <w:p>
      <w:pPr>
        <w:pStyle w:val="BodyText"/>
      </w:pPr>
      <w:r>
        <w:t xml:space="preserve">It establishes the canonical concepts from which every platform capability, API, product, service, and artificial intelligence feature SHALL be derived.</w:t>
      </w:r>
    </w:p>
    <w:p>
      <w:pPr>
        <w:pStyle w:val="BodyText"/>
      </w:pPr>
      <w:r>
        <w:t xml:space="preserve">These concepts are implementation-independent and are expected to remain stable throughout the evolution of the platform.</w:t>
      </w:r>
    </w:p>
    <w:p>
      <w:r>
        <w:pict>
          <v:rect style="width:0;height:1.5pt" o:hralign="center" o:hrstd="t" o:hr="t"/>
        </w:pict>
      </w:r>
    </w:p>
    <w:bookmarkEnd w:id="24"/>
    <w:bookmarkStart w:id="25" w:name="core-philosophy"/>
    <w:p>
      <w:pPr>
        <w:pStyle w:val="Heading1"/>
      </w:pPr>
      <w:r>
        <w:t xml:space="preserve">2. Core Philosophy</w:t>
      </w:r>
    </w:p>
    <w:p>
      <w:pPr>
        <w:pStyle w:val="FirstParagraph"/>
      </w:pPr>
      <w:r>
        <w:t xml:space="preserve">Patorbit does not model documents as its primary unit of understanding.</w:t>
      </w:r>
    </w:p>
    <w:p>
      <w:pPr>
        <w:pStyle w:val="BodyText"/>
      </w:pPr>
      <w:r>
        <w:t xml:space="preserve">Patorbit models</w:t>
      </w:r>
      <w:r>
        <w:t xml:space="preserve"> </w:t>
      </w:r>
      <w:r>
        <w:rPr>
          <w:b/>
          <w:bCs/>
        </w:rPr>
        <w:t xml:space="preserve">knowledge</w:t>
      </w:r>
      <w:r>
        <w:t xml:space="preserve">.</w:t>
      </w:r>
    </w:p>
    <w:p>
      <w:pPr>
        <w:pStyle w:val="BodyText"/>
      </w:pPr>
      <w:r>
        <w:t xml:space="preserve">A résumé, certificate, profile, portfolio, transcript, recommendation letter, assessment report, or organizational record is not the knowledge itself. These are containers that describe one or more underlying facts.</w:t>
      </w:r>
    </w:p>
    <w:p>
      <w:pPr>
        <w:pStyle w:val="BodyText"/>
      </w:pPr>
      <w:r>
        <w:t xml:space="preserve">Within Patorbit, the primary unit of knowledge is the</w:t>
      </w:r>
      <w:r>
        <w:t xml:space="preserve"> </w:t>
      </w:r>
      <w:r>
        <w:rPr>
          <w:b/>
          <w:bCs/>
        </w:rPr>
        <w:t xml:space="preserve">Claim</w:t>
      </w:r>
      <w:r>
        <w:t xml:space="preserve">.</w:t>
      </w:r>
    </w:p>
    <w:p>
      <w:pPr>
        <w:pStyle w:val="BodyText"/>
      </w:pPr>
      <w:r>
        <w:t xml:space="preserve">Everything else exists to describe, support, evaluate, relate, or govern claims.</w:t>
      </w:r>
    </w:p>
    <w:p>
      <w:r>
        <w:pict>
          <v:rect style="width:0;height:1.5pt" o:hralign="center" o:hrstd="t" o:hr="t"/>
        </w:pict>
      </w:r>
    </w:p>
    <w:bookmarkEnd w:id="25"/>
    <w:bookmarkStart w:id="26" w:name="canonical-domain-concepts"/>
    <w:p>
      <w:pPr>
        <w:pStyle w:val="Heading1"/>
      </w:pPr>
      <w:r>
        <w:t xml:space="preserve">3. Canonical Domain Concepts</w:t>
      </w:r>
    </w:p>
    <w:p>
      <w:pPr>
        <w:pStyle w:val="FirstParagraph"/>
      </w:pPr>
      <w:r>
        <w:t xml:space="preserve">The Patorbit platform is built upon six canonical concepts.</w:t>
      </w:r>
    </w:p>
    <w:p>
      <w:pPr>
        <w:pStyle w:val="Compact"/>
        <w:numPr>
          <w:ilvl w:val="0"/>
          <w:numId w:val="1001"/>
        </w:numPr>
      </w:pPr>
      <w:r>
        <w:t xml:space="preserve">Identity</w:t>
      </w:r>
    </w:p>
    <w:p>
      <w:pPr>
        <w:pStyle w:val="Compact"/>
        <w:numPr>
          <w:ilvl w:val="0"/>
          <w:numId w:val="1001"/>
        </w:numPr>
      </w:pPr>
      <w:r>
        <w:t xml:space="preserve">Claim</w:t>
      </w:r>
    </w:p>
    <w:p>
      <w:pPr>
        <w:pStyle w:val="Compact"/>
        <w:numPr>
          <w:ilvl w:val="0"/>
          <w:numId w:val="1001"/>
        </w:numPr>
      </w:pPr>
      <w:r>
        <w:t xml:space="preserve">Evidence</w:t>
      </w:r>
    </w:p>
    <w:p>
      <w:pPr>
        <w:pStyle w:val="Compact"/>
        <w:numPr>
          <w:ilvl w:val="0"/>
          <w:numId w:val="1001"/>
        </w:numPr>
      </w:pPr>
      <w:r>
        <w:t xml:space="preserve">Reasoning</w:t>
      </w:r>
    </w:p>
    <w:p>
      <w:pPr>
        <w:pStyle w:val="Compact"/>
        <w:numPr>
          <w:ilvl w:val="0"/>
          <w:numId w:val="1001"/>
        </w:numPr>
      </w:pPr>
      <w:r>
        <w:t xml:space="preserve">Confidence</w:t>
      </w:r>
    </w:p>
    <w:p>
      <w:pPr>
        <w:pStyle w:val="Compact"/>
        <w:numPr>
          <w:ilvl w:val="0"/>
          <w:numId w:val="1001"/>
        </w:numPr>
      </w:pPr>
      <w:r>
        <w:t xml:space="preserve">Trust</w:t>
      </w:r>
    </w:p>
    <w:p>
      <w:pPr>
        <w:pStyle w:val="FirstParagraph"/>
      </w:pPr>
      <w:r>
        <w:t xml:space="preserve">Together these concepts form the Core Domain Model.</w:t>
      </w:r>
    </w:p>
    <w:p>
      <w:r>
        <w:pict>
          <v:rect style="width:0;height:1.5pt" o:hralign="center" o:hrstd="t" o:hr="t"/>
        </w:pict>
      </w:r>
    </w:p>
    <w:bookmarkEnd w:id="26"/>
    <w:bookmarkStart w:id="28" w:name="identity"/>
    <w:p>
      <w:pPr>
        <w:pStyle w:val="Heading1"/>
      </w:pPr>
      <w:r>
        <w:t xml:space="preserve">4. Identity</w:t>
      </w:r>
    </w:p>
    <w:bookmarkStart w:id="27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represents the entity about which knowledge is expressed.</w:t>
      </w:r>
    </w:p>
    <w:p>
      <w:pPr>
        <w:pStyle w:val="BodyText"/>
      </w:pPr>
      <w:r>
        <w:t xml:space="preserve">An identity MAY represent:</w:t>
      </w:r>
    </w:p>
    <w:p>
      <w:pPr>
        <w:pStyle w:val="Compact"/>
        <w:numPr>
          <w:ilvl w:val="0"/>
          <w:numId w:val="1002"/>
        </w:numPr>
      </w:pPr>
      <w:r>
        <w:t xml:space="preserve">An individual</w:t>
      </w:r>
    </w:p>
    <w:p>
      <w:pPr>
        <w:pStyle w:val="Compact"/>
        <w:numPr>
          <w:ilvl w:val="0"/>
          <w:numId w:val="1002"/>
        </w:numPr>
      </w:pPr>
      <w:r>
        <w:t xml:space="preserve">An organization</w:t>
      </w:r>
    </w:p>
    <w:p>
      <w:pPr>
        <w:pStyle w:val="Compact"/>
        <w:numPr>
          <w:ilvl w:val="0"/>
          <w:numId w:val="1002"/>
        </w:numPr>
      </w:pPr>
      <w:r>
        <w:t xml:space="preserve">An educational institution</w:t>
      </w:r>
    </w:p>
    <w:p>
      <w:pPr>
        <w:pStyle w:val="Compact"/>
        <w:numPr>
          <w:ilvl w:val="0"/>
          <w:numId w:val="1002"/>
        </w:numPr>
      </w:pPr>
      <w:r>
        <w:t xml:space="preserve">An employer</w:t>
      </w:r>
    </w:p>
    <w:p>
      <w:pPr>
        <w:pStyle w:val="Compact"/>
        <w:numPr>
          <w:ilvl w:val="0"/>
          <w:numId w:val="1002"/>
        </w:numPr>
      </w:pPr>
      <w:r>
        <w:t xml:space="preserve">A project</w:t>
      </w:r>
    </w:p>
    <w:p>
      <w:pPr>
        <w:pStyle w:val="Compact"/>
        <w:numPr>
          <w:ilvl w:val="0"/>
          <w:numId w:val="1002"/>
        </w:numPr>
      </w:pPr>
      <w:r>
        <w:t xml:space="preserve">A product</w:t>
      </w:r>
    </w:p>
    <w:p>
      <w:pPr>
        <w:pStyle w:val="Compact"/>
        <w:numPr>
          <w:ilvl w:val="0"/>
          <w:numId w:val="1002"/>
        </w:numPr>
      </w:pPr>
      <w:r>
        <w:t xml:space="preserve">Another recognized entity defined by future specifications</w:t>
      </w:r>
    </w:p>
    <w:p>
      <w:pPr>
        <w:pStyle w:val="FirstParagraph"/>
      </w:pPr>
      <w:r>
        <w:t xml:space="preserve">Identity provides context for every claim.</w:t>
      </w:r>
    </w:p>
    <w:p>
      <w:pPr>
        <w:pStyle w:val="BodyText"/>
      </w:pPr>
      <w:r>
        <w:t xml:space="preserve">Without an identity, a claim has no subject.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laim"/>
    <w:p>
      <w:pPr>
        <w:pStyle w:val="Heading1"/>
      </w:pPr>
      <w:r>
        <w:t xml:space="preserve">5. Claim</w:t>
      </w:r>
    </w:p>
    <w:bookmarkStart w:id="30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is a structured assertion about an identity.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A person completed a degree.</w:t>
      </w:r>
    </w:p>
    <w:p>
      <w:pPr>
        <w:pStyle w:val="Compact"/>
        <w:numPr>
          <w:ilvl w:val="0"/>
          <w:numId w:val="1003"/>
        </w:numPr>
      </w:pPr>
      <w:r>
        <w:t xml:space="preserve">An employee held a specific role.</w:t>
      </w:r>
    </w:p>
    <w:p>
      <w:pPr>
        <w:pStyle w:val="Compact"/>
        <w:numPr>
          <w:ilvl w:val="0"/>
          <w:numId w:val="1003"/>
        </w:numPr>
      </w:pPr>
      <w:r>
        <w:t xml:space="preserve">A project achieved a measurable outcome.</w:t>
      </w:r>
    </w:p>
    <w:p>
      <w:pPr>
        <w:pStyle w:val="Compact"/>
        <w:numPr>
          <w:ilvl w:val="0"/>
          <w:numId w:val="1003"/>
        </w:numPr>
      </w:pPr>
      <w:r>
        <w:t xml:space="preserve">An organization earned a certification.</w:t>
      </w:r>
    </w:p>
    <w:p>
      <w:pPr>
        <w:pStyle w:val="Compact"/>
        <w:numPr>
          <w:ilvl w:val="0"/>
          <w:numId w:val="1003"/>
        </w:numPr>
      </w:pPr>
      <w:r>
        <w:t xml:space="preserve">A software component satisfies a standard.</w:t>
      </w:r>
    </w:p>
    <w:p>
      <w:pPr>
        <w:pStyle w:val="FirstParagraph"/>
      </w:pPr>
      <w:r>
        <w:t xml:space="preserve">A claim is</w:t>
      </w:r>
      <w:r>
        <w:t xml:space="preserve"> </w:t>
      </w:r>
      <w:r>
        <w:rPr>
          <w:b/>
          <w:bCs/>
        </w:rPr>
        <w:t xml:space="preserve">not automatically accepted as true</w:t>
      </w:r>
      <w:r>
        <w:t xml:space="preserve">.</w:t>
      </w:r>
    </w:p>
    <w:p>
      <w:pPr>
        <w:pStyle w:val="BodyText"/>
      </w:pPr>
      <w:r>
        <w:t xml:space="preserve">A claim exists so that it can be evaluated.</w:t>
      </w:r>
    </w:p>
    <w:bookmarkStart w:id="29" w:name="characteristics"/>
    <w:p>
      <w:pPr>
        <w:pStyle w:val="Heading3"/>
      </w:pPr>
      <w:r>
        <w:t xml:space="preserve">Characteristics</w:t>
      </w:r>
    </w:p>
    <w:p>
      <w:pPr>
        <w:pStyle w:val="FirstParagraph"/>
      </w:pPr>
      <w:r>
        <w:t xml:space="preserve">Every claim SHOULD have:</w:t>
      </w:r>
    </w:p>
    <w:p>
      <w:pPr>
        <w:pStyle w:val="Compact"/>
        <w:numPr>
          <w:ilvl w:val="0"/>
          <w:numId w:val="1004"/>
        </w:numPr>
      </w:pPr>
      <w:r>
        <w:t xml:space="preserve">a subject,</w:t>
      </w:r>
    </w:p>
    <w:p>
      <w:pPr>
        <w:pStyle w:val="Compact"/>
        <w:numPr>
          <w:ilvl w:val="0"/>
          <w:numId w:val="1004"/>
        </w:numPr>
      </w:pPr>
      <w:r>
        <w:t xml:space="preserve">a statement,</w:t>
      </w:r>
    </w:p>
    <w:p>
      <w:pPr>
        <w:pStyle w:val="Compact"/>
        <w:numPr>
          <w:ilvl w:val="0"/>
          <w:numId w:val="1004"/>
        </w:numPr>
      </w:pPr>
      <w:r>
        <w:t xml:space="preserve">a category,</w:t>
      </w:r>
    </w:p>
    <w:p>
      <w:pPr>
        <w:pStyle w:val="Compact"/>
        <w:numPr>
          <w:ilvl w:val="0"/>
          <w:numId w:val="1004"/>
        </w:numPr>
      </w:pPr>
      <w:r>
        <w:t xml:space="preserve">a creator,</w:t>
      </w:r>
    </w:p>
    <w:p>
      <w:pPr>
        <w:pStyle w:val="Compact"/>
        <w:numPr>
          <w:ilvl w:val="0"/>
          <w:numId w:val="1004"/>
        </w:numPr>
      </w:pPr>
      <w:r>
        <w:t xml:space="preserve">timestamps,</w:t>
      </w:r>
    </w:p>
    <w:p>
      <w:pPr>
        <w:pStyle w:val="Compact"/>
        <w:numPr>
          <w:ilvl w:val="0"/>
          <w:numId w:val="1004"/>
        </w:numPr>
      </w:pPr>
      <w:r>
        <w:t xml:space="preserve">relationships,</w:t>
      </w:r>
    </w:p>
    <w:p>
      <w:pPr>
        <w:pStyle w:val="Compact"/>
        <w:numPr>
          <w:ilvl w:val="0"/>
          <w:numId w:val="1004"/>
        </w:numPr>
      </w:pPr>
      <w:r>
        <w:t xml:space="preserve">lifecycle state,</w:t>
      </w:r>
    </w:p>
    <w:p>
      <w:pPr>
        <w:pStyle w:val="Compact"/>
        <w:numPr>
          <w:ilvl w:val="0"/>
          <w:numId w:val="1004"/>
        </w:numPr>
      </w:pPr>
      <w:r>
        <w:t xml:space="preserve">supporting evidence,</w:t>
      </w:r>
    </w:p>
    <w:p>
      <w:pPr>
        <w:pStyle w:val="Compact"/>
        <w:numPr>
          <w:ilvl w:val="0"/>
          <w:numId w:val="1004"/>
        </w:numPr>
      </w:pPr>
      <w:r>
        <w:t xml:space="preserve">and provenance.</w:t>
      </w:r>
    </w:p>
    <w:p>
      <w:pPr>
        <w:pStyle w:val="FirstParagraph"/>
      </w:pPr>
      <w:r>
        <w:t xml:space="preserve">A claim may exist without evidence, but its confidence and resulting trust may differ from a claim that is well supported.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3" w:name="evidence"/>
    <w:p>
      <w:pPr>
        <w:pStyle w:val="Heading1"/>
      </w:pPr>
      <w:r>
        <w:t xml:space="preserve">6. Evidence</w:t>
      </w:r>
    </w:p>
    <w:bookmarkStart w:id="32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Evidence is information that supports, contradicts, clarifies, or contextualizes a claim.</w:t>
      </w:r>
    </w:p>
    <w:p>
      <w:pPr>
        <w:pStyle w:val="BodyText"/>
      </w:pPr>
      <w:r>
        <w:t xml:space="preserve">Evidence enables informed evaluation.</w:t>
      </w:r>
    </w:p>
    <w:p>
      <w:pPr>
        <w:pStyle w:val="BodyText"/>
      </w:pPr>
      <w:r>
        <w:t xml:space="preserve">Evidence may include:</w:t>
      </w:r>
    </w:p>
    <w:p>
      <w:pPr>
        <w:pStyle w:val="Compact"/>
        <w:numPr>
          <w:ilvl w:val="0"/>
          <w:numId w:val="1005"/>
        </w:numPr>
      </w:pPr>
      <w:r>
        <w:t xml:space="preserve">official documents,</w:t>
      </w:r>
    </w:p>
    <w:p>
      <w:pPr>
        <w:pStyle w:val="Compact"/>
        <w:numPr>
          <w:ilvl w:val="0"/>
          <w:numId w:val="1005"/>
        </w:numPr>
      </w:pPr>
      <w:r>
        <w:t xml:space="preserve">structured records,</w:t>
      </w:r>
    </w:p>
    <w:p>
      <w:pPr>
        <w:pStyle w:val="Compact"/>
        <w:numPr>
          <w:ilvl w:val="0"/>
          <w:numId w:val="1005"/>
        </w:numPr>
      </w:pPr>
      <w:r>
        <w:t xml:space="preserve">assessment results,</w:t>
      </w:r>
    </w:p>
    <w:p>
      <w:pPr>
        <w:pStyle w:val="Compact"/>
        <w:numPr>
          <w:ilvl w:val="0"/>
          <w:numId w:val="1005"/>
        </w:numPr>
      </w:pPr>
      <w:r>
        <w:t xml:space="preserve">public records,</w:t>
      </w:r>
    </w:p>
    <w:p>
      <w:pPr>
        <w:pStyle w:val="Compact"/>
        <w:numPr>
          <w:ilvl w:val="0"/>
          <w:numId w:val="1005"/>
        </w:numPr>
      </w:pPr>
      <w:r>
        <w:t xml:space="preserve">digital credentials,</w:t>
      </w:r>
    </w:p>
    <w:p>
      <w:pPr>
        <w:pStyle w:val="Compact"/>
        <w:numPr>
          <w:ilvl w:val="0"/>
          <w:numId w:val="1005"/>
        </w:numPr>
      </w:pPr>
      <w:r>
        <w:t xml:space="preserve">system-generated observations,</w:t>
      </w:r>
    </w:p>
    <w:p>
      <w:pPr>
        <w:pStyle w:val="Compact"/>
        <w:numPr>
          <w:ilvl w:val="0"/>
          <w:numId w:val="1005"/>
        </w:numPr>
      </w:pPr>
      <w:r>
        <w:t xml:space="preserve">references,</w:t>
      </w:r>
    </w:p>
    <w:p>
      <w:pPr>
        <w:pStyle w:val="Compact"/>
        <w:numPr>
          <w:ilvl w:val="0"/>
          <w:numId w:val="1005"/>
        </w:numPr>
      </w:pPr>
      <w:r>
        <w:t xml:space="preserve">future evidence types defined by specifications.</w:t>
      </w:r>
    </w:p>
    <w:p>
      <w:pPr>
        <w:pStyle w:val="FirstParagraph"/>
      </w:pPr>
      <w:r>
        <w:t xml:space="preserve">Evidence itself does not determine truth.</w:t>
      </w:r>
    </w:p>
    <w:p>
      <w:pPr>
        <w:pStyle w:val="BodyText"/>
      </w:pPr>
      <w:r>
        <w:t xml:space="preserve">It contributes to understanding.</w:t>
      </w:r>
    </w:p>
    <w:p>
      <w:pPr>
        <w:pStyle w:val="BodyText"/>
      </w:pPr>
      <w:r>
        <w:t xml:space="preserve">Evidence MAY support multiple claims, and a claim MAY reference multiple pieces of evidence.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reasoning"/>
    <w:p>
      <w:pPr>
        <w:pStyle w:val="Heading1"/>
      </w:pPr>
      <w:r>
        <w:t xml:space="preserve">7. Reasoning</w:t>
      </w:r>
    </w:p>
    <w:bookmarkStart w:id="34" w:name="definition-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Reasoning is the process that connects claims, evidence, relationships, assumptions, and contextual rules.</w:t>
      </w:r>
    </w:p>
    <w:p>
      <w:pPr>
        <w:pStyle w:val="BodyText"/>
      </w:pPr>
      <w:r>
        <w:t xml:space="preserve">Reasoning answers questions such as:</w:t>
      </w:r>
    </w:p>
    <w:p>
      <w:pPr>
        <w:pStyle w:val="Compact"/>
        <w:numPr>
          <w:ilvl w:val="0"/>
          <w:numId w:val="1006"/>
        </w:numPr>
      </w:pPr>
      <w:r>
        <w:t xml:space="preserve">Why is this claim believed?</w:t>
      </w:r>
    </w:p>
    <w:p>
      <w:pPr>
        <w:pStyle w:val="Compact"/>
        <w:numPr>
          <w:ilvl w:val="0"/>
          <w:numId w:val="1006"/>
        </w:numPr>
      </w:pPr>
      <w:r>
        <w:t xml:space="preserve">Which evidence supports it?</w:t>
      </w:r>
    </w:p>
    <w:p>
      <w:pPr>
        <w:pStyle w:val="Compact"/>
        <w:numPr>
          <w:ilvl w:val="0"/>
          <w:numId w:val="1006"/>
        </w:numPr>
      </w:pPr>
      <w:r>
        <w:t xml:space="preserve">Which evidence contradicts it?</w:t>
      </w:r>
    </w:p>
    <w:p>
      <w:pPr>
        <w:pStyle w:val="Compact"/>
        <w:numPr>
          <w:ilvl w:val="0"/>
          <w:numId w:val="1006"/>
        </w:numPr>
      </w:pPr>
      <w:r>
        <w:t xml:space="preserve">What assumptions were made?</w:t>
      </w:r>
    </w:p>
    <w:p>
      <w:pPr>
        <w:pStyle w:val="Compact"/>
        <w:numPr>
          <w:ilvl w:val="0"/>
          <w:numId w:val="1006"/>
        </w:numPr>
      </w:pPr>
      <w:r>
        <w:t xml:space="preserve">Which relationships influence the conclusion?</w:t>
      </w:r>
    </w:p>
    <w:p>
      <w:pPr>
        <w:pStyle w:val="FirstParagraph"/>
      </w:pPr>
      <w:r>
        <w:t xml:space="preserve">Reasoning SHOULD be explainable wherever practical.</w:t>
      </w:r>
    </w:p>
    <w:p>
      <w:pPr>
        <w:pStyle w:val="BodyText"/>
      </w:pPr>
      <w:r>
        <w:t xml:space="preserve">Opaque reasoning SHOULD be avoided for decisions that materially affect users.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onfidence"/>
    <w:p>
      <w:pPr>
        <w:pStyle w:val="Heading1"/>
      </w:pPr>
      <w:r>
        <w:t xml:space="preserve">8. Confidence</w:t>
      </w:r>
    </w:p>
    <w:bookmarkStart w:id="36" w:name="definition-4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Confidence represents the platform’s current level of support for a claim based on available information and reasoning.</w:t>
      </w:r>
    </w:p>
    <w:p>
      <w:pPr>
        <w:pStyle w:val="BodyText"/>
      </w:pPr>
      <w:r>
        <w:t xml:space="preserve">Confidence is:</w:t>
      </w:r>
    </w:p>
    <w:p>
      <w:pPr>
        <w:pStyle w:val="Compact"/>
        <w:numPr>
          <w:ilvl w:val="0"/>
          <w:numId w:val="1007"/>
        </w:numPr>
      </w:pPr>
      <w:r>
        <w:t xml:space="preserve">dynamic,</w:t>
      </w:r>
    </w:p>
    <w:p>
      <w:pPr>
        <w:pStyle w:val="Compact"/>
        <w:numPr>
          <w:ilvl w:val="0"/>
          <w:numId w:val="1007"/>
        </w:numPr>
      </w:pPr>
      <w:r>
        <w:t xml:space="preserve">contextual,</w:t>
      </w:r>
    </w:p>
    <w:p>
      <w:pPr>
        <w:pStyle w:val="Compact"/>
        <w:numPr>
          <w:ilvl w:val="0"/>
          <w:numId w:val="1007"/>
        </w:numPr>
      </w:pPr>
      <w:r>
        <w:t xml:space="preserve">explainable,</w:t>
      </w:r>
    </w:p>
    <w:p>
      <w:pPr>
        <w:pStyle w:val="Compact"/>
        <w:numPr>
          <w:ilvl w:val="0"/>
          <w:numId w:val="1007"/>
        </w:numPr>
      </w:pPr>
      <w:r>
        <w:t xml:space="preserve">and revisable.</w:t>
      </w:r>
    </w:p>
    <w:p>
      <w:pPr>
        <w:pStyle w:val="FirstParagraph"/>
      </w:pPr>
      <w:r>
        <w:t xml:space="preserve">Confidence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certainty.</w:t>
      </w:r>
    </w:p>
    <w:p>
      <w:pPr>
        <w:pStyle w:val="BodyText"/>
      </w:pPr>
      <w:r>
        <w:t xml:space="preserve">New evidence may increase or decrease confidence.</w:t>
      </w:r>
    </w:p>
    <w:p>
      <w:pPr>
        <w:pStyle w:val="BodyText"/>
      </w:pPr>
      <w:r>
        <w:t xml:space="preserve">Confidence SHOULD always be interpreted in the context of available information rather than as an absolute measure of truth.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trust"/>
    <w:p>
      <w:pPr>
        <w:pStyle w:val="Heading1"/>
      </w:pPr>
      <w:r>
        <w:t xml:space="preserve">9. Trust</w:t>
      </w:r>
    </w:p>
    <w:bookmarkStart w:id="38" w:name="definition-5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Trust is the outcome of evaluating claims through evidence, reasoning, provenance, and confidence.</w:t>
      </w:r>
    </w:p>
    <w:p>
      <w:pPr>
        <w:pStyle w:val="BodyText"/>
      </w:pPr>
      <w:r>
        <w:t xml:space="preserve">Trust is therefore not an input.</w:t>
      </w:r>
    </w:p>
    <w:p>
      <w:pPr>
        <w:pStyle w:val="BodyText"/>
      </w:pPr>
      <w:r>
        <w:t xml:space="preserve">Trust is an emergent property of the platform.</w:t>
      </w:r>
    </w:p>
    <w:p>
      <w:pPr>
        <w:pStyle w:val="BodyText"/>
      </w:pPr>
      <w:r>
        <w:t xml:space="preserve">Trust may differ across contexts because different decisions require different evidence and reasoning.</w:t>
      </w:r>
    </w:p>
    <w:p>
      <w:pPr>
        <w:pStyle w:val="BodyText"/>
      </w:pPr>
      <w:r>
        <w:t xml:space="preserve">Accordingly, Patorbit treats trust as contextual rather than universal.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lationships"/>
    <w:p>
      <w:pPr>
        <w:pStyle w:val="Heading1"/>
      </w:pPr>
      <w:r>
        <w:t xml:space="preserve">10. Relationships</w:t>
      </w:r>
    </w:p>
    <w:p>
      <w:pPr>
        <w:pStyle w:val="FirstParagraph"/>
      </w:pPr>
      <w:r>
        <w:t xml:space="preserve">The core concepts are interconnected.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Claim</w:t>
      </w:r>
      <w:r>
        <w:br/>
      </w:r>
      <w:r>
        <w:rPr>
          <w:rStyle w:val="VerbatimChar"/>
        </w:rPr>
        <w:t xml:space="preserve"> ┌──┴──────────┐</w:t>
      </w:r>
      <w:r>
        <w:br/>
      </w:r>
      <w:r>
        <w:rPr>
          <w:rStyle w:val="VerbatimChar"/>
        </w:rPr>
        <w:t xml:space="preserve"> ▼             ▼</w:t>
      </w:r>
      <w:r>
        <w:br/>
      </w:r>
      <w:r>
        <w:rPr>
          <w:rStyle w:val="VerbatimChar"/>
        </w:rPr>
        <w:t xml:space="preserve">Evidence   Relationships</w:t>
      </w:r>
      <w:r>
        <w:br/>
      </w:r>
      <w:r>
        <w:rPr>
          <w:rStyle w:val="VerbatimChar"/>
        </w:rPr>
        <w:t xml:space="preserve">     \       /</w:t>
      </w:r>
      <w:r>
        <w:br/>
      </w:r>
      <w:r>
        <w:rPr>
          <w:rStyle w:val="VerbatimChar"/>
        </w:rPr>
        <w:t xml:space="preserve">      ▼     ▼</w:t>
      </w:r>
      <w:r>
        <w:br/>
      </w:r>
      <w:r>
        <w:rPr>
          <w:rStyle w:val="VerbatimChar"/>
        </w:rPr>
        <w:t xml:space="preserve">    Reasoning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Confidence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Trust</w:t>
      </w:r>
    </w:p>
    <w:p>
      <w:pPr>
        <w:pStyle w:val="FirstParagraph"/>
      </w:pPr>
      <w:r>
        <w:t xml:space="preserve">No concept exists independently.</w:t>
      </w:r>
    </w:p>
    <w:p>
      <w:pPr>
        <w:pStyle w:val="BodyText"/>
      </w:pPr>
      <w:r>
        <w:t xml:space="preserve">Understanding emerges from their relationships.</w:t>
      </w:r>
    </w:p>
    <w:p>
      <w:r>
        <w:pict>
          <v:rect style="width:0;height:1.5pt" o:hralign="center" o:hrstd="t" o:hr="t"/>
        </w:pict>
      </w:r>
    </w:p>
    <w:bookmarkEnd w:id="40"/>
    <w:bookmarkStart w:id="41" w:name="lifecycle-of-knowledge"/>
    <w:p>
      <w:pPr>
        <w:pStyle w:val="Heading1"/>
      </w:pPr>
      <w:r>
        <w:t xml:space="preserve">11. Lifecycle of Knowledge</w:t>
      </w:r>
    </w:p>
    <w:p>
      <w:pPr>
        <w:pStyle w:val="FirstParagraph"/>
      </w:pPr>
      <w:r>
        <w:t xml:space="preserve">Knowledge evolves through continuous refinement.</w:t>
      </w:r>
    </w:p>
    <w:p>
      <w:pPr>
        <w:pStyle w:val="SourceCode"/>
      </w:pP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Claim Created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Evidence Added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Reasoning Applied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Confidence Evaluated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Trust Established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Knowledge Updated</w:t>
      </w:r>
    </w:p>
    <w:p>
      <w:pPr>
        <w:pStyle w:val="FirstParagraph"/>
      </w:pPr>
      <w:r>
        <w:t xml:space="preserve">This lifecycle repeats whenever new information becomes available.</w:t>
      </w:r>
    </w:p>
    <w:p>
      <w:r>
        <w:pict>
          <v:rect style="width:0;height:1.5pt" o:hralign="center" o:hrstd="t" o:hr="t"/>
        </w:pict>
      </w:r>
    </w:p>
    <w:bookmarkEnd w:id="41"/>
    <w:bookmarkStart w:id="42" w:name="architectural-rules"/>
    <w:p>
      <w:pPr>
        <w:pStyle w:val="Heading1"/>
      </w:pPr>
      <w:r>
        <w:t xml:space="preserve">12. Architectural Rules</w:t>
      </w:r>
    </w:p>
    <w:p>
      <w:pPr>
        <w:pStyle w:val="FirstParagraph"/>
      </w:pPr>
      <w:r>
        <w:t xml:space="preserve">The following rules apply throughout the platform.</w:t>
      </w:r>
    </w:p>
    <w:p>
      <w:pPr>
        <w:pStyle w:val="Compact"/>
        <w:numPr>
          <w:ilvl w:val="0"/>
          <w:numId w:val="1008"/>
        </w:numPr>
      </w:pPr>
      <w:r>
        <w:t xml:space="preserve">Every Claim MUST reference an Identity.</w:t>
      </w:r>
    </w:p>
    <w:p>
      <w:pPr>
        <w:pStyle w:val="Compact"/>
        <w:numPr>
          <w:ilvl w:val="0"/>
          <w:numId w:val="1008"/>
        </w:numPr>
      </w:pPr>
      <w:r>
        <w:t xml:space="preserve">Evidence MUST remain independent of the Claim it supports.</w:t>
      </w:r>
    </w:p>
    <w:p>
      <w:pPr>
        <w:pStyle w:val="Compact"/>
        <w:numPr>
          <w:ilvl w:val="0"/>
          <w:numId w:val="1008"/>
        </w:numPr>
      </w:pPr>
      <w:r>
        <w:t xml:space="preserve">Evidence MAY support multiple Claims.</w:t>
      </w:r>
    </w:p>
    <w:p>
      <w:pPr>
        <w:pStyle w:val="Compact"/>
        <w:numPr>
          <w:ilvl w:val="0"/>
          <w:numId w:val="1008"/>
        </w:numPr>
      </w:pPr>
      <w:r>
        <w:t xml:space="preserve">Claims MAY evolve throughout their lifecycle.</w:t>
      </w:r>
    </w:p>
    <w:p>
      <w:pPr>
        <w:pStyle w:val="Compact"/>
        <w:numPr>
          <w:ilvl w:val="0"/>
          <w:numId w:val="1008"/>
        </w:numPr>
      </w:pPr>
      <w:r>
        <w:t xml:space="preserve">Confidence MUST be explainable wherever practical.</w:t>
      </w:r>
    </w:p>
    <w:p>
      <w:pPr>
        <w:pStyle w:val="Compact"/>
        <w:numPr>
          <w:ilvl w:val="0"/>
          <w:numId w:val="1008"/>
        </w:numPr>
      </w:pPr>
      <w:r>
        <w:t xml:space="preserve">Trust SHALL be treated as contextual.</w:t>
      </w:r>
    </w:p>
    <w:p>
      <w:pPr>
        <w:pStyle w:val="Compact"/>
        <w:numPr>
          <w:ilvl w:val="0"/>
          <w:numId w:val="1008"/>
        </w:numPr>
      </w:pPr>
      <w:r>
        <w:t xml:space="preserve">Reasoning SHOULD preserve provenance.</w:t>
      </w:r>
    </w:p>
    <w:p>
      <w:pPr>
        <w:pStyle w:val="Compact"/>
        <w:numPr>
          <w:ilvl w:val="0"/>
          <w:numId w:val="1008"/>
        </w:numPr>
      </w:pPr>
      <w:r>
        <w:t xml:space="preserve">Products MUST NOT redefine the canonical meanings of Identity, Claim, Evidence, Reasoning, Confidence, or Trust.</w:t>
      </w:r>
    </w:p>
    <w:p>
      <w:r>
        <w:pict>
          <v:rect style="width:0;height:1.5pt" o:hralign="center" o:hrstd="t" o:hr="t"/>
        </w:pict>
      </w:r>
    </w:p>
    <w:bookmarkEnd w:id="42"/>
    <w:bookmarkStart w:id="43" w:name="platform-implications"/>
    <w:p>
      <w:pPr>
        <w:pStyle w:val="Heading1"/>
      </w:pPr>
      <w:r>
        <w:t xml:space="preserve">13. Platform Implications</w:t>
      </w:r>
    </w:p>
    <w:p>
      <w:pPr>
        <w:pStyle w:val="FirstParagraph"/>
      </w:pPr>
      <w:r>
        <w:t xml:space="preserve">Every future capability within Patorbit is expected to build upon these concepts.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9"/>
        </w:numPr>
      </w:pPr>
      <w:r>
        <w:t xml:space="preserve">Career Passport organizes career-related claims.</w:t>
      </w:r>
    </w:p>
    <w:p>
      <w:pPr>
        <w:pStyle w:val="Compact"/>
        <w:numPr>
          <w:ilvl w:val="0"/>
          <w:numId w:val="1009"/>
        </w:numPr>
      </w:pPr>
      <w:r>
        <w:t xml:space="preserve">Recruiter Workspace evaluates candidate claims in hiring contexts.</w:t>
      </w:r>
    </w:p>
    <w:p>
      <w:pPr>
        <w:pStyle w:val="Compact"/>
        <w:numPr>
          <w:ilvl w:val="0"/>
          <w:numId w:val="1009"/>
        </w:numPr>
      </w:pPr>
      <w:r>
        <w:t xml:space="preserve">AI services reason over claims and evidence to generate explainable insights.</w:t>
      </w:r>
    </w:p>
    <w:p>
      <w:pPr>
        <w:pStyle w:val="Compact"/>
        <w:numPr>
          <w:ilvl w:val="0"/>
          <w:numId w:val="1009"/>
        </w:numPr>
      </w:pPr>
      <w:r>
        <w:t xml:space="preserve">Verification services strengthen confidence by introducing additional evidence.</w:t>
      </w:r>
    </w:p>
    <w:p>
      <w:pPr>
        <w:pStyle w:val="Compact"/>
        <w:numPr>
          <w:ilvl w:val="0"/>
          <w:numId w:val="1009"/>
        </w:numPr>
      </w:pPr>
      <w:r>
        <w:t xml:space="preserve">Analytics identify patterns across interconnected claims while respecting governance and privacy requirements.</w:t>
      </w:r>
    </w:p>
    <w:p>
      <w:pPr>
        <w:pStyle w:val="FirstParagraph"/>
      </w:pPr>
      <w:r>
        <w:t xml:space="preserve">The platform grows by extending these concepts rather than replacing them.</w:t>
      </w:r>
    </w:p>
    <w:p>
      <w:r>
        <w:pict>
          <v:rect style="width:0;height:1.5pt" o:hralign="center" o:hrstd="t" o:hr="t"/>
        </w:pict>
      </w:r>
    </w:p>
    <w:bookmarkEnd w:id="43"/>
    <w:bookmarkStart w:id="44" w:name="constitutional-statements"/>
    <w:p>
      <w:pPr>
        <w:pStyle w:val="Heading1"/>
      </w:pPr>
      <w:r>
        <w:t xml:space="preserve">14. Constitutional Statements</w:t>
      </w:r>
    </w:p>
    <w:p>
      <w:pPr>
        <w:pStyle w:val="Compact"/>
        <w:numPr>
          <w:ilvl w:val="0"/>
          <w:numId w:val="1010"/>
        </w:numPr>
      </w:pPr>
      <w:r>
        <w:t xml:space="preserve">Identity SHALL provide the context for every claim.</w:t>
      </w:r>
    </w:p>
    <w:p>
      <w:pPr>
        <w:pStyle w:val="Compact"/>
        <w:numPr>
          <w:ilvl w:val="0"/>
          <w:numId w:val="1010"/>
        </w:numPr>
      </w:pPr>
      <w:r>
        <w:t xml:space="preserve">Claim SHALL be the primary unit of knowledge within Patorbit.</w:t>
      </w:r>
    </w:p>
    <w:p>
      <w:pPr>
        <w:pStyle w:val="Compact"/>
        <w:numPr>
          <w:ilvl w:val="0"/>
          <w:numId w:val="1010"/>
        </w:numPr>
      </w:pPr>
      <w:r>
        <w:t xml:space="preserve">Evidence SHALL remain independent, reusable, and traceable.</w:t>
      </w:r>
    </w:p>
    <w:p>
      <w:pPr>
        <w:pStyle w:val="Compact"/>
        <w:numPr>
          <w:ilvl w:val="0"/>
          <w:numId w:val="1010"/>
        </w:numPr>
      </w:pPr>
      <w:r>
        <w:t xml:space="preserve">Reasoning SHALL connect knowledge through transparent logic wherever practical.</w:t>
      </w:r>
    </w:p>
    <w:p>
      <w:pPr>
        <w:pStyle w:val="Compact"/>
        <w:numPr>
          <w:ilvl w:val="0"/>
          <w:numId w:val="1010"/>
        </w:numPr>
      </w:pPr>
      <w:r>
        <w:t xml:space="preserve">Confidence SHALL represent the current state of understanding.</w:t>
      </w:r>
    </w:p>
    <w:p>
      <w:pPr>
        <w:pStyle w:val="Compact"/>
        <w:numPr>
          <w:ilvl w:val="0"/>
          <w:numId w:val="1010"/>
        </w:numPr>
      </w:pPr>
      <w:r>
        <w:t xml:space="preserve">Trust SHALL emerge from evidence-backed reasoning.</w:t>
      </w:r>
    </w:p>
    <w:p>
      <w:pPr>
        <w:pStyle w:val="Compact"/>
        <w:numPr>
          <w:ilvl w:val="0"/>
          <w:numId w:val="1010"/>
        </w:numPr>
      </w:pPr>
      <w:r>
        <w:t xml:space="preserve">Future specifications SHALL extend this domain model without contradicting its canonical definitions.</w:t>
      </w:r>
    </w:p>
    <w:p>
      <w:r>
        <w:pict>
          <v:rect style="width:0;height:1.5pt" o:hralign="center" o:hrstd="t" o:hr="t"/>
        </w:pict>
      </w:r>
    </w:p>
    <w:bookmarkEnd w:id="44"/>
    <w:bookmarkStart w:id="45" w:name="closing-statement"/>
    <w:p>
      <w:pPr>
        <w:pStyle w:val="Heading1"/>
      </w:pPr>
      <w:r>
        <w:t xml:space="preserve">15. Closing Statement</w:t>
      </w:r>
    </w:p>
    <w:p>
      <w:pPr>
        <w:pStyle w:val="FirstParagraph"/>
      </w:pPr>
      <w:r>
        <w:t xml:space="preserve">This chapter defines the conceptual language of Patorbit.</w:t>
      </w:r>
    </w:p>
    <w:p>
      <w:pPr>
        <w:pStyle w:val="BodyText"/>
      </w:pPr>
      <w:r>
        <w:t xml:space="preserve">Every future specification—whether it concerns engineering, artificial intelligence, security, products, or business—must use these concepts consistently.</w:t>
      </w:r>
    </w:p>
    <w:p>
      <w:pPr>
        <w:pStyle w:val="BodyText"/>
      </w:pPr>
      <w:r>
        <w:t xml:space="preserve">By treating Claims, Evidence, Reasoning, Confidence, and Trust as enduring domain concepts rather than product features, Patorbit establishes a stable foundation capable of supporting multiple applications while preserving a coherent model of trustworthy knowledge.</w:t>
      </w:r>
    </w:p>
    <w:p>
      <w:r>
        <w:pict>
          <v:rect style="width:0;height:1.5pt" o:hralign="center" o:hrstd="t" o:hr="t"/>
        </w:pict>
      </w:r>
    </w:p>
    <w:bookmarkEnd w:id="45"/>
    <w:bookmarkStart w:id="46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 (Draft)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Initial draft of Chapter 3 establishing the canonical domain model for Patorbit.</w:t>
            </w:r>
          </w:p>
        </w:tc>
      </w:tr>
    </w:tbl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2026-07-21T10:29:55Z</dcterms:created>
  <dcterms:modified xsi:type="dcterms:W3CDTF">2026-07-21T10:29:55Z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