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orbit-knowledge-system-pks"/>
    <w:p>
      <w:pPr>
        <w:pStyle w:val="Heading1"/>
      </w:pPr>
      <w:r>
        <w:t xml:space="preserve">Patorbit Knowledge System (PKS)</w:t>
      </w:r>
    </w:p>
    <w:bookmarkEnd w:id="20"/>
    <w:bookmarkStart w:id="23" w:name="volume-0-the-patorbit-canon"/>
    <w:p>
      <w:pPr>
        <w:pStyle w:val="Heading1"/>
      </w:pPr>
      <w:r>
        <w:t xml:space="preserve">Volume 0 — The Patorbit Canon</w:t>
      </w:r>
    </w:p>
    <w:bookmarkStart w:id="22" w:name="book-i-foundation"/>
    <w:p>
      <w:pPr>
        <w:pStyle w:val="Heading2"/>
      </w:pPr>
      <w:r>
        <w:t xml:space="preserve">Book I — Foundation</w:t>
      </w:r>
    </w:p>
    <w:bookmarkStart w:id="21" w:name="chapter-4-the-architecture-of-knowledge"/>
    <w:p>
      <w:pPr>
        <w:pStyle w:val="Heading3"/>
      </w:pPr>
      <w:r>
        <w:t xml:space="preserve">Chapter 4 — The Architecture of Knowledge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PKS-V0-B1-C4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 (Draft)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Founding Review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Foundational</w:t>
      </w:r>
      <w:r>
        <w:br/>
      </w:r>
      <w:r>
        <w:rPr>
          <w:b/>
          <w:bCs/>
        </w:rPr>
        <w:t xml:space="preserve">Authority Level:</w:t>
      </w:r>
      <w:r>
        <w:t xml:space="preserve"> </w:t>
      </w:r>
      <w:r>
        <w:t xml:space="preserve">A0 – Canonical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Patorbit Founding Team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chapter defines the architectural model through which knowledge is represented, connected, governed, and consumed within the Patorbit platform.</w:t>
      </w:r>
    </w:p>
    <w:p>
      <w:pPr>
        <w:pStyle w:val="BodyText"/>
      </w:pPr>
      <w:r>
        <w:t xml:space="preserve">Where Chapter 3 introduced the canonical concepts of Identity, Claim, Evidence, Reasoning, Confidence, and Trust, this chapter defines how those concepts interact as a unified system.</w:t>
      </w:r>
    </w:p>
    <w:p>
      <w:pPr>
        <w:pStyle w:val="BodyText"/>
      </w:pPr>
      <w:r>
        <w:t xml:space="preserve">The architecture described here is conceptual rather than technological. It remains valid regardless of the database, programming language, storage engine, or infrastructure chosen to implement it.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al-principle"/>
    <w:p>
      <w:pPr>
        <w:pStyle w:val="Heading1"/>
      </w:pPr>
      <w:r>
        <w:t xml:space="preserve">2. Architectural Principle</w:t>
      </w:r>
    </w:p>
    <w:p>
      <w:pPr>
        <w:pStyle w:val="FirstParagraph"/>
      </w:pPr>
      <w:r>
        <w:t xml:space="preserve">Patorbit is</w:t>
      </w:r>
      <w:r>
        <w:t xml:space="preserve"> </w:t>
      </w:r>
      <w:r>
        <w:rPr>
          <w:b/>
          <w:bCs/>
        </w:rPr>
        <w:t xml:space="preserve">knowledge-centric</w:t>
      </w:r>
      <w:r>
        <w:t xml:space="preserve">, not document-centric.</w:t>
      </w:r>
    </w:p>
    <w:p>
      <w:pPr>
        <w:pStyle w:val="BodyText"/>
      </w:pPr>
      <w:r>
        <w:t xml:space="preserve">The platform does not treat résumés, certificates, profiles, transcripts, portfolios, or reports as primary sources of truth.</w:t>
      </w:r>
    </w:p>
    <w:p>
      <w:pPr>
        <w:pStyle w:val="BodyText"/>
      </w:pPr>
      <w:r>
        <w:t xml:space="preserve">Instead, these artifacts are understood as</w:t>
      </w:r>
      <w:r>
        <w:t xml:space="preserve"> </w:t>
      </w:r>
      <w:r>
        <w:rPr>
          <w:b/>
          <w:bCs/>
        </w:rPr>
        <w:t xml:space="preserve">views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representations</w:t>
      </w:r>
      <w:r>
        <w:t xml:space="preserve"> </w:t>
      </w:r>
      <w:r>
        <w:t xml:space="preserve">of an underlying body of interconnected knowledge.</w:t>
      </w:r>
    </w:p>
    <w:p>
      <w:pPr>
        <w:pStyle w:val="BodyText"/>
      </w:pPr>
      <w:r>
        <w:t xml:space="preserve">The canonical source of truth is the knowledge itself.</w:t>
      </w:r>
    </w:p>
    <w:p>
      <w:r>
        <w:pict>
          <v:rect style="width:0;height:1.5pt" o:hralign="center" o:hrstd="t" o:hr="t"/>
        </w:pict>
      </w:r>
    </w:p>
    <w:bookmarkEnd w:id="25"/>
    <w:bookmarkStart w:id="27" w:name="the-knowledge-graph"/>
    <w:p>
      <w:pPr>
        <w:pStyle w:val="Heading1"/>
      </w:pPr>
      <w:r>
        <w:t xml:space="preserve">3. The Knowledge Graph</w:t>
      </w:r>
    </w:p>
    <w:bookmarkStart w:id="26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Knowledge Graph</w:t>
      </w:r>
      <w:r>
        <w:t xml:space="preserve"> </w:t>
      </w:r>
      <w:r>
        <w:t xml:space="preserve">is the canonical architectural representation of all knowledge managed by Patorbit.</w:t>
      </w:r>
    </w:p>
    <w:p>
      <w:pPr>
        <w:pStyle w:val="BodyText"/>
      </w:pPr>
      <w:r>
        <w:t xml:space="preserve">It models entities and their relationships rather than isolated documents.</w:t>
      </w:r>
    </w:p>
    <w:p>
      <w:pPr>
        <w:pStyle w:val="BodyText"/>
      </w:pPr>
      <w:r>
        <w:t xml:space="preserve">The Knowledge Graph is a conceptual model and SHALL NOT be tied to any specific graph database, storage technology, or implementation.</w:t>
      </w:r>
    </w:p>
    <w:p>
      <w:pPr>
        <w:pStyle w:val="BodyText"/>
      </w:pPr>
      <w:r>
        <w:t xml:space="preserve">Future implementations MAY use relational databases, graph databases, document stores, vector databases, or hybrid architectures while preserving the conceptual model defined in this chapter.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core-graph-components"/>
    <w:p>
      <w:pPr>
        <w:pStyle w:val="Heading1"/>
      </w:pPr>
      <w:r>
        <w:t xml:space="preserve">4. Core Graph Components</w:t>
      </w:r>
    </w:p>
    <w:p>
      <w:pPr>
        <w:pStyle w:val="FirstParagraph"/>
      </w:pPr>
      <w:r>
        <w:t xml:space="preserve">The Knowledge Graph is composed of interconnected domain concepts.</w:t>
      </w:r>
    </w:p>
    <w:bookmarkStart w:id="28" w:name="nodes"/>
    <w:p>
      <w:pPr>
        <w:pStyle w:val="Heading2"/>
      </w:pPr>
      <w:r>
        <w:t xml:space="preserve">Nodes</w:t>
      </w:r>
    </w:p>
    <w:p>
      <w:pPr>
        <w:pStyle w:val="FirstParagraph"/>
      </w:pPr>
      <w:r>
        <w:t xml:space="preserve">Nodes represent identifiable entities, including but not limited to:</w:t>
      </w:r>
    </w:p>
    <w:p>
      <w:pPr>
        <w:pStyle w:val="Compact"/>
        <w:numPr>
          <w:ilvl w:val="0"/>
          <w:numId w:val="1001"/>
        </w:numPr>
      </w:pPr>
      <w:r>
        <w:t xml:space="preserve">Identity</w:t>
      </w:r>
    </w:p>
    <w:p>
      <w:pPr>
        <w:pStyle w:val="Compact"/>
        <w:numPr>
          <w:ilvl w:val="0"/>
          <w:numId w:val="1001"/>
        </w:numPr>
      </w:pPr>
      <w:r>
        <w:t xml:space="preserve">Claim</w:t>
      </w:r>
    </w:p>
    <w:p>
      <w:pPr>
        <w:pStyle w:val="Compact"/>
        <w:numPr>
          <w:ilvl w:val="0"/>
          <w:numId w:val="1001"/>
        </w:numPr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Skill</w:t>
      </w:r>
    </w:p>
    <w:p>
      <w:pPr>
        <w:pStyle w:val="Compact"/>
        <w:numPr>
          <w:ilvl w:val="0"/>
          <w:numId w:val="1001"/>
        </w:numPr>
      </w:pPr>
      <w:r>
        <w:t xml:space="preserve">Project</w:t>
      </w:r>
    </w:p>
    <w:p>
      <w:pPr>
        <w:pStyle w:val="Compact"/>
        <w:numPr>
          <w:ilvl w:val="0"/>
          <w:numId w:val="1001"/>
        </w:numPr>
      </w:pPr>
      <w:r>
        <w:t xml:space="preserve">Organization</w:t>
      </w:r>
    </w:p>
    <w:p>
      <w:pPr>
        <w:pStyle w:val="Compact"/>
        <w:numPr>
          <w:ilvl w:val="0"/>
          <w:numId w:val="1001"/>
        </w:numPr>
      </w:pPr>
      <w:r>
        <w:t xml:space="preserve">Educational Qualification</w:t>
      </w:r>
    </w:p>
    <w:p>
      <w:pPr>
        <w:pStyle w:val="Compact"/>
        <w:numPr>
          <w:ilvl w:val="0"/>
          <w:numId w:val="1001"/>
        </w:numPr>
      </w:pPr>
      <w:r>
        <w:t xml:space="preserve">Employment</w:t>
      </w:r>
    </w:p>
    <w:p>
      <w:pPr>
        <w:pStyle w:val="Compact"/>
        <w:numPr>
          <w:ilvl w:val="0"/>
          <w:numId w:val="1001"/>
        </w:numPr>
      </w:pPr>
      <w:r>
        <w:t xml:space="preserve">Certification</w:t>
      </w:r>
    </w:p>
    <w:p>
      <w:pPr>
        <w:pStyle w:val="Compact"/>
        <w:numPr>
          <w:ilvl w:val="0"/>
          <w:numId w:val="1001"/>
        </w:numPr>
      </w:pPr>
      <w:r>
        <w:t xml:space="preserve">Assessment</w:t>
      </w:r>
    </w:p>
    <w:p>
      <w:pPr>
        <w:pStyle w:val="Compact"/>
        <w:numPr>
          <w:ilvl w:val="0"/>
          <w:numId w:val="1001"/>
        </w:numPr>
      </w:pPr>
      <w:r>
        <w:t xml:space="preserve">Publication</w:t>
      </w:r>
    </w:p>
    <w:p>
      <w:pPr>
        <w:pStyle w:val="Compact"/>
        <w:numPr>
          <w:ilvl w:val="0"/>
          <w:numId w:val="1001"/>
        </w:numPr>
      </w:pPr>
      <w:r>
        <w:t xml:space="preserve">Product</w:t>
      </w:r>
    </w:p>
    <w:p>
      <w:pPr>
        <w:pStyle w:val="Compact"/>
        <w:numPr>
          <w:ilvl w:val="0"/>
          <w:numId w:val="1001"/>
        </w:numPr>
      </w:pPr>
      <w:r>
        <w:t xml:space="preserve">Future entity types defined by later specifications</w:t>
      </w:r>
    </w:p>
    <w:p>
      <w:pPr>
        <w:pStyle w:val="FirstParagraph"/>
      </w:pPr>
      <w:r>
        <w:t xml:space="preserve">Each node represents a distinct concept with its own lifecycle and provenance.</w:t>
      </w:r>
    </w:p>
    <w:p>
      <w:r>
        <w:pict>
          <v:rect style="width:0;height:1.5pt" o:hralign="center" o:hrstd="t" o:hr="t"/>
        </w:pict>
      </w:r>
    </w:p>
    <w:bookmarkEnd w:id="28"/>
    <w:bookmarkStart w:id="29" w:name="relationships"/>
    <w:p>
      <w:pPr>
        <w:pStyle w:val="Heading2"/>
      </w:pPr>
      <w:r>
        <w:t xml:space="preserve">Relationships</w:t>
      </w:r>
    </w:p>
    <w:p>
      <w:pPr>
        <w:pStyle w:val="FirstParagraph"/>
      </w:pPr>
      <w:r>
        <w:t xml:space="preserve">Relationships express how nodes are connected.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supports</w:t>
      </w:r>
    </w:p>
    <w:p>
      <w:pPr>
        <w:pStyle w:val="Compact"/>
        <w:numPr>
          <w:ilvl w:val="0"/>
          <w:numId w:val="1002"/>
        </w:numPr>
      </w:pPr>
      <w:r>
        <w:t xml:space="preserve">contradicts</w:t>
      </w:r>
    </w:p>
    <w:p>
      <w:pPr>
        <w:pStyle w:val="Compact"/>
        <w:numPr>
          <w:ilvl w:val="0"/>
          <w:numId w:val="1002"/>
        </w:numPr>
      </w:pPr>
      <w:r>
        <w:t xml:space="preserve">belongs to</w:t>
      </w:r>
    </w:p>
    <w:p>
      <w:pPr>
        <w:pStyle w:val="Compact"/>
        <w:numPr>
          <w:ilvl w:val="0"/>
          <w:numId w:val="1002"/>
        </w:numPr>
      </w:pPr>
      <w:r>
        <w:t xml:space="preserve">verified by</w:t>
      </w:r>
    </w:p>
    <w:p>
      <w:pPr>
        <w:pStyle w:val="Compact"/>
        <w:numPr>
          <w:ilvl w:val="0"/>
          <w:numId w:val="1002"/>
        </w:numPr>
      </w:pPr>
      <w:r>
        <w:t xml:space="preserve">issued by</w:t>
      </w:r>
    </w:p>
    <w:p>
      <w:pPr>
        <w:pStyle w:val="Compact"/>
        <w:numPr>
          <w:ilvl w:val="0"/>
          <w:numId w:val="1002"/>
        </w:numPr>
      </w:pPr>
      <w:r>
        <w:t xml:space="preserve">completed by</w:t>
      </w:r>
    </w:p>
    <w:p>
      <w:pPr>
        <w:pStyle w:val="Compact"/>
        <w:numPr>
          <w:ilvl w:val="0"/>
          <w:numId w:val="1002"/>
        </w:numPr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derived from</w:t>
      </w:r>
    </w:p>
    <w:p>
      <w:pPr>
        <w:pStyle w:val="Compact"/>
        <w:numPr>
          <w:ilvl w:val="0"/>
          <w:numId w:val="1002"/>
        </w:numPr>
      </w:pPr>
      <w:r>
        <w:t xml:space="preserve">related to</w:t>
      </w:r>
    </w:p>
    <w:p>
      <w:pPr>
        <w:pStyle w:val="Compact"/>
        <w:numPr>
          <w:ilvl w:val="0"/>
          <w:numId w:val="1002"/>
        </w:numPr>
      </w:pPr>
      <w:r>
        <w:t xml:space="preserve">depends on</w:t>
      </w:r>
    </w:p>
    <w:p>
      <w:pPr>
        <w:pStyle w:val="FirstParagraph"/>
      </w:pPr>
      <w:r>
        <w:t xml:space="preserve">Relationships are first-class citizens within the architecture and carry meaning independent of the nodes they connect.</w:t>
      </w:r>
    </w:p>
    <w:p>
      <w:r>
        <w:pict>
          <v:rect style="width:0;height:1.5pt" o:hralign="center" o:hrstd="t" o:hr="t"/>
        </w:pict>
      </w:r>
    </w:p>
    <w:bookmarkEnd w:id="29"/>
    <w:bookmarkStart w:id="30" w:name="provenance"/>
    <w:p>
      <w:pPr>
        <w:pStyle w:val="Heading2"/>
      </w:pPr>
      <w:r>
        <w:t xml:space="preserve">Provenance</w:t>
      </w:r>
    </w:p>
    <w:p>
      <w:pPr>
        <w:pStyle w:val="FirstParagraph"/>
      </w:pPr>
      <w:r>
        <w:t xml:space="preserve">Every significant node and relationship SHOULD preserve provenance information, including:</w:t>
      </w:r>
    </w:p>
    <w:p>
      <w:pPr>
        <w:pStyle w:val="Compact"/>
        <w:numPr>
          <w:ilvl w:val="0"/>
          <w:numId w:val="1003"/>
        </w:numPr>
      </w:pPr>
      <w:r>
        <w:t xml:space="preserve">origin,</w:t>
      </w:r>
    </w:p>
    <w:p>
      <w:pPr>
        <w:pStyle w:val="Compact"/>
        <w:numPr>
          <w:ilvl w:val="0"/>
          <w:numId w:val="1003"/>
        </w:numPr>
      </w:pPr>
      <w:r>
        <w:t xml:space="preserve">creator,</w:t>
      </w:r>
    </w:p>
    <w:p>
      <w:pPr>
        <w:pStyle w:val="Compact"/>
        <w:numPr>
          <w:ilvl w:val="0"/>
          <w:numId w:val="1003"/>
        </w:numPr>
      </w:pPr>
      <w:r>
        <w:t xml:space="preserve">timestamps,</w:t>
      </w:r>
    </w:p>
    <w:p>
      <w:pPr>
        <w:pStyle w:val="Compact"/>
        <w:numPr>
          <w:ilvl w:val="0"/>
          <w:numId w:val="1003"/>
        </w:numPr>
      </w:pPr>
      <w:r>
        <w:t xml:space="preserve">version history,</w:t>
      </w:r>
    </w:p>
    <w:p>
      <w:pPr>
        <w:pStyle w:val="Compact"/>
        <w:numPr>
          <w:ilvl w:val="0"/>
          <w:numId w:val="1003"/>
        </w:numPr>
      </w:pPr>
      <w:r>
        <w:t xml:space="preserve">governing specification,</w:t>
      </w:r>
    </w:p>
    <w:p>
      <w:pPr>
        <w:pStyle w:val="Compact"/>
        <w:numPr>
          <w:ilvl w:val="0"/>
          <w:numId w:val="1003"/>
        </w:numPr>
      </w:pPr>
      <w:r>
        <w:t xml:space="preserve">and supporting evidence where applicable.</w:t>
      </w:r>
    </w:p>
    <w:p>
      <w:pPr>
        <w:pStyle w:val="FirstParagraph"/>
      </w:pPr>
      <w:r>
        <w:t xml:space="preserve">Provenance enables traceability, accountability, and explainability.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knowledge-flow"/>
    <w:p>
      <w:pPr>
        <w:pStyle w:val="Heading1"/>
      </w:pPr>
      <w:r>
        <w:t xml:space="preserve">5. Knowledge Flow</w:t>
      </w:r>
    </w:p>
    <w:p>
      <w:pPr>
        <w:pStyle w:val="FirstParagraph"/>
      </w:pPr>
      <w:r>
        <w:t xml:space="preserve">Knowledge evolves through a continuous lifecycle.</w:t>
      </w:r>
    </w:p>
    <w:p>
      <w:pPr>
        <w:pStyle w:val="SourceCode"/>
      </w:pP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Claim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Evidence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Knowledge Graph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Reasoning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Trust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Products &amp; Services</w:t>
      </w:r>
    </w:p>
    <w:p>
      <w:pPr>
        <w:pStyle w:val="FirstParagraph"/>
      </w:pPr>
      <w:r>
        <w:t xml:space="preserve">Each stage enriches the platform’s understanding while preserving historical context.</w:t>
      </w:r>
    </w:p>
    <w:p>
      <w:r>
        <w:pict>
          <v:rect style="width:0;height:1.5pt" o:hralign="center" o:hrstd="t" o:hr="t"/>
        </w:pict>
      </w:r>
    </w:p>
    <w:bookmarkEnd w:id="32"/>
    <w:bookmarkStart w:id="33" w:name="architectural-layers"/>
    <w:p>
      <w:pPr>
        <w:pStyle w:val="Heading1"/>
      </w:pPr>
      <w:r>
        <w:t xml:space="preserve">6. Architectural Layers</w:t>
      </w:r>
    </w:p>
    <w:p>
      <w:pPr>
        <w:pStyle w:val="FirstParagraph"/>
      </w:pPr>
      <w:r>
        <w:t xml:space="preserve">The Knowledge Graph forms the center of the platform architecture.</w:t>
      </w:r>
    </w:p>
    <w:p>
      <w:pPr>
        <w:pStyle w:val="SourceCode"/>
      </w:pP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Career Passport</w:t>
      </w:r>
      <w:r>
        <w:br/>
      </w:r>
      <w:r>
        <w:rPr>
          <w:rStyle w:val="VerbatimChar"/>
        </w:rPr>
        <w:t xml:space="preserve">├── Recruiter Workspace</w:t>
      </w:r>
      <w:r>
        <w:br/>
      </w:r>
      <w:r>
        <w:rPr>
          <w:rStyle w:val="VerbatimChar"/>
        </w:rPr>
        <w:t xml:space="preserve">├── Enterprise Portal</w:t>
      </w:r>
      <w:r>
        <w:br/>
      </w:r>
      <w:r>
        <w:rPr>
          <w:rStyle w:val="VerbatimChar"/>
        </w:rPr>
        <w:t xml:space="preserve">├── Developer APIs</w:t>
      </w:r>
      <w:r>
        <w:br/>
      </w:r>
      <w:r>
        <w:rPr>
          <w:rStyle w:val="VerbatimChar"/>
        </w:rPr>
        <w:t xml:space="preserve">└── Future Products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Platform Services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 Reasoning</w:t>
      </w:r>
      <w:r>
        <w:br/>
      </w:r>
      <w:r>
        <w:rPr>
          <w:rStyle w:val="VerbatimChar"/>
        </w:rPr>
        <w:t xml:space="preserve">├── Verification</w:t>
      </w:r>
      <w:r>
        <w:br/>
      </w:r>
      <w:r>
        <w:rPr>
          <w:rStyle w:val="VerbatimChar"/>
        </w:rPr>
        <w:t xml:space="preserve">├── Search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├── Recommendations</w:t>
      </w:r>
      <w:r>
        <w:br/>
      </w:r>
      <w:r>
        <w:rPr>
          <w:rStyle w:val="VerbatimChar"/>
        </w:rPr>
        <w:t xml:space="preserve">└── Reporting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Knowledge Layer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Knowledge Graph</w:t>
      </w:r>
      <w:r>
        <w:br/>
      </w:r>
      <w:r>
        <w:rPr>
          <w:rStyle w:val="VerbatimChar"/>
        </w:rPr>
        <w:t xml:space="preserve">├── Identity</w:t>
      </w:r>
      <w:r>
        <w:br/>
      </w:r>
      <w:r>
        <w:rPr>
          <w:rStyle w:val="VerbatimChar"/>
        </w:rPr>
        <w:t xml:space="preserve">├── Claims</w:t>
      </w:r>
      <w:r>
        <w:br/>
      </w:r>
      <w:r>
        <w:rPr>
          <w:rStyle w:val="VerbatimChar"/>
        </w:rPr>
        <w:t xml:space="preserve">├── Evidence</w:t>
      </w:r>
      <w:r>
        <w:br/>
      </w:r>
      <w:r>
        <w:rPr>
          <w:rStyle w:val="VerbatimChar"/>
        </w:rPr>
        <w:t xml:space="preserve">├── Relationships</w:t>
      </w:r>
      <w:r>
        <w:br/>
      </w:r>
      <w:r>
        <w:rPr>
          <w:rStyle w:val="VerbatimChar"/>
        </w:rPr>
        <w:t xml:space="preserve">├── Confidence</w:t>
      </w:r>
      <w:r>
        <w:br/>
      </w:r>
      <w:r>
        <w:rPr>
          <w:rStyle w:val="VerbatimChar"/>
        </w:rPr>
        <w:t xml:space="preserve">└── Trust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</w:t>
      </w:r>
      <w:r>
        <w:br/>
      </w:r>
      <w:r>
        <w:rPr>
          <w:rStyle w:val="VerbatimChar"/>
        </w:rPr>
        <w:t xml:space="preserve">├── Indexing</w:t>
      </w:r>
      <w:r>
        <w:br/>
      </w:r>
      <w:r>
        <w:rPr>
          <w:rStyle w:val="VerbatimChar"/>
        </w:rPr>
        <w:t xml:space="preserve">├── Messaging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Compute</w:t>
      </w:r>
      <w:r>
        <w:br/>
      </w:r>
      <w:r>
        <w:rPr>
          <w:rStyle w:val="VerbatimChar"/>
        </w:rPr>
        <w:t xml:space="preserve">└── Networking</w:t>
      </w:r>
    </w:p>
    <w:p>
      <w:pPr>
        <w:pStyle w:val="FirstParagraph"/>
      </w:pPr>
      <w:r>
        <w:t xml:space="preserve">Applications consume knowledge through platform services. Platform services operate on the Knowledge Graph. Infrastructure supports the platform but does not define its meaning.</w:t>
      </w:r>
    </w:p>
    <w:p>
      <w:r>
        <w:pict>
          <v:rect style="width:0;height:1.5pt" o:hralign="center" o:hrstd="t" o:hr="t"/>
        </w:pict>
      </w:r>
    </w:p>
    <w:bookmarkEnd w:id="33"/>
    <w:bookmarkStart w:id="40" w:name="architectural-principles"/>
    <w:p>
      <w:pPr>
        <w:pStyle w:val="Heading1"/>
      </w:pPr>
      <w:r>
        <w:t xml:space="preserve">7. Architectural Principles</w:t>
      </w:r>
    </w:p>
    <w:p>
      <w:pPr>
        <w:pStyle w:val="FirstParagraph"/>
      </w:pPr>
      <w:r>
        <w:t xml:space="preserve">The Knowledge Graph SHALL follow these principles:</w:t>
      </w:r>
    </w:p>
    <w:bookmarkStart w:id="34" w:name="knowledge-before-documents"/>
    <w:p>
      <w:pPr>
        <w:pStyle w:val="Heading3"/>
      </w:pPr>
      <w:r>
        <w:t xml:space="preserve">Knowledge Before Documents</w:t>
      </w:r>
    </w:p>
    <w:p>
      <w:pPr>
        <w:pStyle w:val="FirstParagraph"/>
      </w:pPr>
      <w:r>
        <w:t xml:space="preserve">Documents are generated from knowledge. Knowledge is never derived solely from document structure.</w:t>
      </w:r>
    </w:p>
    <w:bookmarkEnd w:id="34"/>
    <w:bookmarkStart w:id="35" w:name="relationships-are-meaningful"/>
    <w:p>
      <w:pPr>
        <w:pStyle w:val="Heading3"/>
      </w:pPr>
      <w:r>
        <w:t xml:space="preserve">Relationships Are Meaningful</w:t>
      </w:r>
    </w:p>
    <w:p>
      <w:pPr>
        <w:pStyle w:val="FirstParagraph"/>
      </w:pPr>
      <w:r>
        <w:t xml:space="preserve">Connections between entities are valuable information and SHALL be preserved.</w:t>
      </w:r>
    </w:p>
    <w:bookmarkEnd w:id="35"/>
    <w:bookmarkStart w:id="36" w:name="reuse-before-duplication"/>
    <w:p>
      <w:pPr>
        <w:pStyle w:val="Heading3"/>
      </w:pPr>
      <w:r>
        <w:t xml:space="preserve">Reuse Before Duplication</w:t>
      </w:r>
    </w:p>
    <w:p>
      <w:pPr>
        <w:pStyle w:val="FirstParagraph"/>
      </w:pPr>
      <w:r>
        <w:t xml:space="preserve">Evidence, identities, organizations, and other entities SHOULD be reusable across multiple claims and contexts.</w:t>
      </w:r>
    </w:p>
    <w:bookmarkEnd w:id="36"/>
    <w:bookmarkStart w:id="37" w:name="explainability"/>
    <w:p>
      <w:pPr>
        <w:pStyle w:val="Heading3"/>
      </w:pPr>
      <w:r>
        <w:t xml:space="preserve">Explainability</w:t>
      </w:r>
    </w:p>
    <w:p>
      <w:pPr>
        <w:pStyle w:val="FirstParagraph"/>
      </w:pPr>
      <w:r>
        <w:t xml:space="preserve">Reasoning paths SHOULD be traceable from conclusions back to supporting claims and evidence.</w:t>
      </w:r>
    </w:p>
    <w:bookmarkEnd w:id="37"/>
    <w:bookmarkStart w:id="38" w:name="extensibility"/>
    <w:p>
      <w:pPr>
        <w:pStyle w:val="Heading3"/>
      </w:pPr>
      <w:r>
        <w:t xml:space="preserve">Extensibility</w:t>
      </w:r>
    </w:p>
    <w:p>
      <w:pPr>
        <w:pStyle w:val="FirstParagraph"/>
      </w:pPr>
      <w:r>
        <w:t xml:space="preserve">New node types and relationship types MAY be introduced without altering existing canonical concepts.</w:t>
      </w:r>
    </w:p>
    <w:bookmarkEnd w:id="38"/>
    <w:bookmarkStart w:id="39" w:name="technology-independence"/>
    <w:p>
      <w:pPr>
        <w:pStyle w:val="Heading3"/>
      </w:pPr>
      <w:r>
        <w:t xml:space="preserve">Technology Independence</w:t>
      </w:r>
    </w:p>
    <w:p>
      <w:pPr>
        <w:pStyle w:val="FirstParagraph"/>
      </w:pPr>
      <w:r>
        <w:t xml:space="preserve">The conceptual model SHALL remain stable regardless of implementation technology.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knowledge-projections"/>
    <w:p>
      <w:pPr>
        <w:pStyle w:val="Heading1"/>
      </w:pPr>
      <w:r>
        <w:t xml:space="preserve">8. Knowledge Projections</w:t>
      </w:r>
    </w:p>
    <w:p>
      <w:pPr>
        <w:pStyle w:val="FirstParagraph"/>
      </w:pPr>
      <w:r>
        <w:t xml:space="preserve">Different products present different views of the same underlying graph.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A Career Passport emphasizes employment, education, skills, and achievements.</w:t>
      </w:r>
    </w:p>
    <w:p>
      <w:pPr>
        <w:pStyle w:val="Compact"/>
        <w:numPr>
          <w:ilvl w:val="0"/>
          <w:numId w:val="1004"/>
        </w:numPr>
      </w:pPr>
      <w:r>
        <w:t xml:space="preserve">A Recruiter Workspace highlights candidate suitability, evidence strength, and verification status.</w:t>
      </w:r>
    </w:p>
    <w:p>
      <w:pPr>
        <w:pStyle w:val="Compact"/>
        <w:numPr>
          <w:ilvl w:val="0"/>
          <w:numId w:val="1004"/>
        </w:numPr>
      </w:pPr>
      <w:r>
        <w:t xml:space="preserve">A verification service focuses on provenance and authenticity.</w:t>
      </w:r>
    </w:p>
    <w:p>
      <w:pPr>
        <w:pStyle w:val="Compact"/>
        <w:numPr>
          <w:ilvl w:val="0"/>
          <w:numId w:val="1004"/>
        </w:numPr>
      </w:pPr>
      <w:r>
        <w:t xml:space="preserve">Analytics reveal trends across interconnected entities.</w:t>
      </w:r>
    </w:p>
    <w:p>
      <w:pPr>
        <w:pStyle w:val="Compact"/>
        <w:numPr>
          <w:ilvl w:val="0"/>
          <w:numId w:val="1004"/>
        </w:numPr>
      </w:pPr>
      <w:r>
        <w:t xml:space="preserve">AI assistants traverse the graph to answer questions and generate explainable recommendations.</w:t>
      </w:r>
    </w:p>
    <w:p>
      <w:pPr>
        <w:pStyle w:val="FirstParagraph"/>
      </w:pPr>
      <w:r>
        <w:t xml:space="preserve">Each projection serves a different purpose while relying on the same canonical knowledge.</w:t>
      </w:r>
    </w:p>
    <w:p>
      <w:r>
        <w:pict>
          <v:rect style="width:0;height:1.5pt" o:hralign="center" o:hrstd="t" o:hr="t"/>
        </w:pict>
      </w:r>
    </w:p>
    <w:bookmarkEnd w:id="41"/>
    <w:bookmarkStart w:id="42" w:name="responsibilities"/>
    <w:p>
      <w:pPr>
        <w:pStyle w:val="Heading1"/>
      </w:pPr>
      <w:r>
        <w:t xml:space="preserve">9. Responsibilities</w:t>
      </w:r>
    </w:p>
    <w:p>
      <w:pPr>
        <w:pStyle w:val="FirstParagraph"/>
      </w:pPr>
      <w:r>
        <w:t xml:space="preserve">The Knowledge Graph is responsible for:</w:t>
      </w:r>
    </w:p>
    <w:p>
      <w:pPr>
        <w:pStyle w:val="Compact"/>
        <w:numPr>
          <w:ilvl w:val="0"/>
          <w:numId w:val="1005"/>
        </w:numPr>
      </w:pPr>
      <w:r>
        <w:t xml:space="preserve">representing canonical knowledge,</w:t>
      </w:r>
    </w:p>
    <w:p>
      <w:pPr>
        <w:pStyle w:val="Compact"/>
        <w:numPr>
          <w:ilvl w:val="0"/>
          <w:numId w:val="1005"/>
        </w:numPr>
      </w:pPr>
      <w:r>
        <w:t xml:space="preserve">preserving relationships,</w:t>
      </w:r>
    </w:p>
    <w:p>
      <w:pPr>
        <w:pStyle w:val="Compact"/>
        <w:numPr>
          <w:ilvl w:val="0"/>
          <w:numId w:val="1005"/>
        </w:numPr>
      </w:pPr>
      <w:r>
        <w:t xml:space="preserve">maintaining provenance,</w:t>
      </w:r>
    </w:p>
    <w:p>
      <w:pPr>
        <w:pStyle w:val="Compact"/>
        <w:numPr>
          <w:ilvl w:val="0"/>
          <w:numId w:val="1005"/>
        </w:numPr>
      </w:pPr>
      <w:r>
        <w:t xml:space="preserve">supporting reasoning,</w:t>
      </w:r>
    </w:p>
    <w:p>
      <w:pPr>
        <w:pStyle w:val="Compact"/>
        <w:numPr>
          <w:ilvl w:val="0"/>
          <w:numId w:val="1005"/>
        </w:numPr>
      </w:pPr>
      <w:r>
        <w:t xml:space="preserve">enabling explainability,</w:t>
      </w:r>
    </w:p>
    <w:p>
      <w:pPr>
        <w:pStyle w:val="Compact"/>
        <w:numPr>
          <w:ilvl w:val="0"/>
          <w:numId w:val="1005"/>
        </w:numPr>
      </w:pPr>
      <w:r>
        <w:t xml:space="preserve">facilitating reuse,</w:t>
      </w:r>
    </w:p>
    <w:p>
      <w:pPr>
        <w:pStyle w:val="Compact"/>
        <w:numPr>
          <w:ilvl w:val="0"/>
          <w:numId w:val="1005"/>
        </w:numPr>
      </w:pPr>
      <w:r>
        <w:t xml:space="preserve">and serving as the single source of truth.</w:t>
      </w:r>
    </w:p>
    <w:p>
      <w:pPr>
        <w:pStyle w:val="FirstParagraph"/>
      </w:pPr>
      <w:r>
        <w:t xml:space="preserve">Applications SHALL NOT create alternative domain models that conflict with the canonical graph.</w:t>
      </w:r>
    </w:p>
    <w:p>
      <w:r>
        <w:pict>
          <v:rect style="width:0;height:1.5pt" o:hralign="center" o:hrstd="t" o:hr="t"/>
        </w:pict>
      </w:r>
    </w:p>
    <w:bookmarkEnd w:id="42"/>
    <w:bookmarkStart w:id="43" w:name="constitutional-statements"/>
    <w:p>
      <w:pPr>
        <w:pStyle w:val="Heading1"/>
      </w:pPr>
      <w:r>
        <w:t xml:space="preserve">10. Constitutional Statements</w:t>
      </w:r>
    </w:p>
    <w:p>
      <w:pPr>
        <w:pStyle w:val="Compact"/>
        <w:numPr>
          <w:ilvl w:val="0"/>
          <w:numId w:val="1006"/>
        </w:numPr>
      </w:pPr>
      <w:r>
        <w:t xml:space="preserve">The Knowledge Graph SHALL be the canonical representation of knowledge within Patorbit.</w:t>
      </w:r>
    </w:p>
    <w:p>
      <w:pPr>
        <w:pStyle w:val="Compact"/>
        <w:numPr>
          <w:ilvl w:val="0"/>
          <w:numId w:val="1006"/>
        </w:numPr>
      </w:pPr>
      <w:r>
        <w:t xml:space="preserve">Documents SHALL be treated as representations of knowledge rather than the knowledge itself.</w:t>
      </w:r>
    </w:p>
    <w:p>
      <w:pPr>
        <w:pStyle w:val="Compact"/>
        <w:numPr>
          <w:ilvl w:val="0"/>
          <w:numId w:val="1006"/>
        </w:numPr>
      </w:pPr>
      <w:r>
        <w:t xml:space="preserve">Relationships SHALL be preserved as first-class architectural elements.</w:t>
      </w:r>
    </w:p>
    <w:p>
      <w:pPr>
        <w:pStyle w:val="Compact"/>
        <w:numPr>
          <w:ilvl w:val="0"/>
          <w:numId w:val="1006"/>
        </w:numPr>
      </w:pPr>
      <w:r>
        <w:t xml:space="preserve">Provenance SHALL be maintained wherever practical.</w:t>
      </w:r>
    </w:p>
    <w:p>
      <w:pPr>
        <w:pStyle w:val="Compact"/>
        <w:numPr>
          <w:ilvl w:val="0"/>
          <w:numId w:val="1006"/>
        </w:numPr>
      </w:pPr>
      <w:r>
        <w:t xml:space="preserve">Products SHALL consume the canonical Knowledge Graph instead of maintaining conflicting knowledge models.</w:t>
      </w:r>
    </w:p>
    <w:p>
      <w:pPr>
        <w:pStyle w:val="Compact"/>
        <w:numPr>
          <w:ilvl w:val="0"/>
          <w:numId w:val="1006"/>
        </w:numPr>
      </w:pPr>
      <w:r>
        <w:t xml:space="preserve">The architecture SHALL remain independent of implementation technologies.</w:t>
      </w:r>
    </w:p>
    <w:p>
      <w:pPr>
        <w:pStyle w:val="Compact"/>
        <w:numPr>
          <w:ilvl w:val="0"/>
          <w:numId w:val="1006"/>
        </w:numPr>
      </w:pPr>
      <w:r>
        <w:t xml:space="preserve">Future specifications SHALL extend the Knowledge Graph through compatible node and relationship definitions.</w:t>
      </w:r>
    </w:p>
    <w:p>
      <w:r>
        <w:pict>
          <v:rect style="width:0;height:1.5pt" o:hralign="center" o:hrstd="t" o:hr="t"/>
        </w:pict>
      </w:r>
    </w:p>
    <w:bookmarkEnd w:id="43"/>
    <w:bookmarkStart w:id="44" w:name="closing-statement"/>
    <w:p>
      <w:pPr>
        <w:pStyle w:val="Heading1"/>
      </w:pPr>
      <w:r>
        <w:t xml:space="preserve">11. Closing Statement</w:t>
      </w:r>
    </w:p>
    <w:p>
      <w:pPr>
        <w:pStyle w:val="FirstParagraph"/>
      </w:pPr>
      <w:r>
        <w:t xml:space="preserve">The Knowledge Graph is the architectural spine of Patorbit.</w:t>
      </w:r>
    </w:p>
    <w:p>
      <w:pPr>
        <w:pStyle w:val="BodyText"/>
      </w:pPr>
      <w:r>
        <w:t xml:space="preserve">It transforms isolated facts into connected knowledge, enabling explainable reasoning, reusable information, and trustworthy decision-making across products.</w:t>
      </w:r>
    </w:p>
    <w:p>
      <w:pPr>
        <w:pStyle w:val="BodyText"/>
      </w:pPr>
      <w:r>
        <w:t xml:space="preserve">As technologies evolve, the Knowledge Graph provides a stable conceptual foundation that allows new capabilities to emerge without redefining the platform’s core understanding of knowledge.</w:t>
      </w:r>
    </w:p>
    <w:p>
      <w:r>
        <w:pict>
          <v:rect style="width:0;height:1.5pt" o:hralign="center" o:hrstd="t" o:hr="t"/>
        </w:pict>
      </w:r>
    </w:p>
    <w:bookmarkEnd w:id="44"/>
    <w:bookmarkStart w:id="45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 (Draft)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Initial draft establishing the Knowledge Graph as the canonical architecture of the Patorbit platform.</w:t>
            </w:r>
          </w:p>
        </w:tc>
      </w:tr>
    </w:tbl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2026-07-21T10:32:09Z</dcterms:created>
  <dcterms:modified xsi:type="dcterms:W3CDTF">2026-07-21T10:32:09Z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