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orbit-knowledge-system-pks"/>
    <w:p>
      <w:pPr>
        <w:pStyle w:val="Heading1"/>
      </w:pPr>
      <w:r>
        <w:t xml:space="preserve">Patorbit Knowledge System (PKS)</w:t>
      </w:r>
    </w:p>
    <w:bookmarkEnd w:id="20"/>
    <w:bookmarkStart w:id="23" w:name="volume-0-the-patorbit-canon"/>
    <w:p>
      <w:pPr>
        <w:pStyle w:val="Heading1"/>
      </w:pPr>
      <w:r>
        <w:t xml:space="preserve">Volume 0 — The Patorbit Canon</w:t>
      </w:r>
    </w:p>
    <w:bookmarkStart w:id="22" w:name="book-i-foundation"/>
    <w:p>
      <w:pPr>
        <w:pStyle w:val="Heading2"/>
      </w:pPr>
      <w:r>
        <w:t xml:space="preserve">Book I — Foundation</w:t>
      </w:r>
    </w:p>
    <w:bookmarkStart w:id="21" w:name="Xd79983428dd5f9bbda077b8ea188f50f63db276"/>
    <w:p>
      <w:pPr>
        <w:pStyle w:val="Heading3"/>
      </w:pPr>
      <w:r>
        <w:t xml:space="preserve">Chapter 5 — Governance of the Knowledge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PKS-V0-B1-C5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 (Draft)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Founding Review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A0 – Canonical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Patorbit Founding Team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chapter establishes the governance framework for the Patorbit Knowledge System (PKS).</w:t>
      </w:r>
    </w:p>
    <w:p>
      <w:pPr>
        <w:pStyle w:val="BodyText"/>
      </w:pPr>
      <w:r>
        <w:t xml:space="preserve">Its purpose is to ensure that knowledge remains accurate, consistent, traceable, and maintainable throughout the lifetime of the platform.</w:t>
      </w:r>
    </w:p>
    <w:p>
      <w:pPr>
        <w:pStyle w:val="BodyText"/>
      </w:pPr>
      <w:r>
        <w:t xml:space="preserve">Governance applies to the evolution of specifications, architectural decisions, terminology, and canonical concepts.</w:t>
      </w:r>
    </w:p>
    <w:p>
      <w:r>
        <w:pict>
          <v:rect style="width:0;height:1.5pt" o:hralign="center" o:hrstd="t" o:hr="t"/>
        </w:pict>
      </w:r>
    </w:p>
    <w:bookmarkEnd w:id="24"/>
    <w:bookmarkStart w:id="30" w:name="governance-principles"/>
    <w:p>
      <w:pPr>
        <w:pStyle w:val="Heading1"/>
      </w:pPr>
      <w:r>
        <w:t xml:space="preserve">2. Governance Principles</w:t>
      </w:r>
    </w:p>
    <w:p>
      <w:pPr>
        <w:pStyle w:val="FirstParagraph"/>
      </w:pPr>
      <w:r>
        <w:t xml:space="preserve">PKS governance is founded on the following principles:</w:t>
      </w:r>
    </w:p>
    <w:bookmarkStart w:id="25" w:name="canon-before-implementation"/>
    <w:p>
      <w:pPr>
        <w:pStyle w:val="Heading3"/>
      </w:pPr>
      <w:r>
        <w:t xml:space="preserve">Canon Before Implementation</w:t>
      </w:r>
    </w:p>
    <w:p>
      <w:pPr>
        <w:pStyle w:val="FirstParagraph"/>
      </w:pPr>
      <w:r>
        <w:t xml:space="preserve">The Canon defines enduring principles.</w:t>
      </w:r>
    </w:p>
    <w:p>
      <w:pPr>
        <w:pStyle w:val="BodyText"/>
      </w:pPr>
      <w:r>
        <w:t xml:space="preserve">Implementation follows the Canon and SHALL NOT contradict it.</w:t>
      </w:r>
    </w:p>
    <w:p>
      <w:r>
        <w:pict>
          <v:rect style="width:0;height:1.5pt" o:hralign="center" o:hrstd="t" o:hr="t"/>
        </w:pict>
      </w:r>
    </w:p>
    <w:bookmarkEnd w:id="25"/>
    <w:bookmarkStart w:id="26" w:name="single-source-of-truth"/>
    <w:p>
      <w:pPr>
        <w:pStyle w:val="Heading3"/>
      </w:pPr>
      <w:r>
        <w:t xml:space="preserve">Single Source of Truth</w:t>
      </w:r>
    </w:p>
    <w:p>
      <w:pPr>
        <w:pStyle w:val="FirstParagraph"/>
      </w:pPr>
      <w:r>
        <w:t xml:space="preserve">Every canonical concept SHALL have one authoritative definition within PKS.</w:t>
      </w:r>
    </w:p>
    <w:p>
      <w:pPr>
        <w:pStyle w:val="BodyText"/>
      </w:pPr>
      <w:r>
        <w:t xml:space="preserve">Duplicate or conflicting definitions are prohibited.</w:t>
      </w:r>
    </w:p>
    <w:p>
      <w:r>
        <w:pict>
          <v:rect style="width:0;height:1.5pt" o:hralign="center" o:hrstd="t" o:hr="t"/>
        </w:pict>
      </w:r>
    </w:p>
    <w:bookmarkEnd w:id="26"/>
    <w:bookmarkStart w:id="27" w:name="controlled-evolution"/>
    <w:p>
      <w:pPr>
        <w:pStyle w:val="Heading3"/>
      </w:pPr>
      <w:r>
        <w:t xml:space="preserve">Controlled Evolution</w:t>
      </w:r>
    </w:p>
    <w:p>
      <w:pPr>
        <w:pStyle w:val="FirstParagraph"/>
      </w:pPr>
      <w:r>
        <w:t xml:space="preserve">Knowledge evolves through documented review and approval rather than ad hoc modification.</w:t>
      </w:r>
    </w:p>
    <w:p>
      <w:pPr>
        <w:pStyle w:val="BodyText"/>
      </w:pPr>
      <w:r>
        <w:t xml:space="preserve">Every significant change SHALL be recorded.</w:t>
      </w:r>
    </w:p>
    <w:p>
      <w:r>
        <w:pict>
          <v:rect style="width:0;height:1.5pt" o:hralign="center" o:hrstd="t" o:hr="t"/>
        </w:pict>
      </w:r>
    </w:p>
    <w:bookmarkEnd w:id="27"/>
    <w:bookmarkStart w:id="28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Every major architectural or domain decision SHOULD be traceable to:</w:t>
      </w:r>
    </w:p>
    <w:p>
      <w:pPr>
        <w:pStyle w:val="Compact"/>
        <w:numPr>
          <w:ilvl w:val="0"/>
          <w:numId w:val="1001"/>
        </w:numPr>
      </w:pPr>
      <w:r>
        <w:t xml:space="preserve">the originating specification,</w:t>
      </w:r>
    </w:p>
    <w:p>
      <w:pPr>
        <w:pStyle w:val="Compact"/>
        <w:numPr>
          <w:ilvl w:val="0"/>
          <w:numId w:val="1001"/>
        </w:numPr>
      </w:pPr>
      <w:r>
        <w:t xml:space="preserve">the approving authority,</w:t>
      </w:r>
    </w:p>
    <w:p>
      <w:pPr>
        <w:pStyle w:val="Compact"/>
        <w:numPr>
          <w:ilvl w:val="0"/>
          <w:numId w:val="1001"/>
        </w:numPr>
      </w:pPr>
      <w:r>
        <w:t xml:space="preserve">supporting rationale,</w:t>
      </w:r>
    </w:p>
    <w:p>
      <w:pPr>
        <w:pStyle w:val="Compact"/>
        <w:numPr>
          <w:ilvl w:val="0"/>
          <w:numId w:val="1001"/>
        </w:numPr>
      </w:pPr>
      <w:r>
        <w:t xml:space="preserve">and revision history.</w:t>
      </w:r>
    </w:p>
    <w:p>
      <w:r>
        <w:pict>
          <v:rect style="width:0;height:1.5pt" o:hralign="center" o:hrstd="t" o:hr="t"/>
        </w:pict>
      </w:r>
    </w:p>
    <w:bookmarkEnd w:id="28"/>
    <w:bookmarkStart w:id="29" w:name="transparency"/>
    <w:p>
      <w:pPr>
        <w:pStyle w:val="Heading3"/>
      </w:pPr>
      <w:r>
        <w:t xml:space="preserve">Transparency</w:t>
      </w:r>
    </w:p>
    <w:p>
      <w:pPr>
        <w:pStyle w:val="FirstParagraph"/>
      </w:pPr>
      <w:r>
        <w:t xml:space="preserve">Changes to canonical knowledge SHOULD be understandable by future contributors.</w:t>
      </w:r>
    </w:p>
    <w:p>
      <w:pPr>
        <w:pStyle w:val="BodyText"/>
      </w:pPr>
      <w:r>
        <w:t xml:space="preserve">Historical context SHALL be preserved whenever practical.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uthority-levels"/>
    <w:p>
      <w:pPr>
        <w:pStyle w:val="Heading1"/>
      </w:pPr>
      <w:r>
        <w:t xml:space="preserve">3. Authority Levels</w:t>
      </w:r>
    </w:p>
    <w:p>
      <w:pPr>
        <w:pStyle w:val="FirstParagraph"/>
      </w:pPr>
      <w:r>
        <w:t xml:space="preserve">Specifications are organized by authority.</w:t>
      </w:r>
    </w:p>
    <w:bookmarkStart w:id="31" w:name="a0-canon"/>
    <w:p>
      <w:pPr>
        <w:pStyle w:val="Heading2"/>
      </w:pPr>
      <w:r>
        <w:t xml:space="preserve">A0 – Canon</w:t>
      </w:r>
    </w:p>
    <w:p>
      <w:pPr>
        <w:pStyle w:val="FirstParagraph"/>
      </w:pPr>
      <w:r>
        <w:t xml:space="preserve">Defines timeless principles and foundational concepts.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Knowledge Philosophy</w:t>
      </w:r>
    </w:p>
    <w:p>
      <w:pPr>
        <w:pStyle w:val="Compact"/>
        <w:numPr>
          <w:ilvl w:val="0"/>
          <w:numId w:val="1002"/>
        </w:numPr>
      </w:pPr>
      <w:r>
        <w:t xml:space="preserve">Core Domain Model</w:t>
      </w:r>
    </w:p>
    <w:p>
      <w:pPr>
        <w:pStyle w:val="Compact"/>
        <w:numPr>
          <w:ilvl w:val="0"/>
          <w:numId w:val="1002"/>
        </w:numPr>
      </w:pPr>
      <w:r>
        <w:t xml:space="preserve">Knowledge Graph</w:t>
      </w:r>
    </w:p>
    <w:p>
      <w:pPr>
        <w:pStyle w:val="Compact"/>
        <w:numPr>
          <w:ilvl w:val="0"/>
          <w:numId w:val="1002"/>
        </w:numPr>
      </w:pPr>
      <w:r>
        <w:t xml:space="preserve">Governance</w:t>
      </w:r>
    </w:p>
    <w:p>
      <w:pPr>
        <w:pStyle w:val="FirstParagraph"/>
      </w:pPr>
      <w:r>
        <w:t xml:space="preserve">The Canon has the highest authority.</w:t>
      </w:r>
    </w:p>
    <w:p>
      <w:r>
        <w:pict>
          <v:rect style="width:0;height:1.5pt" o:hralign="center" o:hrstd="t" o:hr="t"/>
        </w:pict>
      </w:r>
    </w:p>
    <w:bookmarkEnd w:id="31"/>
    <w:bookmarkStart w:id="32" w:name="a1-platform-specifications"/>
    <w:p>
      <w:pPr>
        <w:pStyle w:val="Heading2"/>
      </w:pPr>
      <w:r>
        <w:t xml:space="preserve">A1 – Platform Specifications</w:t>
      </w:r>
    </w:p>
    <w:p>
      <w:pPr>
        <w:pStyle w:val="FirstParagraph"/>
      </w:pPr>
      <w:r>
        <w:t xml:space="preserve">Define platform architecture and shared capabilities.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Identity Services</w:t>
      </w:r>
    </w:p>
    <w:p>
      <w:pPr>
        <w:pStyle w:val="Compact"/>
        <w:numPr>
          <w:ilvl w:val="0"/>
          <w:numId w:val="1003"/>
        </w:numPr>
      </w:pPr>
      <w:r>
        <w:t xml:space="preserve">Claim Services</w:t>
      </w:r>
    </w:p>
    <w:p>
      <w:pPr>
        <w:pStyle w:val="Compact"/>
        <w:numPr>
          <w:ilvl w:val="0"/>
          <w:numId w:val="1003"/>
        </w:numPr>
      </w:pPr>
      <w:r>
        <w:t xml:space="preserve">Evidence Services</w:t>
      </w:r>
    </w:p>
    <w:p>
      <w:pPr>
        <w:pStyle w:val="Compact"/>
        <w:numPr>
          <w:ilvl w:val="0"/>
          <w:numId w:val="1003"/>
        </w:numPr>
      </w:pPr>
      <w:r>
        <w:t xml:space="preserve">Reasoning Services</w:t>
      </w:r>
    </w:p>
    <w:p>
      <w:r>
        <w:pict>
          <v:rect style="width:0;height:1.5pt" o:hralign="center" o:hrstd="t" o:hr="t"/>
        </w:pict>
      </w:r>
    </w:p>
    <w:bookmarkEnd w:id="32"/>
    <w:bookmarkStart w:id="33" w:name="a2-engineering-specifications"/>
    <w:p>
      <w:pPr>
        <w:pStyle w:val="Heading2"/>
      </w:pPr>
      <w:r>
        <w:t xml:space="preserve">A2 – Engineering Specifications</w:t>
      </w:r>
    </w:p>
    <w:p>
      <w:pPr>
        <w:pStyle w:val="FirstParagraph"/>
      </w:pPr>
      <w:r>
        <w:t xml:space="preserve">Define implementation guidance, APIs, infrastructure, and engineering standards.</w:t>
      </w:r>
    </w:p>
    <w:p>
      <w:r>
        <w:pict>
          <v:rect style="width:0;height:1.5pt" o:hralign="center" o:hrstd="t" o:hr="t"/>
        </w:pict>
      </w:r>
    </w:p>
    <w:bookmarkEnd w:id="33"/>
    <w:bookmarkStart w:id="34" w:name="a3-product-specifications"/>
    <w:p>
      <w:pPr>
        <w:pStyle w:val="Heading2"/>
      </w:pPr>
      <w:r>
        <w:t xml:space="preserve">A3 – Product Specifications</w:t>
      </w:r>
    </w:p>
    <w:p>
      <w:pPr>
        <w:pStyle w:val="FirstParagraph"/>
      </w:pPr>
      <w:r>
        <w:t xml:space="preserve">Define behavior for individual products and user experiences.</w:t>
      </w:r>
    </w:p>
    <w:p>
      <w:pPr>
        <w:pStyle w:val="BodyText"/>
      </w:pPr>
      <w:r>
        <w:t xml:space="preserve">Products SHALL conform to higher authority specifications.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pecification-lifecycle"/>
    <w:p>
      <w:pPr>
        <w:pStyle w:val="Heading1"/>
      </w:pPr>
      <w:r>
        <w:t xml:space="preserve">4. Specification Lifecycle</w:t>
      </w:r>
    </w:p>
    <w:p>
      <w:pPr>
        <w:pStyle w:val="FirstParagraph"/>
      </w:pPr>
      <w:r>
        <w:t xml:space="preserve">Every specification progresses through defined lifecycle states.</w:t>
      </w:r>
    </w:p>
    <w:p>
      <w:pPr>
        <w:pStyle w:val="BodyText"/>
      </w:pPr>
      <w:r>
        <w:rPr>
          <w:rStyle w:val="VerbatimChar"/>
        </w:rPr>
        <w:t xml:space="preserve">text id="1axqeo" Proposed      │      ▼ Draft      │      ▼ Technical Review      │      ▼ Approved      │      ▼ Implemented      │      ▼ Maintained      │      ▼ Deprecated      │      ▼ Archived</w:t>
      </w:r>
    </w:p>
    <w:p>
      <w:pPr>
        <w:pStyle w:val="BodyText"/>
      </w:pPr>
      <w:r>
        <w:t xml:space="preserve">Each transition SHALL be documented.</w:t>
      </w:r>
    </w:p>
    <w:p>
      <w:r>
        <w:pict>
          <v:rect style="width:0;height:1.5pt" o:hralign="center" o:hrstd="t" o:hr="t"/>
        </w:pict>
      </w:r>
    </w:p>
    <w:bookmarkEnd w:id="36"/>
    <w:bookmarkStart w:id="37" w:name="versioning"/>
    <w:p>
      <w:pPr>
        <w:pStyle w:val="Heading1"/>
      </w:pPr>
      <w:r>
        <w:t xml:space="preserve">5. Versioning</w:t>
      </w:r>
    </w:p>
    <w:p>
      <w:pPr>
        <w:pStyle w:val="FirstParagraph"/>
      </w:pPr>
      <w:r>
        <w:t xml:space="preserve">Specifications SHALL follow semantic versioning.</w:t>
      </w:r>
    </w:p>
    <w:p>
      <w:pPr>
        <w:pStyle w:val="Compact"/>
        <w:numPr>
          <w:ilvl w:val="0"/>
          <w:numId w:val="1004"/>
        </w:numPr>
      </w:pPr>
      <w:r>
        <w:t xml:space="preserve">Major versions indicate incompatible conceptual changes.</w:t>
      </w:r>
    </w:p>
    <w:p>
      <w:pPr>
        <w:pStyle w:val="Compact"/>
        <w:numPr>
          <w:ilvl w:val="0"/>
          <w:numId w:val="1004"/>
        </w:numPr>
      </w:pPr>
      <w:r>
        <w:t xml:space="preserve">Minor versions introduce compatible additions or clarifications.</w:t>
      </w:r>
    </w:p>
    <w:p>
      <w:pPr>
        <w:pStyle w:val="Compact"/>
        <w:numPr>
          <w:ilvl w:val="0"/>
          <w:numId w:val="1004"/>
        </w:numPr>
      </w:pPr>
      <w:r>
        <w:t xml:space="preserve">Patch versions correct errors without changing intent.</w:t>
      </w:r>
    </w:p>
    <w:p>
      <w:pPr>
        <w:pStyle w:val="FirstParagraph"/>
      </w:pPr>
      <w:r>
        <w:t xml:space="preserve">Version history SHALL remain permanently available.</w:t>
      </w:r>
    </w:p>
    <w:p>
      <w:r>
        <w:pict>
          <v:rect style="width:0;height:1.5pt" o:hralign="center" o:hrstd="t" o:hr="t"/>
        </w:pict>
      </w:r>
    </w:p>
    <w:bookmarkEnd w:id="37"/>
    <w:bookmarkStart w:id="38" w:name="change-management"/>
    <w:p>
      <w:pPr>
        <w:pStyle w:val="Heading1"/>
      </w:pPr>
      <w:r>
        <w:t xml:space="preserve">6. Change Management</w:t>
      </w:r>
    </w:p>
    <w:p>
      <w:pPr>
        <w:pStyle w:val="FirstParagraph"/>
      </w:pPr>
      <w:r>
        <w:t xml:space="preserve">Significant changes require:</w:t>
      </w:r>
    </w:p>
    <w:p>
      <w:pPr>
        <w:pStyle w:val="Compact"/>
        <w:numPr>
          <w:ilvl w:val="0"/>
          <w:numId w:val="1005"/>
        </w:numPr>
      </w:pPr>
      <w:r>
        <w:t xml:space="preserve">documented motivation,</w:t>
      </w:r>
    </w:p>
    <w:p>
      <w:pPr>
        <w:pStyle w:val="Compact"/>
        <w:numPr>
          <w:ilvl w:val="0"/>
          <w:numId w:val="1005"/>
        </w:numPr>
      </w:pPr>
      <w:r>
        <w:t xml:space="preserve">architectural impact assessment,</w:t>
      </w:r>
    </w:p>
    <w:p>
      <w:pPr>
        <w:pStyle w:val="Compact"/>
        <w:numPr>
          <w:ilvl w:val="0"/>
          <w:numId w:val="1005"/>
        </w:numPr>
      </w:pPr>
      <w:r>
        <w:t xml:space="preserve">compatibility evaluation,</w:t>
      </w:r>
    </w:p>
    <w:p>
      <w:pPr>
        <w:pStyle w:val="Compact"/>
        <w:numPr>
          <w:ilvl w:val="0"/>
          <w:numId w:val="1005"/>
        </w:numPr>
      </w:pPr>
      <w:r>
        <w:t xml:space="preserve">review,</w:t>
      </w:r>
    </w:p>
    <w:p>
      <w:pPr>
        <w:pStyle w:val="Compact"/>
        <w:numPr>
          <w:ilvl w:val="0"/>
          <w:numId w:val="1005"/>
        </w:numPr>
      </w:pPr>
      <w:r>
        <w:t xml:space="preserve">approval,</w:t>
      </w:r>
    </w:p>
    <w:p>
      <w:pPr>
        <w:pStyle w:val="Compact"/>
        <w:numPr>
          <w:ilvl w:val="0"/>
          <w:numId w:val="1005"/>
        </w:numPr>
      </w:pPr>
      <w:r>
        <w:t xml:space="preserve">and recorded rationale.</w:t>
      </w:r>
    </w:p>
    <w:p>
      <w:pPr>
        <w:pStyle w:val="FirstParagraph"/>
      </w:pPr>
      <w:r>
        <w:t xml:space="preserve">No canonical concept SHALL be modified without documentation explaining why the change is necessary.</w:t>
      </w:r>
    </w:p>
    <w:p>
      <w:r>
        <w:pict>
          <v:rect style="width:0;height:1.5pt" o:hralign="center" o:hrstd="t" o:hr="t"/>
        </w:pict>
      </w:r>
    </w:p>
    <w:bookmarkEnd w:id="38"/>
    <w:bookmarkStart w:id="39" w:name="architectural-decisions"/>
    <w:p>
      <w:pPr>
        <w:pStyle w:val="Heading1"/>
      </w:pPr>
      <w:r>
        <w:t xml:space="preserve">7. Architectural Decisions</w:t>
      </w:r>
    </w:p>
    <w:p>
      <w:pPr>
        <w:pStyle w:val="FirstParagraph"/>
      </w:pPr>
      <w:r>
        <w:t xml:space="preserve">Architectural decisions SHALL be recorded as Architecture Decision Records (ADRs).</w:t>
      </w:r>
    </w:p>
    <w:p>
      <w:pPr>
        <w:pStyle w:val="BodyText"/>
      </w:pPr>
      <w:r>
        <w:t xml:space="preserve">Each ADR SHOULD include:</w:t>
      </w:r>
    </w:p>
    <w:p>
      <w:pPr>
        <w:pStyle w:val="Compact"/>
        <w:numPr>
          <w:ilvl w:val="0"/>
          <w:numId w:val="1006"/>
        </w:numPr>
      </w:pPr>
      <w:r>
        <w:t xml:space="preserve">decision identifier,</w:t>
      </w:r>
    </w:p>
    <w:p>
      <w:pPr>
        <w:pStyle w:val="Compact"/>
        <w:numPr>
          <w:ilvl w:val="0"/>
          <w:numId w:val="1006"/>
        </w:numPr>
      </w:pPr>
      <w:r>
        <w:t xml:space="preserve">context,</w:t>
      </w:r>
    </w:p>
    <w:p>
      <w:pPr>
        <w:pStyle w:val="Compact"/>
        <w:numPr>
          <w:ilvl w:val="0"/>
          <w:numId w:val="1006"/>
        </w:numPr>
      </w:pPr>
      <w:r>
        <w:t xml:space="preserve">problem statement,</w:t>
      </w:r>
    </w:p>
    <w:p>
      <w:pPr>
        <w:pStyle w:val="Compact"/>
        <w:numPr>
          <w:ilvl w:val="0"/>
          <w:numId w:val="1006"/>
        </w:numPr>
      </w:pPr>
      <w:r>
        <w:t xml:space="preserve">considered alternatives,</w:t>
      </w:r>
    </w:p>
    <w:p>
      <w:pPr>
        <w:pStyle w:val="Compact"/>
        <w:numPr>
          <w:ilvl w:val="0"/>
          <w:numId w:val="1006"/>
        </w:numPr>
      </w:pPr>
      <w:r>
        <w:t xml:space="preserve">selected approach,</w:t>
      </w:r>
    </w:p>
    <w:p>
      <w:pPr>
        <w:pStyle w:val="Compact"/>
        <w:numPr>
          <w:ilvl w:val="0"/>
          <w:numId w:val="1006"/>
        </w:numPr>
      </w:pPr>
      <w:r>
        <w:t xml:space="preserve">consequences,</w:t>
      </w:r>
    </w:p>
    <w:p>
      <w:pPr>
        <w:pStyle w:val="Compact"/>
        <w:numPr>
          <w:ilvl w:val="0"/>
          <w:numId w:val="1006"/>
        </w:numPr>
      </w:pPr>
      <w:r>
        <w:t xml:space="preserve">related specifications.</w:t>
      </w:r>
    </w:p>
    <w:p>
      <w:pPr>
        <w:pStyle w:val="FirstParagraph"/>
      </w:pPr>
      <w:r>
        <w:t xml:space="preserve">ADRs preserve institutional knowledge and explain why decisions were made.</w:t>
      </w:r>
    </w:p>
    <w:p>
      <w:r>
        <w:pict>
          <v:rect style="width:0;height:1.5pt" o:hralign="center" o:hrstd="t" o:hr="t"/>
        </w:pict>
      </w:r>
    </w:p>
    <w:bookmarkEnd w:id="39"/>
    <w:bookmarkStart w:id="40" w:name="terminology-governance"/>
    <w:p>
      <w:pPr>
        <w:pStyle w:val="Heading1"/>
      </w:pPr>
      <w:r>
        <w:t xml:space="preserve">8. Terminology Governance</w:t>
      </w:r>
    </w:p>
    <w:p>
      <w:pPr>
        <w:pStyle w:val="FirstParagraph"/>
      </w:pPr>
      <w:r>
        <w:t xml:space="preserve">Canonical terminology SHALL be defined once and reused consistently.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Identity</w:t>
      </w:r>
    </w:p>
    <w:p>
      <w:pPr>
        <w:pStyle w:val="Compact"/>
        <w:numPr>
          <w:ilvl w:val="0"/>
          <w:numId w:val="1007"/>
        </w:numPr>
      </w:pPr>
      <w:r>
        <w:t xml:space="preserve">Claim</w:t>
      </w:r>
    </w:p>
    <w:p>
      <w:pPr>
        <w:pStyle w:val="Compact"/>
        <w:numPr>
          <w:ilvl w:val="0"/>
          <w:numId w:val="1007"/>
        </w:numPr>
      </w:pPr>
      <w:r>
        <w:t xml:space="preserve">Evidence</w:t>
      </w:r>
    </w:p>
    <w:p>
      <w:pPr>
        <w:pStyle w:val="Compact"/>
        <w:numPr>
          <w:ilvl w:val="0"/>
          <w:numId w:val="1007"/>
        </w:numPr>
      </w:pPr>
      <w:r>
        <w:t xml:space="preserve">Knowledge Graph</w:t>
      </w:r>
    </w:p>
    <w:p>
      <w:pPr>
        <w:pStyle w:val="Compact"/>
        <w:numPr>
          <w:ilvl w:val="0"/>
          <w:numId w:val="1007"/>
        </w:numPr>
      </w:pPr>
      <w:r>
        <w:t xml:space="preserve">Confidence</w:t>
      </w:r>
    </w:p>
    <w:p>
      <w:pPr>
        <w:pStyle w:val="Compact"/>
        <w:numPr>
          <w:ilvl w:val="0"/>
          <w:numId w:val="1007"/>
        </w:numPr>
      </w:pPr>
      <w:r>
        <w:t xml:space="preserve">Trust</w:t>
      </w:r>
    </w:p>
    <w:p>
      <w:pPr>
        <w:pStyle w:val="Compact"/>
        <w:numPr>
          <w:ilvl w:val="0"/>
          <w:numId w:val="1007"/>
        </w:numPr>
      </w:pPr>
      <w:r>
        <w:t xml:space="preserve">Reasoning</w:t>
      </w:r>
    </w:p>
    <w:p>
      <w:pPr>
        <w:pStyle w:val="FirstParagraph"/>
      </w:pPr>
      <w:r>
        <w:t xml:space="preserve">Future specifications SHALL reference canonical definitions instead of redefining them.</w:t>
      </w:r>
    </w:p>
    <w:p>
      <w:r>
        <w:pict>
          <v:rect style="width:0;height:1.5pt" o:hralign="center" o:hrstd="t" o:hr="t"/>
        </w:pict>
      </w:r>
    </w:p>
    <w:bookmarkEnd w:id="40"/>
    <w:bookmarkStart w:id="41" w:name="cross-specification-consistency"/>
    <w:p>
      <w:pPr>
        <w:pStyle w:val="Heading1"/>
      </w:pPr>
      <w:r>
        <w:t xml:space="preserve">9. Cross-Specification Consistency</w:t>
      </w:r>
    </w:p>
    <w:p>
      <w:pPr>
        <w:pStyle w:val="FirstParagraph"/>
      </w:pPr>
      <w:r>
        <w:t xml:space="preserve">Specifications SHOULD explicitly identify:</w:t>
      </w:r>
    </w:p>
    <w:p>
      <w:pPr>
        <w:pStyle w:val="Compact"/>
        <w:numPr>
          <w:ilvl w:val="0"/>
          <w:numId w:val="1008"/>
        </w:numPr>
      </w:pPr>
      <w:r>
        <w:t xml:space="preserve">dependencies,</w:t>
      </w:r>
    </w:p>
    <w:p>
      <w:pPr>
        <w:pStyle w:val="Compact"/>
        <w:numPr>
          <w:ilvl w:val="0"/>
          <w:numId w:val="1008"/>
        </w:numPr>
      </w:pPr>
      <w:r>
        <w:t xml:space="preserve">related specifications,</w:t>
      </w:r>
    </w:p>
    <w:p>
      <w:pPr>
        <w:pStyle w:val="Compact"/>
        <w:numPr>
          <w:ilvl w:val="0"/>
          <w:numId w:val="1008"/>
        </w:numPr>
      </w:pPr>
      <w:r>
        <w:t xml:space="preserve">inherited concepts,</w:t>
      </w:r>
    </w:p>
    <w:p>
      <w:pPr>
        <w:pStyle w:val="Compact"/>
        <w:numPr>
          <w:ilvl w:val="0"/>
          <w:numId w:val="1008"/>
        </w:numPr>
      </w:pPr>
      <w:r>
        <w:t xml:space="preserve">superseded documents,</w:t>
      </w:r>
    </w:p>
    <w:p>
      <w:pPr>
        <w:pStyle w:val="Compact"/>
        <w:numPr>
          <w:ilvl w:val="0"/>
          <w:numId w:val="1008"/>
        </w:numPr>
      </w:pPr>
      <w:r>
        <w:t xml:space="preserve">implementation references,</w:t>
      </w:r>
    </w:p>
    <w:p>
      <w:pPr>
        <w:pStyle w:val="Compact"/>
        <w:numPr>
          <w:ilvl w:val="0"/>
          <w:numId w:val="1008"/>
        </w:numPr>
      </w:pPr>
      <w:r>
        <w:t xml:space="preserve">and architectural relationships.</w:t>
      </w:r>
    </w:p>
    <w:p>
      <w:pPr>
        <w:pStyle w:val="FirstParagraph"/>
      </w:pPr>
      <w:r>
        <w:t xml:space="preserve">This enables readers to understand how knowledge is connected across PKS.</w:t>
      </w:r>
    </w:p>
    <w:p>
      <w:r>
        <w:pict>
          <v:rect style="width:0;height:1.5pt" o:hralign="center" o:hrstd="t" o:hr="t"/>
        </w:pict>
      </w:r>
    </w:p>
    <w:bookmarkEnd w:id="41"/>
    <w:bookmarkStart w:id="42" w:name="responsibilities"/>
    <w:p>
      <w:pPr>
        <w:pStyle w:val="Heading1"/>
      </w:pPr>
      <w:r>
        <w:t xml:space="preserve">10. Responsibilities</w:t>
      </w:r>
    </w:p>
    <w:p>
      <w:pPr>
        <w:pStyle w:val="FirstParagraph"/>
      </w:pPr>
      <w:r>
        <w:t xml:space="preserve">Governance responsibilities include:</w:t>
      </w:r>
    </w:p>
    <w:p>
      <w:pPr>
        <w:pStyle w:val="Compact"/>
        <w:numPr>
          <w:ilvl w:val="0"/>
          <w:numId w:val="1009"/>
        </w:numPr>
      </w:pPr>
      <w:r>
        <w:t xml:space="preserve">maintaining canonical terminology,</w:t>
      </w:r>
    </w:p>
    <w:p>
      <w:pPr>
        <w:pStyle w:val="Compact"/>
        <w:numPr>
          <w:ilvl w:val="0"/>
          <w:numId w:val="1009"/>
        </w:numPr>
      </w:pPr>
      <w:r>
        <w:t xml:space="preserve">reviewing specifications,</w:t>
      </w:r>
    </w:p>
    <w:p>
      <w:pPr>
        <w:pStyle w:val="Compact"/>
        <w:numPr>
          <w:ilvl w:val="0"/>
          <w:numId w:val="1009"/>
        </w:numPr>
      </w:pPr>
      <w:r>
        <w:t xml:space="preserve">preserving historical context,</w:t>
      </w:r>
    </w:p>
    <w:p>
      <w:pPr>
        <w:pStyle w:val="Compact"/>
        <w:numPr>
          <w:ilvl w:val="0"/>
          <w:numId w:val="1009"/>
        </w:numPr>
      </w:pPr>
      <w:r>
        <w:t xml:space="preserve">approving foundational changes,</w:t>
      </w:r>
    </w:p>
    <w:p>
      <w:pPr>
        <w:pStyle w:val="Compact"/>
        <w:numPr>
          <w:ilvl w:val="0"/>
          <w:numId w:val="1009"/>
        </w:numPr>
      </w:pPr>
      <w:r>
        <w:t xml:space="preserve">resolving inconsistencies,</w:t>
      </w:r>
    </w:p>
    <w:p>
      <w:pPr>
        <w:pStyle w:val="Compact"/>
        <w:numPr>
          <w:ilvl w:val="0"/>
          <w:numId w:val="1009"/>
        </w:numPr>
      </w:pPr>
      <w:r>
        <w:t xml:space="preserve">and ensuring alignment across the platform.</w:t>
      </w:r>
    </w:p>
    <w:p>
      <w:pPr>
        <w:pStyle w:val="FirstParagraph"/>
      </w:pPr>
      <w:r>
        <w:t xml:space="preserve">Governance exists to protect coherence rather than restrict innovation.</w:t>
      </w:r>
    </w:p>
    <w:p>
      <w:r>
        <w:pict>
          <v:rect style="width:0;height:1.5pt" o:hralign="center" o:hrstd="t" o:hr="t"/>
        </w:pict>
      </w:r>
    </w:p>
    <w:bookmarkEnd w:id="42"/>
    <w:bookmarkStart w:id="43" w:name="constitutional-statements"/>
    <w:p>
      <w:pPr>
        <w:pStyle w:val="Heading1"/>
      </w:pPr>
      <w:r>
        <w:t xml:space="preserve">11. Constitutional Statements</w:t>
      </w:r>
    </w:p>
    <w:p>
      <w:pPr>
        <w:pStyle w:val="Compact"/>
        <w:numPr>
          <w:ilvl w:val="0"/>
          <w:numId w:val="1010"/>
        </w:numPr>
      </w:pPr>
      <w:r>
        <w:t xml:space="preserve">PKS SHALL remain the single source of truth for Patorbit knowledge.</w:t>
      </w:r>
    </w:p>
    <w:p>
      <w:pPr>
        <w:pStyle w:val="Compact"/>
        <w:numPr>
          <w:ilvl w:val="0"/>
          <w:numId w:val="1010"/>
        </w:numPr>
      </w:pPr>
      <w:r>
        <w:t xml:space="preserve">Canonical concepts SHALL have one authoritative definition.</w:t>
      </w:r>
    </w:p>
    <w:p>
      <w:pPr>
        <w:pStyle w:val="Compact"/>
        <w:numPr>
          <w:ilvl w:val="0"/>
          <w:numId w:val="1010"/>
        </w:numPr>
      </w:pPr>
      <w:r>
        <w:t xml:space="preserve">Significant changes SHALL be documented and reviewed.</w:t>
      </w:r>
    </w:p>
    <w:p>
      <w:pPr>
        <w:pStyle w:val="Compact"/>
        <w:numPr>
          <w:ilvl w:val="0"/>
          <w:numId w:val="1010"/>
        </w:numPr>
      </w:pPr>
      <w:r>
        <w:t xml:space="preserve">Specifications SHALL preserve revision history.</w:t>
      </w:r>
    </w:p>
    <w:p>
      <w:pPr>
        <w:pStyle w:val="Compact"/>
        <w:numPr>
          <w:ilvl w:val="0"/>
          <w:numId w:val="1010"/>
        </w:numPr>
      </w:pPr>
      <w:r>
        <w:t xml:space="preserve">Products SHALL inherit, not redefine, canonical concepts.</w:t>
      </w:r>
    </w:p>
    <w:p>
      <w:pPr>
        <w:pStyle w:val="Compact"/>
        <w:numPr>
          <w:ilvl w:val="0"/>
          <w:numId w:val="1010"/>
        </w:numPr>
      </w:pPr>
      <w:r>
        <w:t xml:space="preserve">Architectural decisions SHALL be recorded through ADRs.</w:t>
      </w:r>
    </w:p>
    <w:p>
      <w:pPr>
        <w:pStyle w:val="Compact"/>
        <w:numPr>
          <w:ilvl w:val="0"/>
          <w:numId w:val="1010"/>
        </w:numPr>
      </w:pPr>
      <w:r>
        <w:t xml:space="preserve">Knowledge SHALL evolve through governance rather than uncontrolled modification.</w:t>
      </w:r>
    </w:p>
    <w:p>
      <w:r>
        <w:pict>
          <v:rect style="width:0;height:1.5pt" o:hralign="center" o:hrstd="t" o:hr="t"/>
        </w:pict>
      </w:r>
    </w:p>
    <w:bookmarkEnd w:id="43"/>
    <w:bookmarkStart w:id="44" w:name="closing-statement"/>
    <w:p>
      <w:pPr>
        <w:pStyle w:val="Heading1"/>
      </w:pPr>
      <w:r>
        <w:t xml:space="preserve">12. Closing Statement</w:t>
      </w:r>
    </w:p>
    <w:p>
      <w:pPr>
        <w:pStyle w:val="FirstParagraph"/>
      </w:pPr>
      <w:r>
        <w:t xml:space="preserve">The value of a knowledge system is determined not only by what it contains but also by how it evolves.</w:t>
      </w:r>
    </w:p>
    <w:p>
      <w:pPr>
        <w:pStyle w:val="BodyText"/>
      </w:pPr>
      <w:r>
        <w:t xml:space="preserve">Governance ensures that the Patorbit Knowledge System remains coherent, trustworthy, and adaptable as new technologies, products, and ideas emerge.</w:t>
      </w:r>
    </w:p>
    <w:p>
      <w:pPr>
        <w:pStyle w:val="BodyText"/>
      </w:pPr>
      <w:r>
        <w:t xml:space="preserve">By preserving context, documenting decisions, and maintaining a single source of truth, governance transforms PKS from a collection of documents into the enduring institutional memory of Patorbit.</w:t>
      </w:r>
    </w:p>
    <w:p>
      <w:r>
        <w:pict>
          <v:rect style="width:0;height:1.5pt" o:hralign="center" o:hrstd="t" o:hr="t"/>
        </w:pict>
      </w:r>
    </w:p>
    <w:bookmarkEnd w:id="44"/>
    <w:bookmarkStart w:id="45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 (Draft)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Initial draft establishing governance for the Patorbit Knowledge System.</w:t>
            </w:r>
          </w:p>
        </w:tc>
      </w:tr>
    </w:tbl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2026-07-21T10:32:27Z</dcterms:created>
  <dcterms:modified xsi:type="dcterms:W3CDTF">2026-07-21T10:32:27Z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