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75F" w:rsidRDefault="0074775F" w:rsidP="0074775F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color w:val="000000"/>
          <w:kern w:val="0"/>
          <w:sz w:val="30"/>
          <w:szCs w:val="30"/>
        </w:rPr>
      </w:pPr>
      <w:r>
        <w:rPr>
          <w:rFonts w:ascii="MyriadPro-SemiboldCond" w:eastAsia="MyriadPro-SemiboldCond" w:cs="MyriadPro-SemiboldCond"/>
          <w:color w:val="000000"/>
          <w:kern w:val="0"/>
          <w:sz w:val="30"/>
          <w:szCs w:val="30"/>
        </w:rPr>
        <w:t>Regulation SCI and MiFID II</w:t>
      </w:r>
    </w:p>
    <w:p w:rsidR="009B15D8" w:rsidRDefault="009B15D8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 w:rsidRPr="009B15D8">
        <w:rPr>
          <w:rFonts w:ascii="&amp;quot" w:eastAsia="宋体" w:hAnsi="&amp;quot" w:cs="宋体"/>
          <w:color w:val="000000"/>
          <w:kern w:val="0"/>
          <w:sz w:val="30"/>
          <w:szCs w:val="30"/>
        </w:rPr>
        <w:t>SCI</w:t>
      </w:r>
      <w:r w:rsidRPr="009B15D8">
        <w:rPr>
          <w:rFonts w:ascii="&amp;quot" w:eastAsia="宋体" w:hAnsi="&amp;quot" w:cs="宋体"/>
          <w:color w:val="000000"/>
          <w:kern w:val="0"/>
          <w:sz w:val="30"/>
          <w:szCs w:val="30"/>
        </w:rPr>
        <w:t>和</w:t>
      </w:r>
      <w:r w:rsidRPr="009B15D8">
        <w:rPr>
          <w:rFonts w:ascii="&amp;quot" w:eastAsia="宋体" w:hAnsi="&amp;quot" w:cs="宋体"/>
          <w:color w:val="000000"/>
          <w:kern w:val="0"/>
          <w:sz w:val="30"/>
          <w:szCs w:val="30"/>
        </w:rPr>
        <w:t xml:space="preserve">Mifid II </w:t>
      </w:r>
      <w:r w:rsidRPr="009B15D8">
        <w:rPr>
          <w:rFonts w:ascii="&amp;quot" w:eastAsia="宋体" w:hAnsi="&amp;quot" w:cs="宋体" w:hint="eastAsia"/>
          <w:color w:val="000000"/>
          <w:kern w:val="0"/>
          <w:sz w:val="30"/>
          <w:szCs w:val="30"/>
        </w:rPr>
        <w:t>规则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9A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In November 2015, the SEC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s </w:t>
      </w:r>
      <w:r>
        <w:rPr>
          <w:rFonts w:ascii="MinionPro-Regular" w:eastAsia="MinionPro-Regular" w:cs="MinionPro-Regular"/>
          <w:color w:val="9A0000"/>
          <w:kern w:val="0"/>
          <w:sz w:val="20"/>
          <w:szCs w:val="20"/>
        </w:rPr>
        <w:t>Regulation Systems Compliance and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9A0000"/>
          <w:kern w:val="0"/>
          <w:sz w:val="20"/>
          <w:szCs w:val="20"/>
        </w:rPr>
        <w:t xml:space="preserve">Integrity (Reg SCI) 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came into effect, as a way to deal with increasing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systemic market risks due to the financial industry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s reliance on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technology, including the widespread risk of cyber attacks. It is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designed to minimize the likelihood and impact of technology failures,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including the kinds of large-scale, public IT failures that we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ve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looked at so far.</w:t>
      </w:r>
    </w:p>
    <w:p w:rsidR="009B15D8" w:rsidRPr="009B15D8" w:rsidRDefault="009B15D8" w:rsidP="009B15D8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bookmarkStart w:id="0" w:name="_GoBack"/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2015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年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11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月，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SEC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的系统合规性和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完整性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监管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(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Reg SCI)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生效，</w:t>
      </w:r>
      <w:r w:rsidRPr="009B15D8">
        <w:rPr>
          <w:rFonts w:ascii="&amp;quot" w:eastAsia="宋体" w:hAnsi="&amp;quot" w:cs="宋体"/>
          <w:color w:val="9A0000"/>
          <w:kern w:val="0"/>
          <w:sz w:val="20"/>
          <w:szCs w:val="20"/>
        </w:rPr>
        <w:t>作为一种应对日益增长的</w:t>
      </w:r>
      <w:r w:rsidR="00A72363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由于金融行业对于技术的依赖所带来的系</w:t>
      </w:r>
      <w:r w:rsidR="00A72363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统性市场风险</w:t>
      </w:r>
      <w:r w:rsidR="00A72363">
        <w:rPr>
          <w:rFonts w:ascii="&amp;quot" w:eastAsia="宋体" w:hAnsi="&amp;quot" w:cs="宋体"/>
          <w:color w:val="000000"/>
          <w:kern w:val="0"/>
          <w:sz w:val="20"/>
          <w:szCs w:val="20"/>
        </w:rPr>
        <w:t>，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包括网络攻击的广泛风险。它是旨在将技术故障的可能性和影响降至最低，包括我们</w:t>
      </w:r>
      <w:r w:rsidR="000D692F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所能遇见到的</w:t>
      </w:r>
      <w:r w:rsidR="000D692F">
        <w:rPr>
          <w:rFonts w:ascii="&amp;quot" w:eastAsia="宋体" w:hAnsi="&amp;quot" w:cs="宋体"/>
          <w:color w:val="000000"/>
          <w:kern w:val="0"/>
          <w:sz w:val="20"/>
          <w:szCs w:val="20"/>
        </w:rPr>
        <w:t>的</w:t>
      </w:r>
      <w:r w:rsidR="000D692F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大规模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公共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IT</w:t>
      </w:r>
      <w:r w:rsidR="000D692F">
        <w:rPr>
          <w:rFonts w:ascii="&amp;quot" w:eastAsia="宋体" w:hAnsi="&amp;quot" w:cs="宋体"/>
          <w:color w:val="000000"/>
          <w:kern w:val="0"/>
          <w:sz w:val="20"/>
          <w:szCs w:val="20"/>
        </w:rPr>
        <w:t>故障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。</w:t>
      </w:r>
    </w:p>
    <w:bookmarkEnd w:id="0"/>
    <w:p w:rsidR="009B15D8" w:rsidRPr="000D692F" w:rsidRDefault="009B15D8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Initially, Reg SCI only applies to US national stock exchanges and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other self-regulatory organizations (SROs) and large alternative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trading systems. However, the SEC is reviewing whether to extend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this regulation, or something similar, to other financial market participants,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including market makers, broker-dealers, investment</w:t>
      </w:r>
      <w:r w:rsidR="003D5B8A"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advisers, and transfer agents.</w:t>
      </w:r>
    </w:p>
    <w:p w:rsidR="00C91FE2" w:rsidRPr="009B15D8" w:rsidRDefault="00C91FE2" w:rsidP="00C91FE2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最初，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Reg Sci</w:t>
      </w:r>
      <w:r w:rsidR="003D5B8A">
        <w:rPr>
          <w:rFonts w:ascii="&amp;quot" w:eastAsia="宋体" w:hAnsi="&amp;quot" w:cs="宋体"/>
          <w:color w:val="000000"/>
          <w:kern w:val="0"/>
          <w:sz w:val="20"/>
          <w:szCs w:val="20"/>
        </w:rPr>
        <w:t>仅适用于美国国家证券交易所、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其他自律组织（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SRO</w:t>
      </w:r>
      <w:r w:rsidR="003D5B8A">
        <w:rPr>
          <w:rFonts w:ascii="&amp;quot" w:eastAsia="宋体" w:hAnsi="&amp;quot" w:cs="宋体"/>
          <w:color w:val="000000"/>
          <w:kern w:val="0"/>
          <w:sz w:val="20"/>
          <w:szCs w:val="20"/>
        </w:rPr>
        <w:t>s</w:t>
      </w:r>
      <w:r w:rsidR="003D5B8A">
        <w:rPr>
          <w:rFonts w:ascii="&amp;quot" w:eastAsia="宋体" w:hAnsi="&amp;quot" w:cs="宋体"/>
          <w:color w:val="000000"/>
          <w:kern w:val="0"/>
          <w:sz w:val="20"/>
          <w:szCs w:val="20"/>
        </w:rPr>
        <w:t>）和大型</w:t>
      </w:r>
      <w:r w:rsidR="003D5B8A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另类交易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系统。然而，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SEC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正在审查是否</w:t>
      </w:r>
      <w:r w:rsidR="003D5B8A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拓展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这项规定，或类似于其他金融市场参与者，包括做市商、经纪商、投资顾问和</w:t>
      </w:r>
      <w:r w:rsidR="003D5B8A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过户代理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。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Reg SCI covers IT governance and controls for capacity planning,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the design and testing of key systems, change control, cyber security,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disaster recovery, and operational monitoring, to ensure that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systems and controls are 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“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reasonably designed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”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 with sufficient</w:t>
      </w:r>
    </w:p>
    <w:p w:rsidR="001A465B" w:rsidRDefault="0074775F" w:rsidP="0074775F">
      <w:pPr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capacity, integrity, resiliency, availability, and security.</w:t>
      </w:r>
    </w:p>
    <w:p w:rsidR="003D5B8A" w:rsidRDefault="003D5B8A" w:rsidP="003D5B8A">
      <w:pPr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</w:p>
    <w:p w:rsidR="003D5B8A" w:rsidRPr="009B15D8" w:rsidRDefault="003D5B8A" w:rsidP="003D5B8A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Reg Sci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涵盖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IT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治理和能力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包括容量规划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，关键系统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设计和测试、变更控制、网络安全，</w:t>
      </w:r>
    </w:p>
    <w:p w:rsidR="003D5B8A" w:rsidRPr="009B15D8" w:rsidRDefault="003D5B8A" w:rsidP="00BB58F6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灾难恢复和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运营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监控，以确保系统和控制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“</w:t>
      </w:r>
      <w:r w:rsidR="00BD66FC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合理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设计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”</w:t>
      </w:r>
      <w:r w:rsidR="00BD66FC">
        <w:rPr>
          <w:rFonts w:ascii="&amp;quot" w:eastAsia="宋体" w:hAnsi="&amp;quot" w:cs="宋体"/>
          <w:color w:val="000000"/>
          <w:kern w:val="0"/>
          <w:sz w:val="20"/>
          <w:szCs w:val="20"/>
        </w:rPr>
        <w:t>，</w:t>
      </w:r>
      <w:r w:rsidR="00BD66FC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具备充分的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容量、完整性、弹性、可用性和安全性。</w:t>
      </w:r>
    </w:p>
    <w:p w:rsidR="003D5B8A" w:rsidRPr="003D5B8A" w:rsidRDefault="003D5B8A" w:rsidP="0074775F">
      <w:pPr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It requires ongoing auditing and risk assessment, immediate notification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of problems and regular reporting to the SEC, industry-wide</w:t>
      </w:r>
      <w:r w:rsidR="005B64CE"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testing of business continuity planning (BCP) capabilities, and</w:t>
      </w:r>
      <w:r w:rsidR="005B64CE"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extensive record keeping for IT activities. Failure to implement</w:t>
      </w:r>
      <w:r w:rsidR="005B64CE"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appropriate controls and to report to the SEC when these controls</w:t>
      </w:r>
      <w:r w:rsidR="005B64CE"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fail could result in fines and legal action.</w:t>
      </w:r>
    </w:p>
    <w:p w:rsidR="005B64CE" w:rsidRPr="009B15D8" w:rsidRDefault="005B64CE" w:rsidP="005B64CE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它需要持续的审计和风险评估，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问题的及时报告和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定期向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SEC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报告，整个行业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业务连续性规划（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BCP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）能力测试，以及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详尽的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IT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活动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记录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。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如果未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实施适当的控制措施，并在这些措施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失效时未及时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向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SEC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报告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则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可能导致罚款和法律诉讼。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In Europe, MiFID II regulations address many of the same areas,but extend to trading firms as well as execution venues like</w:t>
      </w:r>
      <w:r w:rsidR="005B64CE"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exchanges.</w:t>
      </w:r>
    </w:p>
    <w:p w:rsidR="00BD66FC" w:rsidRPr="009B15D8" w:rsidRDefault="00BD66FC" w:rsidP="00BD66FC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在欧洲，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Mifid II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法规涉及许多相同的领域，但扩展到</w:t>
      </w:r>
      <w:r w:rsidR="001E748B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交易机构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和</w:t>
      </w:r>
      <w:r w:rsidR="001E748B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交易所等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执行场所流。</w:t>
      </w:r>
    </w:p>
    <w:p w:rsidR="00BD66FC" w:rsidRDefault="00BD66FC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What do these regulations mean to organizations adopting or looking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to adopt DevOps?</w:t>
      </w:r>
    </w:p>
    <w:p w:rsidR="001E748B" w:rsidRPr="009B15D8" w:rsidRDefault="001E748B" w:rsidP="001E748B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这些规定对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实施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或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整准备实施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DevOps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的组织意味着什么？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The regulators have decided that relevant procedures and controls</w:t>
      </w:r>
      <w:r w:rsidR="00210EE2"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will be considered 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“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reasonably designed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”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 if they consistently follow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generally recognized standards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—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in the SEC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s case, these are published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government standards from the ISO and NIST (such as NIST</w:t>
      </w:r>
      <w:r w:rsidR="001E748B"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800-53). However, the burden is on regulated organizations to</w:t>
      </w:r>
      <w:r w:rsidR="001E748B"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prove that their processes and control structures are adequate,whether they follow Waterfall-based development and ITIL, or</w:t>
      </w:r>
      <w:r w:rsidR="001E748B"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Agile and DevOps practices.</w:t>
      </w:r>
    </w:p>
    <w:p w:rsidR="001E748B" w:rsidRPr="009B15D8" w:rsidRDefault="001E748B" w:rsidP="001E748B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监管机构</w:t>
      </w:r>
      <w:r w:rsidR="00210EE2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认为，</w:t>
      </w:r>
      <w:r w:rsidR="00210EE2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如果他们始终遵循</w:t>
      </w:r>
      <w:r w:rsidR="00210EE2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公认标准</w:t>
      </w:r>
      <w:r w:rsidR="00210EE2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，相关程序和控制措施将被视为</w:t>
      </w:r>
      <w:r w:rsidR="00210EE2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“</w:t>
      </w:r>
      <w:r w:rsidR="00210EE2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合理设计</w:t>
      </w:r>
      <w:r w:rsidR="00210EE2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”</w:t>
      </w:r>
      <w:r w:rsidR="00210EE2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。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在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SEC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的案例中，</w:t>
      </w:r>
      <w:r w:rsidR="009D1919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其颁布了源自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ISO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和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NIST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（如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NIST</w:t>
      </w:r>
      <w:r w:rsidR="009D1919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800</w:t>
      </w:r>
      <w:r w:rsidR="009D1919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～</w:t>
      </w:r>
      <w:r w:rsidR="009D1919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53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）的政府标准。然而，</w:t>
      </w:r>
      <w:r w:rsidR="009D1919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负担在于被</w:t>
      </w:r>
      <w:r w:rsidR="009D1919">
        <w:rPr>
          <w:rFonts w:ascii="&amp;quot" w:eastAsia="宋体" w:hAnsi="&amp;quot" w:cs="宋体"/>
          <w:color w:val="000000"/>
          <w:kern w:val="0"/>
          <w:sz w:val="20"/>
          <w:szCs w:val="20"/>
        </w:rPr>
        <w:t>监管机构，</w:t>
      </w:r>
      <w:r w:rsidR="009D1919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它们要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证明其过程和控制结构是充分的，</w:t>
      </w:r>
      <w:r w:rsidR="009D1919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无论他们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遵循基于瀑布的开发和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ITIL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，或者敏捷和</w:t>
      </w:r>
      <w:r w:rsidR="009D1919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D</w:t>
      </w:r>
      <w:r w:rsidR="009D1919">
        <w:rPr>
          <w:rFonts w:ascii="&amp;quot" w:eastAsia="宋体" w:hAnsi="&amp;quot" w:cs="宋体"/>
          <w:color w:val="000000"/>
          <w:kern w:val="0"/>
          <w:sz w:val="20"/>
          <w:szCs w:val="20"/>
        </w:rPr>
        <w:t>evOps</w:t>
      </w: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实践。</w:t>
      </w:r>
    </w:p>
    <w:p w:rsidR="001E748B" w:rsidRDefault="001E748B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It is too soon to know how DevOps will be looked at by regulators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in this context. In </w:t>
      </w:r>
      <w:r>
        <w:rPr>
          <w:rFonts w:ascii="MinionPro-Regular" w:eastAsia="MinionPro-Regular" w:cs="MinionPro-Regular"/>
          <w:color w:val="9A0000"/>
          <w:kern w:val="0"/>
          <w:sz w:val="20"/>
          <w:szCs w:val="20"/>
        </w:rPr>
        <w:t xml:space="preserve">Chapter 2 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we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 xml:space="preserve">ll look at a 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“</w:t>
      </w: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Compliance as Code</w:t>
      </w:r>
      <w:r>
        <w:rPr>
          <w:rFonts w:ascii="MinionPro-Regular" w:eastAsia="MinionPro-Regular" w:cs="MinionPro-Regular" w:hint="eastAsia"/>
          <w:color w:val="000000"/>
          <w:kern w:val="0"/>
          <w:sz w:val="20"/>
          <w:szCs w:val="20"/>
        </w:rPr>
        <w:t>”</w:t>
      </w:r>
    </w:p>
    <w:p w:rsidR="0074775F" w:rsidRDefault="0074775F" w:rsidP="0074775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approach for building compliance controls into DevOps practices,</w:t>
      </w:r>
    </w:p>
    <w:p w:rsidR="0074775F" w:rsidRDefault="0074775F" w:rsidP="0074775F">
      <w:pPr>
        <w:rPr>
          <w:rFonts w:ascii="MinionPro-Regular" w:eastAsia="MinionPro-Regular" w:cs="MinionPro-Regular"/>
          <w:color w:val="000000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20"/>
          <w:szCs w:val="20"/>
        </w:rPr>
        <w:t>to help meet different regulatory and governance requirements.</w:t>
      </w:r>
    </w:p>
    <w:p w:rsidR="009B15D8" w:rsidRPr="009B15D8" w:rsidRDefault="009D1919" w:rsidP="009B15D8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在这种情况下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,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关于</w:t>
      </w:r>
      <w:r w:rsidR="009B15D8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监管机构将如何看待</w:t>
      </w:r>
      <w:r w:rsidR="009B15D8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DevOps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的论断</w:t>
      </w:r>
      <w:r w:rsidR="009B15D8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还为时过早。在第</w:t>
      </w:r>
      <w:r w:rsidR="009B15D8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2</w:t>
      </w:r>
      <w:r w:rsidR="009B15D8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章中，我们将讨论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通过</w:t>
      </w:r>
      <w:r w:rsidR="009B15D8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“</w:t>
      </w:r>
      <w:r w:rsidR="009B15D8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合规性即代码</w:t>
      </w:r>
      <w:r w:rsidR="009B15D8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”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 xml:space="preserve"> </w:t>
      </w:r>
      <w:r w:rsidR="009B15D8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在</w:t>
      </w:r>
      <w:r w:rsidR="009B15D8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DevOps</w:t>
      </w:r>
      <w:r w:rsidR="009B15D8"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实践中建立合规控制的方法，</w:t>
      </w:r>
    </w:p>
    <w:p w:rsidR="009B15D8" w:rsidRPr="009B15D8" w:rsidRDefault="009B15D8" w:rsidP="009B15D8">
      <w:pPr>
        <w:widowControl/>
        <w:rPr>
          <w:rFonts w:ascii="&amp;quot" w:eastAsia="宋体" w:hAnsi="&amp;quot" w:cs="宋体"/>
          <w:color w:val="000000"/>
          <w:kern w:val="0"/>
          <w:szCs w:val="21"/>
        </w:rPr>
      </w:pPr>
      <w:r w:rsidRPr="009B15D8">
        <w:rPr>
          <w:rFonts w:ascii="&amp;quot" w:eastAsia="宋体" w:hAnsi="&amp;quot" w:cs="宋体"/>
          <w:color w:val="000000"/>
          <w:kern w:val="0"/>
          <w:sz w:val="20"/>
          <w:szCs w:val="20"/>
        </w:rPr>
        <w:t>帮助满足不同的监管和治理要求。</w:t>
      </w:r>
    </w:p>
    <w:p w:rsidR="009B15D8" w:rsidRPr="009B15D8" w:rsidRDefault="009B15D8" w:rsidP="0074775F"/>
    <w:sectPr w:rsidR="009B15D8" w:rsidRPr="009B1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539" w:rsidRDefault="00BF7539" w:rsidP="0074775F">
      <w:r>
        <w:separator/>
      </w:r>
    </w:p>
  </w:endnote>
  <w:endnote w:type="continuationSeparator" w:id="0">
    <w:p w:rsidR="00BF7539" w:rsidRDefault="00BF7539" w:rsidP="00747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539" w:rsidRDefault="00BF7539" w:rsidP="0074775F">
      <w:r>
        <w:separator/>
      </w:r>
    </w:p>
  </w:footnote>
  <w:footnote w:type="continuationSeparator" w:id="0">
    <w:p w:rsidR="00BF7539" w:rsidRDefault="00BF7539" w:rsidP="00747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5A"/>
    <w:rsid w:val="000D692F"/>
    <w:rsid w:val="00135811"/>
    <w:rsid w:val="001A465B"/>
    <w:rsid w:val="001E748B"/>
    <w:rsid w:val="00210EE2"/>
    <w:rsid w:val="003D5B8A"/>
    <w:rsid w:val="004E52F3"/>
    <w:rsid w:val="005537AD"/>
    <w:rsid w:val="005B64CE"/>
    <w:rsid w:val="0074775F"/>
    <w:rsid w:val="009B15D8"/>
    <w:rsid w:val="009D1919"/>
    <w:rsid w:val="009F1063"/>
    <w:rsid w:val="00A72363"/>
    <w:rsid w:val="00BB58F6"/>
    <w:rsid w:val="00BD66FC"/>
    <w:rsid w:val="00BF7539"/>
    <w:rsid w:val="00C91FE2"/>
    <w:rsid w:val="00CB00AC"/>
    <w:rsid w:val="00F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6810E2-E940-4C3E-8B66-97B41308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75F"/>
    <w:rPr>
      <w:sz w:val="18"/>
      <w:szCs w:val="18"/>
    </w:rPr>
  </w:style>
  <w:style w:type="character" w:customStyle="1" w:styleId="translated-span">
    <w:name w:val="translated-span"/>
    <w:basedOn w:val="a0"/>
    <w:rsid w:val="009B1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2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2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12</cp:revision>
  <dcterms:created xsi:type="dcterms:W3CDTF">2019-01-11T12:14:00Z</dcterms:created>
  <dcterms:modified xsi:type="dcterms:W3CDTF">2019-01-14T12:24:00Z</dcterms:modified>
</cp:coreProperties>
</file>