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2B" w:rsidRDefault="006E252B" w:rsidP="006E252B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8"/>
          <w:szCs w:val="38"/>
        </w:rPr>
      </w:pPr>
      <w:r>
        <w:rPr>
          <w:rFonts w:ascii="MyriadPro-SemiboldCond" w:eastAsia="MyriadPro-SemiboldCond" w:cs="MyriadPro-SemiboldCond"/>
          <w:kern w:val="0"/>
          <w:sz w:val="38"/>
          <w:szCs w:val="38"/>
        </w:rPr>
        <w:t>The Costs of Compliance</w:t>
      </w:r>
    </w:p>
    <w:p w:rsidR="0004297B" w:rsidRPr="0004297B" w:rsidRDefault="0004297B" w:rsidP="0004297B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04297B">
        <w:rPr>
          <w:rFonts w:ascii="&amp;quot" w:eastAsia="宋体" w:hAnsi="&amp;quot" w:cs="宋体"/>
          <w:color w:val="000000"/>
          <w:kern w:val="0"/>
          <w:sz w:val="38"/>
          <w:szCs w:val="38"/>
        </w:rPr>
        <w:t>合</w:t>
      </w:r>
      <w:proofErr w:type="gramStart"/>
      <w:r w:rsidRPr="0004297B">
        <w:rPr>
          <w:rFonts w:ascii="&amp;quot" w:eastAsia="宋体" w:hAnsi="&amp;quot" w:cs="宋体"/>
          <w:color w:val="000000"/>
          <w:kern w:val="0"/>
          <w:sz w:val="38"/>
          <w:szCs w:val="38"/>
        </w:rPr>
        <w:t>规</w:t>
      </w:r>
      <w:proofErr w:type="gramEnd"/>
      <w:r w:rsidRPr="0004297B">
        <w:rPr>
          <w:rFonts w:ascii="&amp;quot" w:eastAsia="宋体" w:hAnsi="&amp;quot" w:cs="宋体"/>
          <w:color w:val="000000"/>
          <w:kern w:val="0"/>
          <w:sz w:val="38"/>
          <w:szCs w:val="38"/>
        </w:rPr>
        <w:t>成本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Regulatory compliance is a basic fact of life in the financial industry,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affecting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almost every system and every part of the organization; it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impacts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system requirements, system design, testing, and operations,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well as the personal conduct of industry employees.</w:t>
      </w:r>
    </w:p>
    <w:p w:rsidR="0004297B" w:rsidRPr="0004297B" w:rsidRDefault="0004297B" w:rsidP="0004297B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04297B">
        <w:rPr>
          <w:rFonts w:ascii="&amp;quot" w:eastAsia="宋体" w:hAnsi="&amp;quot" w:cs="宋体"/>
          <w:color w:val="000000"/>
          <w:kern w:val="0"/>
          <w:szCs w:val="21"/>
        </w:rPr>
        <w:t>监管合</w:t>
      </w:r>
      <w:proofErr w:type="gramStart"/>
      <w:r w:rsidRPr="0004297B">
        <w:rPr>
          <w:rFonts w:ascii="&amp;quot" w:eastAsia="宋体" w:hAnsi="&amp;quot" w:cs="宋体"/>
          <w:color w:val="000000"/>
          <w:kern w:val="0"/>
          <w:szCs w:val="21"/>
        </w:rPr>
        <w:t>规</w:t>
      </w:r>
      <w:proofErr w:type="gramEnd"/>
      <w:r w:rsidRPr="0004297B">
        <w:rPr>
          <w:rFonts w:ascii="&amp;quot" w:eastAsia="宋体" w:hAnsi="&amp;quot" w:cs="宋体"/>
          <w:color w:val="000000"/>
          <w:kern w:val="0"/>
          <w:szCs w:val="21"/>
        </w:rPr>
        <w:t>是金融业的一个基本事实，几乎影响到组织的每个系统和每个部分；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它</w:t>
      </w:r>
      <w:r>
        <w:rPr>
          <w:rFonts w:ascii="&amp;quot" w:eastAsia="宋体" w:hAnsi="&amp;quot" w:cs="宋体"/>
          <w:color w:val="000000"/>
          <w:kern w:val="0"/>
          <w:szCs w:val="21"/>
        </w:rPr>
        <w:t>影响系统需求、系统设计、测试和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运营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，以及行业员工的个人行为。</w:t>
      </w:r>
    </w:p>
    <w:p w:rsidR="0004297B" w:rsidRDefault="0004297B" w:rsidP="0004297B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</w:p>
    <w:p w:rsidR="006E252B" w:rsidRDefault="0004297B" w:rsidP="0004297B">
      <w:pPr>
        <w:widowControl/>
        <w:jc w:val="left"/>
        <w:rPr>
          <w:rFonts w:ascii="MinionPro-Regular" w:eastAsia="MinionPro-Regular" w:cs="MinionPro-Regular"/>
          <w:kern w:val="0"/>
          <w:szCs w:val="21"/>
        </w:rPr>
      </w:pPr>
      <w:r w:rsidRPr="0004297B">
        <w:rPr>
          <w:rFonts w:ascii="&amp;quot" w:eastAsia="宋体" w:hAnsi="&amp;quot" w:cs="宋体"/>
          <w:color w:val="000000"/>
          <w:kern w:val="0"/>
          <w:szCs w:val="21"/>
        </w:rPr>
        <w:t> </w:t>
      </w:r>
      <w:r w:rsidR="006E252B">
        <w:rPr>
          <w:rFonts w:ascii="MinionPro-Regular" w:eastAsia="MinionPro-Regular" w:cs="MinionPro-Regular"/>
          <w:kern w:val="0"/>
          <w:szCs w:val="21"/>
        </w:rPr>
        <w:t>Global firms are subject to multiple regulators and different compliance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regimes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with overlapping and often conflicting requirements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for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different business activities and financial products. In the US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alone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, a bank could be subject to regulation by the OCC, the Federal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Reserve, the SEC, FINRA, the regulatory arms of the different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exchanges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, the CFTC, and the FDIC.</w:t>
      </w:r>
    </w:p>
    <w:p w:rsidR="0004297B" w:rsidRDefault="0004297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04297B" w:rsidRDefault="0004297B" w:rsidP="0004297B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04297B">
        <w:rPr>
          <w:rFonts w:ascii="&amp;quot" w:eastAsia="宋体" w:hAnsi="&amp;quot" w:cs="宋体"/>
          <w:color w:val="000000"/>
          <w:kern w:val="0"/>
          <w:szCs w:val="21"/>
        </w:rPr>
        <w:t>全球公司受到多个监管机构和不同的合规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制度</w:t>
      </w:r>
      <w:r>
        <w:rPr>
          <w:rFonts w:ascii="&amp;quot" w:eastAsia="宋体" w:hAnsi="&amp;quot" w:cs="宋体"/>
          <w:color w:val="000000"/>
          <w:kern w:val="0"/>
          <w:szCs w:val="21"/>
        </w:rPr>
        <w:t>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约束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针对不同的业务活动和金融产品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他们的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要求重叠且经常相互冲突</w:t>
      </w:r>
      <w:r>
        <w:rPr>
          <w:rFonts w:ascii="&amp;quot" w:eastAsia="宋体" w:hAnsi="&amp;quot" w:cs="宋体"/>
          <w:color w:val="000000"/>
          <w:kern w:val="0"/>
          <w:szCs w:val="21"/>
        </w:rPr>
        <w:t>。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仅在</w:t>
      </w:r>
      <w:r w:rsidR="00E37EA6">
        <w:rPr>
          <w:rFonts w:ascii="&amp;quot" w:eastAsia="宋体" w:hAnsi="&amp;quot" w:cs="宋体"/>
          <w:color w:val="000000"/>
          <w:kern w:val="0"/>
          <w:szCs w:val="21"/>
        </w:rPr>
        <w:t>美国，银行就可能</w:t>
      </w:r>
      <w:r w:rsidR="00E37EA6">
        <w:rPr>
          <w:rFonts w:ascii="&amp;quot" w:eastAsia="宋体" w:hAnsi="&amp;quot" w:cs="宋体" w:hint="eastAsia"/>
          <w:color w:val="000000"/>
          <w:kern w:val="0"/>
          <w:szCs w:val="21"/>
        </w:rPr>
        <w:t>受到的监管来自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货币监理署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(</w:t>
      </w:r>
      <w:r>
        <w:rPr>
          <w:rFonts w:ascii="&amp;quot" w:eastAsia="宋体" w:hAnsi="&amp;quot" w:cs="宋体"/>
          <w:color w:val="000000"/>
          <w:kern w:val="0"/>
          <w:szCs w:val="21"/>
        </w:rPr>
        <w:t>OCC)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="00E37EA6" w:rsidRPr="00E37EA6">
        <w:rPr>
          <w:rFonts w:ascii="&amp;quot" w:eastAsia="宋体" w:hAnsi="&amp;quot" w:cs="宋体"/>
          <w:color w:val="000000"/>
          <w:kern w:val="0"/>
        </w:rPr>
        <w:t>联邦</w:t>
      </w:r>
      <w:r w:rsidR="00E37EA6" w:rsidRPr="00E37EA6">
        <w:rPr>
          <w:rFonts w:ascii="&amp;quot" w:eastAsia="宋体" w:hAnsi="&amp;quot" w:cs="宋体"/>
          <w:color w:val="000000"/>
          <w:kern w:val="0"/>
          <w:szCs w:val="21"/>
        </w:rPr>
        <w:t>储备委</w:t>
      </w:r>
      <w:r w:rsidR="00E37EA6">
        <w:rPr>
          <w:rFonts w:ascii="Arial" w:hAnsi="Arial" w:cs="Arial"/>
          <w:color w:val="333333"/>
          <w:szCs w:val="21"/>
        </w:rPr>
        <w:t>员会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SEC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FINRA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，不同的</w:t>
      </w:r>
      <w:r w:rsidR="00E37EA6" w:rsidRPr="0004297B">
        <w:rPr>
          <w:rFonts w:ascii="&amp;quot" w:eastAsia="宋体" w:hAnsi="&amp;quot" w:cs="宋体"/>
          <w:color w:val="000000"/>
          <w:kern w:val="0"/>
          <w:szCs w:val="21"/>
        </w:rPr>
        <w:t>交易所</w:t>
      </w:r>
      <w:r w:rsidR="00E37EA6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监管机构、</w:t>
      </w:r>
      <w:r w:rsidR="00E37EA6">
        <w:rPr>
          <w:rFonts w:ascii="&amp;quot" w:eastAsia="宋体" w:hAnsi="&amp;quot" w:cs="宋体" w:hint="eastAsia"/>
          <w:color w:val="000000"/>
          <w:kern w:val="0"/>
          <w:szCs w:val="21"/>
        </w:rPr>
        <w:t>C</w:t>
      </w:r>
      <w:r w:rsidR="00E37EA6">
        <w:rPr>
          <w:rFonts w:ascii="&amp;quot" w:eastAsia="宋体" w:hAnsi="&amp;quot" w:cs="宋体"/>
          <w:color w:val="000000"/>
          <w:kern w:val="0"/>
          <w:szCs w:val="21"/>
        </w:rPr>
        <w:t>FTC</w:t>
      </w:r>
      <w:r w:rsidR="00E37EA6"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="00E37EA6">
        <w:rPr>
          <w:rFonts w:ascii="&amp;quot" w:eastAsia="宋体" w:hAnsi="&amp;quot" w:cs="宋体" w:hint="eastAsia"/>
          <w:color w:val="000000"/>
          <w:kern w:val="0"/>
          <w:szCs w:val="21"/>
        </w:rPr>
        <w:t>F</w:t>
      </w:r>
      <w:r w:rsidR="00E37EA6">
        <w:rPr>
          <w:rFonts w:ascii="&amp;quot" w:eastAsia="宋体" w:hAnsi="&amp;quot" w:cs="宋体"/>
          <w:color w:val="000000"/>
          <w:kern w:val="0"/>
          <w:szCs w:val="21"/>
        </w:rPr>
        <w:t>DIC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E37EA6" w:rsidRPr="0004297B" w:rsidRDefault="00E37EA6" w:rsidP="0004297B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Regulations like Dodd-Frank, GLBA, Regulation NMS, </w:t>
      </w:r>
      <w:proofErr w:type="gramStart"/>
      <w:r>
        <w:rPr>
          <w:rFonts w:ascii="MinionPro-Regular" w:eastAsia="MinionPro-Regular" w:cs="MinionPro-Regular"/>
          <w:kern w:val="0"/>
          <w:szCs w:val="21"/>
        </w:rPr>
        <w:t>Regulation</w:t>
      </w:r>
      <w:proofErr w:type="gramEnd"/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SCI, and MiFID II (and of course, for public financial institutions,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SOX) impose mandatory reporting requirements; restrictions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around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customer data privacy and integrity; mandatory operational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risk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management and credit management requirements; mandatory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market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rules for market data handling, order routing, trade execution, and trade reporting; rules for fraud protection and to protect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against money laundering, insider trading, and corruption; </w:t>
      </w:r>
      <w:r>
        <w:rPr>
          <w:rFonts w:ascii="MinionPro-Regular" w:eastAsia="MinionPro-Regular" w:cs="MinionPro-Regular" w:hint="eastAsia"/>
          <w:kern w:val="0"/>
          <w:szCs w:val="21"/>
        </w:rPr>
        <w:t>“</w:t>
      </w:r>
      <w:r>
        <w:rPr>
          <w:rFonts w:ascii="MinionPro-Regular" w:eastAsia="MinionPro-Regular" w:cs="MinionPro-Regular"/>
          <w:kern w:val="0"/>
          <w:szCs w:val="21"/>
        </w:rPr>
        <w:t>know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your customer</w:t>
      </w:r>
      <w:proofErr w:type="gramStart"/>
      <w:r>
        <w:rPr>
          <w:rFonts w:ascii="MinionPro-Regular" w:eastAsia="MinionPro-Regular" w:cs="MinionPro-Regular" w:hint="eastAsia"/>
          <w:kern w:val="0"/>
          <w:szCs w:val="21"/>
        </w:rPr>
        <w:t>”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rules; </w:t>
      </w:r>
      <w:proofErr w:type="gramStart"/>
      <w:r>
        <w:rPr>
          <w:rFonts w:ascii="MinionPro-Regular" w:eastAsia="MinionPro-Regular" w:cs="MinionPro-Regular"/>
          <w:kern w:val="0"/>
          <w:szCs w:val="21"/>
        </w:rPr>
        <w:t>rules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for handling data breaches and other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security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incidents; business continuity requirements; restrictions on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and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monitoring of personal conduct for employees; and auditing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and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records retention requirements to prove all of this. Regulations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also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impose uptime requirements for key services, as well as requirements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for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reporting outages, data breaches, and other incidents and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for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preannouncing and scheduling major system changes. This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means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that regulatory compliance is woven deeply into the fabric of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business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processes and IT systems and practices.</w:t>
      </w:r>
    </w:p>
    <w:p w:rsidR="00E37EA6" w:rsidRDefault="00E37EA6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E37EA6" w:rsidRPr="0004297B" w:rsidRDefault="00E37EA6" w:rsidP="00E37EA6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04297B">
        <w:rPr>
          <w:rFonts w:ascii="&amp;quot" w:eastAsia="宋体" w:hAnsi="&amp;quot" w:cs="宋体"/>
          <w:color w:val="000000"/>
          <w:kern w:val="0"/>
          <w:szCs w:val="21"/>
        </w:rPr>
        <w:t>Dodd Frank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GLBA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、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全美市场系统规则、系统合</w:t>
      </w:r>
      <w:proofErr w:type="gramStart"/>
      <w:r>
        <w:rPr>
          <w:rFonts w:ascii="&amp;quot" w:eastAsia="宋体" w:hAnsi="&amp;quot" w:cs="宋体" w:hint="eastAsia"/>
          <w:color w:val="000000"/>
          <w:kern w:val="0"/>
          <w:szCs w:val="21"/>
        </w:rPr>
        <w:t>规</w:t>
      </w:r>
      <w:proofErr w:type="gramEnd"/>
      <w:r>
        <w:rPr>
          <w:rFonts w:ascii="&amp;quot" w:eastAsia="宋体" w:hAnsi="&amp;quot" w:cs="宋体" w:hint="eastAsia"/>
          <w:color w:val="000000"/>
          <w:kern w:val="0"/>
          <w:szCs w:val="21"/>
        </w:rPr>
        <w:t>性和完整性规则、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和</w:t>
      </w:r>
      <w:proofErr w:type="spellStart"/>
      <w:r w:rsidRPr="0004297B">
        <w:rPr>
          <w:rFonts w:ascii="&amp;quot" w:eastAsia="宋体" w:hAnsi="&amp;quot" w:cs="宋体"/>
          <w:color w:val="000000"/>
          <w:kern w:val="0"/>
          <w:szCs w:val="21"/>
        </w:rPr>
        <w:t>Mifid</w:t>
      </w:r>
      <w:proofErr w:type="spellEnd"/>
      <w:r w:rsidRPr="0004297B">
        <w:rPr>
          <w:rFonts w:ascii="&amp;quot" w:eastAsia="宋体" w:hAnsi="&amp;quot" w:cs="宋体"/>
          <w:color w:val="000000"/>
          <w:kern w:val="0"/>
          <w:szCs w:val="21"/>
        </w:rPr>
        <w:t xml:space="preserve"> II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（当然，对于公共金融机构，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还有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SOX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法案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）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都有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强制报告要求；</w:t>
      </w:r>
      <w:r w:rsidR="001450CD">
        <w:rPr>
          <w:rFonts w:ascii="&amp;quot" w:eastAsia="宋体" w:hAnsi="&amp;quot" w:cs="宋体" w:hint="eastAsia"/>
          <w:color w:val="000000"/>
          <w:kern w:val="0"/>
          <w:szCs w:val="21"/>
        </w:rPr>
        <w:t>对于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客户数据隐私和完整性</w:t>
      </w:r>
      <w:r w:rsidR="001450CD">
        <w:rPr>
          <w:rFonts w:ascii="&amp;quot" w:eastAsia="宋体" w:hAnsi="&amp;quot" w:cs="宋体" w:hint="eastAsia"/>
          <w:color w:val="000000"/>
          <w:kern w:val="0"/>
          <w:szCs w:val="21"/>
        </w:rPr>
        <w:t>的限制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；强制</w:t>
      </w:r>
      <w:r w:rsidR="001450CD">
        <w:rPr>
          <w:rFonts w:ascii="&amp;quot" w:eastAsia="宋体" w:hAnsi="&amp;quot" w:cs="宋体" w:hint="eastAsia"/>
          <w:color w:val="000000"/>
          <w:kern w:val="0"/>
          <w:szCs w:val="21"/>
        </w:rPr>
        <w:t>运营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风险管理和信贷管理要求；</w:t>
      </w:r>
      <w:r w:rsidR="001450CD">
        <w:rPr>
          <w:rFonts w:ascii="&amp;quot" w:eastAsia="宋体" w:hAnsi="&amp;quot" w:cs="宋体"/>
          <w:color w:val="000000"/>
          <w:kern w:val="0"/>
          <w:szCs w:val="21"/>
        </w:rPr>
        <w:t>市场数据处理、订单路由、</w:t>
      </w:r>
      <w:r w:rsidR="001450CD">
        <w:rPr>
          <w:rFonts w:ascii="&amp;quot" w:eastAsia="宋体" w:hAnsi="&amp;quot" w:cs="宋体" w:hint="eastAsia"/>
          <w:color w:val="000000"/>
          <w:kern w:val="0"/>
          <w:szCs w:val="21"/>
        </w:rPr>
        <w:t>交易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执行和</w:t>
      </w:r>
      <w:r w:rsidR="001450CD">
        <w:rPr>
          <w:rFonts w:ascii="&amp;quot" w:eastAsia="宋体" w:hAnsi="&amp;quot" w:cs="宋体" w:hint="eastAsia"/>
          <w:color w:val="000000"/>
          <w:kern w:val="0"/>
          <w:szCs w:val="21"/>
        </w:rPr>
        <w:t>交易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报告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lastRenderedPageBreak/>
        <w:t>的</w:t>
      </w:r>
      <w:r w:rsidR="001450CD" w:rsidRPr="0004297B">
        <w:rPr>
          <w:rFonts w:ascii="&amp;quot" w:eastAsia="宋体" w:hAnsi="&amp;quot" w:cs="宋体"/>
          <w:color w:val="000000"/>
          <w:kern w:val="0"/>
          <w:szCs w:val="21"/>
        </w:rPr>
        <w:t>强制性</w:t>
      </w:r>
      <w:r w:rsidR="001450CD">
        <w:rPr>
          <w:rFonts w:ascii="&amp;quot" w:eastAsia="宋体" w:hAnsi="&amp;quot" w:cs="宋体"/>
          <w:color w:val="000000"/>
          <w:kern w:val="0"/>
          <w:szCs w:val="21"/>
        </w:rPr>
        <w:t>市场规则；欺诈保护、</w:t>
      </w:r>
      <w:r w:rsidR="001450CD">
        <w:rPr>
          <w:rFonts w:ascii="&amp;quot" w:eastAsia="宋体" w:hAnsi="&amp;quot" w:cs="宋体" w:hint="eastAsia"/>
          <w:color w:val="000000"/>
          <w:kern w:val="0"/>
          <w:szCs w:val="21"/>
        </w:rPr>
        <w:t>防止</w:t>
      </w:r>
      <w:r w:rsidR="001450CD" w:rsidRPr="0004297B">
        <w:rPr>
          <w:rFonts w:ascii="&amp;quot" w:eastAsia="宋体" w:hAnsi="&amp;quot" w:cs="宋体"/>
          <w:color w:val="000000"/>
          <w:kern w:val="0"/>
          <w:szCs w:val="21"/>
        </w:rPr>
        <w:t>洗钱、内幕交易和腐败</w:t>
      </w:r>
      <w:r w:rsidR="001450CD">
        <w:rPr>
          <w:rFonts w:ascii="&amp;quot" w:eastAsia="宋体" w:hAnsi="&amp;quot" w:cs="宋体" w:hint="eastAsia"/>
          <w:color w:val="000000"/>
          <w:kern w:val="0"/>
          <w:szCs w:val="21"/>
        </w:rPr>
        <w:t>的保护规则；“了解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您的客户</w:t>
      </w:r>
      <w:r w:rsidR="001450CD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的规则；处理数据泄露和其他安全事件</w:t>
      </w:r>
      <w:r w:rsidR="00A44931" w:rsidRPr="0004297B">
        <w:rPr>
          <w:rFonts w:ascii="&amp;quot" w:eastAsia="宋体" w:hAnsi="&amp;quot" w:cs="宋体"/>
          <w:color w:val="000000"/>
          <w:kern w:val="0"/>
          <w:szCs w:val="21"/>
        </w:rPr>
        <w:t>的规则</w:t>
      </w:r>
      <w:r w:rsidR="00A44931">
        <w:rPr>
          <w:rFonts w:ascii="&amp;quot" w:eastAsia="宋体" w:hAnsi="&amp;quot" w:cs="宋体"/>
          <w:color w:val="000000"/>
          <w:kern w:val="0"/>
          <w:szCs w:val="21"/>
        </w:rPr>
        <w:t>；业务连续性要求；</w:t>
      </w:r>
      <w:r w:rsidR="00A44931">
        <w:rPr>
          <w:rFonts w:ascii="&amp;quot" w:eastAsia="宋体" w:hAnsi="&amp;quot" w:cs="宋体" w:hint="eastAsia"/>
          <w:color w:val="000000"/>
          <w:kern w:val="0"/>
          <w:szCs w:val="21"/>
        </w:rPr>
        <w:t>对</w:t>
      </w:r>
      <w:r w:rsidR="00A44931">
        <w:rPr>
          <w:rFonts w:ascii="&amp;quot" w:eastAsia="宋体" w:hAnsi="&amp;quot" w:cs="宋体"/>
          <w:color w:val="000000"/>
          <w:kern w:val="0"/>
          <w:szCs w:val="21"/>
        </w:rPr>
        <w:t>员工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个人行为</w:t>
      </w:r>
      <w:r w:rsidR="00A44931">
        <w:rPr>
          <w:rFonts w:ascii="&amp;quot" w:eastAsia="宋体" w:hAnsi="&amp;quot" w:cs="宋体" w:hint="eastAsia"/>
          <w:color w:val="000000"/>
          <w:kern w:val="0"/>
          <w:szCs w:val="21"/>
        </w:rPr>
        <w:t>的限制和监控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；以及审计并记录保存要求，以证明所有这些。法规同时对关键服务</w:t>
      </w:r>
      <w:r w:rsidR="00A44931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正常运行时间</w:t>
      </w:r>
      <w:r w:rsidR="00A44931">
        <w:rPr>
          <w:rFonts w:ascii="&amp;quot" w:eastAsia="宋体" w:hAnsi="&amp;quot" w:cs="宋体" w:hint="eastAsia"/>
          <w:color w:val="000000"/>
          <w:kern w:val="0"/>
          <w:szCs w:val="21"/>
        </w:rPr>
        <w:t>有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要求</w:t>
      </w:r>
      <w:r w:rsidR="00A44931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以及要求报告停机、数据泄露和其他事件，以及</w:t>
      </w:r>
      <w:r w:rsidR="00A44931">
        <w:rPr>
          <w:rFonts w:ascii="&amp;quot" w:eastAsia="宋体" w:hAnsi="&amp;quot" w:cs="宋体" w:hint="eastAsia"/>
          <w:color w:val="000000"/>
          <w:kern w:val="0"/>
          <w:szCs w:val="21"/>
        </w:rPr>
        <w:t>对</w:t>
      </w:r>
      <w:r w:rsidR="00A44931">
        <w:rPr>
          <w:rFonts w:ascii="&amp;quot" w:eastAsia="宋体" w:hAnsi="&amp;quot" w:cs="宋体"/>
          <w:color w:val="000000"/>
          <w:kern w:val="0"/>
          <w:szCs w:val="21"/>
        </w:rPr>
        <w:t>主要系统</w:t>
      </w:r>
      <w:r w:rsidR="00A44931">
        <w:rPr>
          <w:rFonts w:ascii="&amp;quot" w:eastAsia="宋体" w:hAnsi="&amp;quot" w:cs="宋体" w:hint="eastAsia"/>
          <w:color w:val="000000"/>
          <w:kern w:val="0"/>
          <w:szCs w:val="21"/>
        </w:rPr>
        <w:t>变更体现发布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预告</w:t>
      </w:r>
      <w:r w:rsidR="00A44931">
        <w:rPr>
          <w:rFonts w:ascii="&amp;quot" w:eastAsia="宋体" w:hAnsi="&amp;quot" w:cs="宋体" w:hint="eastAsia"/>
          <w:color w:val="000000"/>
          <w:kern w:val="0"/>
          <w:szCs w:val="21"/>
        </w:rPr>
        <w:t>和时间表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。这个这意味着监管合</w:t>
      </w:r>
      <w:proofErr w:type="gramStart"/>
      <w:r w:rsidRPr="0004297B">
        <w:rPr>
          <w:rFonts w:ascii="&amp;quot" w:eastAsia="宋体" w:hAnsi="&amp;quot" w:cs="宋体"/>
          <w:color w:val="000000"/>
          <w:kern w:val="0"/>
          <w:szCs w:val="21"/>
        </w:rPr>
        <w:t>规</w:t>
      </w:r>
      <w:proofErr w:type="gramEnd"/>
      <w:r w:rsidRPr="0004297B">
        <w:rPr>
          <w:rFonts w:ascii="&amp;quot" w:eastAsia="宋体" w:hAnsi="&amp;quot" w:cs="宋体"/>
          <w:color w:val="000000"/>
          <w:kern w:val="0"/>
          <w:szCs w:val="21"/>
        </w:rPr>
        <w:t>性被深深地编织在业务流程、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IT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系统和实践</w:t>
      </w:r>
      <w:r w:rsidR="00A44931">
        <w:rPr>
          <w:rFonts w:ascii="&amp;quot" w:eastAsia="宋体" w:hAnsi="&amp;quot" w:cs="宋体" w:hint="eastAsia"/>
          <w:color w:val="000000"/>
          <w:kern w:val="0"/>
          <w:szCs w:val="21"/>
        </w:rPr>
        <w:t>中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The costs and complexities of regulatory compliance can be overwhelming: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constant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changes to compliance reporting requirements,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responding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to internal and external audits, policies and procedures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that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need to be continuously reviewed and updated and approved,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testing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to make sure that all of the controls and procedures are being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followed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>. Paperwork is required to track testing and reviews and</w:t>
      </w:r>
    </w:p>
    <w:p w:rsidR="006E252B" w:rsidRDefault="006E252B" w:rsidP="006E252B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approvals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for system changes, and to respond to independent audits</w:t>
      </w:r>
    </w:p>
    <w:p w:rsidR="001A465B" w:rsidRDefault="006E252B" w:rsidP="006E252B">
      <w:pPr>
        <w:rPr>
          <w:rFonts w:ascii="MinionPro-Regular" w:eastAsia="MinionPro-Regular" w:cs="MinionPro-Regular"/>
          <w:kern w:val="0"/>
          <w:szCs w:val="21"/>
        </w:rPr>
      </w:pPr>
      <w:proofErr w:type="gramStart"/>
      <w:r>
        <w:rPr>
          <w:rFonts w:ascii="MinionPro-Regular" w:eastAsia="MinionPro-Regular" w:cs="MinionPro-Regular"/>
          <w:kern w:val="0"/>
          <w:szCs w:val="21"/>
        </w:rPr>
        <w:t>on</w:t>
      </w:r>
      <w:proofErr w:type="gramEnd"/>
      <w:r>
        <w:rPr>
          <w:rFonts w:ascii="MinionPro-Regular" w:eastAsia="MinionPro-Regular" w:cs="MinionPro-Regular"/>
          <w:kern w:val="0"/>
          <w:szCs w:val="21"/>
        </w:rPr>
        <w:t xml:space="preserve"> systems and controls.</w:t>
      </w:r>
    </w:p>
    <w:p w:rsidR="00A44931" w:rsidRPr="0004297B" w:rsidRDefault="00A44931" w:rsidP="00A44931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04297B">
        <w:rPr>
          <w:rFonts w:ascii="&amp;quot" w:eastAsia="宋体" w:hAnsi="&amp;quot" w:cs="宋体"/>
          <w:color w:val="000000"/>
          <w:kern w:val="0"/>
          <w:szCs w:val="21"/>
        </w:rPr>
        <w:t>法规遵从性的成本和复杂性可能是压倒性的：对合</w:t>
      </w:r>
      <w:proofErr w:type="gramStart"/>
      <w:r w:rsidRPr="0004297B">
        <w:rPr>
          <w:rFonts w:ascii="&amp;quot" w:eastAsia="宋体" w:hAnsi="&amp;quot" w:cs="宋体"/>
          <w:color w:val="000000"/>
          <w:kern w:val="0"/>
          <w:szCs w:val="21"/>
        </w:rPr>
        <w:t>规</w:t>
      </w:r>
      <w:proofErr w:type="gramEnd"/>
      <w:r w:rsidRPr="0004297B">
        <w:rPr>
          <w:rFonts w:ascii="&amp;quot" w:eastAsia="宋体" w:hAnsi="&amp;quot" w:cs="宋体"/>
          <w:color w:val="000000"/>
          <w:kern w:val="0"/>
          <w:szCs w:val="21"/>
        </w:rPr>
        <w:t>报告要求的不断变化，响应内部和外部审计、政策和程序</w:t>
      </w:r>
      <w:r>
        <w:rPr>
          <w:rFonts w:ascii="&amp;quot" w:eastAsia="宋体" w:hAnsi="&amp;quot" w:cs="宋体"/>
          <w:color w:val="000000"/>
          <w:kern w:val="0"/>
          <w:szCs w:val="21"/>
        </w:rPr>
        <w:t>需要不断审查、更新和批准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实施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测试以确保所有的控制和程序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被遵守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="00647D6E">
        <w:rPr>
          <w:rFonts w:ascii="&amp;quot" w:eastAsia="宋体" w:hAnsi="&amp;quot" w:cs="宋体"/>
          <w:color w:val="000000"/>
          <w:kern w:val="0"/>
          <w:szCs w:val="21"/>
        </w:rPr>
        <w:t>测试、</w:t>
      </w:r>
      <w:r w:rsidR="00647D6E">
        <w:rPr>
          <w:rFonts w:ascii="&amp;quot" w:eastAsia="宋体" w:hAnsi="&amp;quot" w:cs="宋体" w:hint="eastAsia"/>
          <w:color w:val="000000"/>
          <w:kern w:val="0"/>
          <w:szCs w:val="21"/>
        </w:rPr>
        <w:t>评审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以及批准系统变更</w:t>
      </w:r>
      <w:r w:rsidR="00647D6E">
        <w:rPr>
          <w:rFonts w:ascii="&amp;quot" w:eastAsia="宋体" w:hAnsi="&amp;quot" w:cs="宋体" w:hint="eastAsia"/>
          <w:color w:val="000000"/>
          <w:kern w:val="0"/>
          <w:szCs w:val="21"/>
        </w:rPr>
        <w:t>需要通过书面</w:t>
      </w:r>
      <w:r w:rsidR="00647D6E">
        <w:rPr>
          <w:rFonts w:ascii="&amp;quot" w:eastAsia="宋体" w:hAnsi="&amp;quot" w:cs="宋体"/>
          <w:color w:val="000000"/>
          <w:kern w:val="0"/>
          <w:szCs w:val="21"/>
        </w:rPr>
        <w:t>跟踪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，</w:t>
      </w:r>
      <w:bookmarkStart w:id="0" w:name="_GoBack"/>
      <w:bookmarkEnd w:id="0"/>
      <w:r w:rsidRPr="0004297B">
        <w:rPr>
          <w:rFonts w:ascii="&amp;quot" w:eastAsia="宋体" w:hAnsi="&amp;quot" w:cs="宋体"/>
          <w:color w:val="000000"/>
          <w:kern w:val="0"/>
          <w:szCs w:val="21"/>
        </w:rPr>
        <w:t>并响应</w:t>
      </w:r>
      <w:r w:rsidR="00647D6E">
        <w:rPr>
          <w:rFonts w:ascii="&amp;quot" w:eastAsia="宋体" w:hAnsi="&amp;quot" w:cs="宋体" w:hint="eastAsia"/>
          <w:color w:val="000000"/>
          <w:kern w:val="0"/>
          <w:szCs w:val="21"/>
        </w:rPr>
        <w:t>对</w:t>
      </w:r>
      <w:r w:rsidR="00647D6E" w:rsidRPr="0004297B">
        <w:rPr>
          <w:rFonts w:ascii="&amp;quot" w:eastAsia="宋体" w:hAnsi="&amp;quot" w:cs="宋体"/>
          <w:color w:val="000000"/>
          <w:kern w:val="0"/>
          <w:szCs w:val="21"/>
        </w:rPr>
        <w:t>系统和控制</w:t>
      </w:r>
      <w:r w:rsidR="00647D6E">
        <w:rPr>
          <w:rFonts w:ascii="&amp;quot" w:eastAsia="宋体" w:hAnsi="&amp;quot" w:cs="宋体" w:hint="eastAsia"/>
          <w:color w:val="000000"/>
          <w:kern w:val="0"/>
          <w:szCs w:val="21"/>
        </w:rPr>
        <w:t>上的</w:t>
      </w:r>
      <w:r w:rsidRPr="0004297B">
        <w:rPr>
          <w:rFonts w:ascii="&amp;quot" w:eastAsia="宋体" w:hAnsi="&amp;quot" w:cs="宋体"/>
          <w:color w:val="000000"/>
          <w:kern w:val="0"/>
          <w:szCs w:val="21"/>
        </w:rPr>
        <w:t>独立审计。</w:t>
      </w:r>
    </w:p>
    <w:p w:rsidR="00A44931" w:rsidRDefault="00A44931" w:rsidP="006E252B"/>
    <w:sectPr w:rsidR="00A44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13"/>
    <w:rsid w:val="00014813"/>
    <w:rsid w:val="0004297B"/>
    <w:rsid w:val="001450CD"/>
    <w:rsid w:val="001A465B"/>
    <w:rsid w:val="00647D6E"/>
    <w:rsid w:val="006E252B"/>
    <w:rsid w:val="0098300F"/>
    <w:rsid w:val="00A44931"/>
    <w:rsid w:val="00E30142"/>
    <w:rsid w:val="00E3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B9F00-D822-4366-A7F0-59EA72C8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04297B"/>
  </w:style>
  <w:style w:type="character" w:customStyle="1" w:styleId="high-light-bg">
    <w:name w:val="high-light-bg"/>
    <w:basedOn w:val="a0"/>
    <w:rsid w:val="00E3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791">
          <w:marLeft w:val="0"/>
          <w:marRight w:val="0"/>
          <w:marTop w:val="0"/>
          <w:marBottom w:val="0"/>
          <w:divBdr>
            <w:top w:val="single" w:sz="6" w:space="0" w:color="4395FF"/>
            <w:left w:val="single" w:sz="6" w:space="0" w:color="4395FF"/>
            <w:bottom w:val="single" w:sz="6" w:space="0" w:color="4395FF"/>
            <w:right w:val="single" w:sz="6" w:space="0" w:color="4395FF"/>
          </w:divBdr>
          <w:divsChild>
            <w:div w:id="2057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5114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1891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1108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80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291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8629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7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606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12548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6</cp:revision>
  <dcterms:created xsi:type="dcterms:W3CDTF">2019-01-11T12:10:00Z</dcterms:created>
  <dcterms:modified xsi:type="dcterms:W3CDTF">2019-01-12T13:32:00Z</dcterms:modified>
</cp:coreProperties>
</file>