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1239F"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562AD0E5"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709D1E1B"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456F247E"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263DB39D" w14:textId="5698F801" w:rsidR="00A52ADA" w:rsidRPr="00A52ADA" w:rsidRDefault="00A52ADA" w:rsidP="000959EB">
      <w:pPr>
        <w:spacing w:before="100" w:beforeAutospacing="1" w:after="100" w:afterAutospacing="1" w:line="240" w:lineRule="auto"/>
        <w:jc w:val="center"/>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Leveraging Artificial Intelligence for Public Sector Efficiency: A Case Study on AI in Fraud Detection at the UK's Department for Work and Pensions (DWP)</w:t>
      </w:r>
    </w:p>
    <w:p w14:paraId="16D4C7C6"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424DF5AB"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13A89E87"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47084EE9" w14:textId="43D669E0"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Patrick Pacheco</w:t>
      </w:r>
    </w:p>
    <w:p w14:paraId="2A38642D" w14:textId="77777777" w:rsidR="000959EB" w:rsidRDefault="00A52ADA"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A52ADA">
        <w:rPr>
          <w:rFonts w:ascii="Times New Roman" w:eastAsia="Times New Roman" w:hAnsi="Times New Roman" w:cs="Times New Roman"/>
          <w:kern w:val="0"/>
          <w14:ligatures w14:val="none"/>
        </w:rPr>
        <w:br/>
      </w:r>
    </w:p>
    <w:p w14:paraId="3B58DC14"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282042B6" w14:textId="5067DB67" w:rsidR="00A52ADA"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ITAI – Artificial Intel Applications</w:t>
      </w:r>
      <w:r w:rsidR="00A52ADA" w:rsidRPr="00A52ADA">
        <w:rPr>
          <w:rFonts w:ascii="Times New Roman" w:eastAsia="Times New Roman" w:hAnsi="Times New Roman" w:cs="Times New Roman"/>
          <w:kern w:val="0"/>
          <w14:ligatures w14:val="none"/>
        </w:rPr>
        <w:br/>
      </w:r>
    </w:p>
    <w:p w14:paraId="20D67C61"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265B3579"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086D0956"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12C5615B"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33D2C080"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3C03875C"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5A29B4BA"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666A4685"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6F655032"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6F3E397F" w14:textId="77777777" w:rsidR="000959EB" w:rsidRPr="00A52ADA"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7BA951FA" w14:textId="0AFD402D" w:rsidR="00A52ADA" w:rsidRPr="00A52ADA" w:rsidRDefault="00A52ADA" w:rsidP="000959EB">
      <w:pPr>
        <w:spacing w:after="0"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lastRenderedPageBreak/>
        <w:t>Introduction</w:t>
      </w:r>
    </w:p>
    <w:p w14:paraId="29BADE7B"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Artificial Intelligence (AI) has become an indispensable tool in the modern public sector, revolutionizing how governments deliver services, ensure compliance, and enhance public safety. From public health management and disaster response to infrastructure maintenance and fraud detection, AI technologies are helping agencies tackle complex problems more efficiently and at scale. The growing reliance on digital data and the increasing complexity of governance challenges have driven governments worldwide to explore AI-driven solutions. The COVID-19 pandemic further accelerated the adoption of AI in various public services, as authorities grappled with real-time data analysis, citizen outreach, and crisis management.</w:t>
      </w:r>
    </w:p>
    <w:p w14:paraId="00F5D580"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This report examines the use of AI in fraud detection, focusing on a case study from the United Kingdom's Department for Work and Pensions (DWP). As one of the largest government departments in the UK, the DWP oversees substantial welfare programs that impact millions of citizens. Given the financial scale of its operations, fraud and overpayments pose serious risks to fiscal sustainability and public trust. This report analyzes the problem addressed, the AI techniques employed, the results achieved, and the challenges encountered. The report concludes with an innovative proposal to enhance the current AI application using ethical AI frameworks and real-time analytics. The discussion also explores broader implications for other government agencies considering similar digital transformations.</w:t>
      </w:r>
    </w:p>
    <w:p w14:paraId="5C219A9A" w14:textId="2D26ACBE" w:rsidR="00A52ADA" w:rsidRPr="00A52ADA" w:rsidRDefault="00A52ADA" w:rsidP="000959EB">
      <w:pPr>
        <w:spacing w:after="0"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Case Study Analysis</w:t>
      </w:r>
    </w:p>
    <w:p w14:paraId="1034FBF6"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Problem or Need Addressed</w:t>
      </w:r>
    </w:p>
    <w:p w14:paraId="5BB2C310" w14:textId="3FBDCF0D"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The UK Department for Work and Pensions administers various welfare programs, including Universal Credit, Jobseeker's Allowance, Employment and Support Allowance, and State Pension. These programs are critical for millions of citizens but are also vulnerable to fraud and overpayment. In 2020, the DWP estimated overpayments due to fraud and error in Universal Credit alone at 9.4%, costing taxpayers billions annually. Moreover, fraudulent claims undermine the integrity of welfare systems, erode public confidence, and divert resources from genuinely needy claimants.</w:t>
      </w:r>
    </w:p>
    <w:p w14:paraId="73F22D94"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Traditional fraud detection methods were limited by their dependence on manual audits and retrospective analysis, leading to delayed identification of fraudulent activity and inefficiencies in fund distribution. Human auditors faced overwhelming caseloads and struggled to detect subtle or complex fraud schemes involving identity theft, false documentation, or collusion. With rising volumes of benefit claims and increasing digitization of services, there was a pressing need for scalable, intelligent tools that could operate in real time and reduce administrative bottlenecks.</w:t>
      </w:r>
    </w:p>
    <w:p w14:paraId="2CCB6EC5"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AI Tools or Techniques Implemented</w:t>
      </w:r>
    </w:p>
    <w:p w14:paraId="1365338A" w14:textId="1E2522AC"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The DWP implemented a range of AI and machine learning tools</w:t>
      </w:r>
      <w:r w:rsidR="000959EB">
        <w:rPr>
          <w:rFonts w:ascii="Times New Roman" w:eastAsia="Times New Roman" w:hAnsi="Times New Roman" w:cs="Times New Roman"/>
          <w:kern w:val="0"/>
          <w14:ligatures w14:val="none"/>
        </w:rPr>
        <w:t xml:space="preserve"> to combat welfare fraud effectively</w:t>
      </w:r>
      <w:r w:rsidRPr="00A52ADA">
        <w:rPr>
          <w:rFonts w:ascii="Times New Roman" w:eastAsia="Times New Roman" w:hAnsi="Times New Roman" w:cs="Times New Roman"/>
          <w:kern w:val="0"/>
          <w14:ligatures w14:val="none"/>
        </w:rPr>
        <w:t>. These were designed to detect suspicious patterns, flag high-risk claims, and support investigators in prioritizing their work. Key components included:</w:t>
      </w:r>
    </w:p>
    <w:p w14:paraId="2C7702E9" w14:textId="77777777" w:rsidR="00A52ADA" w:rsidRPr="00A52ADA" w:rsidRDefault="00A52ADA" w:rsidP="00A52AD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lastRenderedPageBreak/>
        <w:t>Predictive Analytics:</w:t>
      </w:r>
      <w:r w:rsidRPr="00A52ADA">
        <w:rPr>
          <w:rFonts w:ascii="Times New Roman" w:eastAsia="Times New Roman" w:hAnsi="Times New Roman" w:cs="Times New Roman"/>
          <w:kern w:val="0"/>
          <w14:ligatures w14:val="none"/>
        </w:rPr>
        <w:t xml:space="preserve"> Machine learning algorithms were trained on historical claims data to identify patterns and anomalies indicative of fraud. Supervised learning models such as decision trees, random forests, and gradient boosting were used to classify claims as low, medium, or high risk based on features such as claim history, employment records, and transaction patterns. The system was designed to self-improve through continuous learning.</w:t>
      </w:r>
    </w:p>
    <w:p w14:paraId="6CB76CF3" w14:textId="77777777" w:rsidR="00A52ADA" w:rsidRPr="00A52ADA" w:rsidRDefault="00A52ADA" w:rsidP="00A52AD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Natural Language Processing (NLP):</w:t>
      </w:r>
      <w:r w:rsidRPr="00A52ADA">
        <w:rPr>
          <w:rFonts w:ascii="Times New Roman" w:eastAsia="Times New Roman" w:hAnsi="Times New Roman" w:cs="Times New Roman"/>
          <w:kern w:val="0"/>
          <w14:ligatures w14:val="none"/>
        </w:rPr>
        <w:t xml:space="preserve"> NLP tools analyzed unstructured text data from claimant communications, emails, and even social media to flag inconsistencies or potentially fraudulent narratives. Text mining techniques allowed the DWP to scan for certain keywords, sentiment patterns, or discrepancies between written and reported facts, enhancing contextual understanding beyond numerical indicators.</w:t>
      </w:r>
    </w:p>
    <w:p w14:paraId="53DB8AFB" w14:textId="77777777" w:rsidR="00A52ADA" w:rsidRPr="00A52ADA" w:rsidRDefault="00A52ADA" w:rsidP="00A52AD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Behavioral Analytics:</w:t>
      </w:r>
      <w:r w:rsidRPr="00A52ADA">
        <w:rPr>
          <w:rFonts w:ascii="Times New Roman" w:eastAsia="Times New Roman" w:hAnsi="Times New Roman" w:cs="Times New Roman"/>
          <w:kern w:val="0"/>
          <w14:ligatures w14:val="none"/>
        </w:rPr>
        <w:t xml:space="preserve"> AI systems monitored user behavior during application processes to detect suspicious actions such as repeated form submissions, erratic keystroke patterns, or sudden changes in user information. These behavioral markers were incorporated into risk scoring models, enhancing fraud detection by identifying deceitful behavior patterns.</w:t>
      </w:r>
    </w:p>
    <w:p w14:paraId="286F9DD2" w14:textId="77777777" w:rsidR="00A52ADA" w:rsidRPr="00A52ADA" w:rsidRDefault="00A52ADA" w:rsidP="00A52AD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Data Integration Platforms:</w:t>
      </w:r>
      <w:r w:rsidRPr="00A52ADA">
        <w:rPr>
          <w:rFonts w:ascii="Times New Roman" w:eastAsia="Times New Roman" w:hAnsi="Times New Roman" w:cs="Times New Roman"/>
          <w:kern w:val="0"/>
          <w14:ligatures w14:val="none"/>
        </w:rPr>
        <w:t xml:space="preserve"> The AI system aggregated data from multiple government sources including tax records from HM Revenue &amp; Customs (HMRC), immigration databases from the Home Office, and financial information from banks. Cross-validation of claimant information helped detect fabricated identities, undisclosed income, or double claiming across programs. These integrations were key to enhancing data veracity.</w:t>
      </w:r>
    </w:p>
    <w:p w14:paraId="5D064493"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These tools enabled the DWP to create a risk score for each claim, which guided the prioritization of investigations. Claims flagged as high risk were subjected to additional scrutiny or referred for manual investigation, while low-risk claims were processed more quickly to ensure timely assistance to genuine beneficiaries.</w:t>
      </w:r>
    </w:p>
    <w:p w14:paraId="54819996"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Outcomes and Benefits Achieved</w:t>
      </w:r>
    </w:p>
    <w:p w14:paraId="0AEDF5B3"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The implementation of AI-driven fraud detection at the DWP yielded significant benefits across several dimensions:</w:t>
      </w:r>
    </w:p>
    <w:p w14:paraId="65F77E36" w14:textId="77777777" w:rsidR="00A52ADA" w:rsidRPr="00A52ADA" w:rsidRDefault="00A52ADA" w:rsidP="00A52AD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Increased Detection Accuracy:</w:t>
      </w:r>
      <w:r w:rsidRPr="00A52ADA">
        <w:rPr>
          <w:rFonts w:ascii="Times New Roman" w:eastAsia="Times New Roman" w:hAnsi="Times New Roman" w:cs="Times New Roman"/>
          <w:kern w:val="0"/>
          <w14:ligatures w14:val="none"/>
        </w:rPr>
        <w:t xml:space="preserve"> AI models improved the precision of identifying fraudulent claims, reducing false positives (where legitimate claims were wrongly flagged) and false negatives (where fraud went undetected). This led to more reliable decision-making and increased confidence in the system.</w:t>
      </w:r>
    </w:p>
    <w:p w14:paraId="62B1C192" w14:textId="77777777" w:rsidR="00A52ADA" w:rsidRPr="00A52ADA" w:rsidRDefault="00A52ADA" w:rsidP="00A52AD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Cost Savings:</w:t>
      </w:r>
      <w:r w:rsidRPr="00A52ADA">
        <w:rPr>
          <w:rFonts w:ascii="Times New Roman" w:eastAsia="Times New Roman" w:hAnsi="Times New Roman" w:cs="Times New Roman"/>
          <w:kern w:val="0"/>
          <w14:ligatures w14:val="none"/>
        </w:rPr>
        <w:t xml:space="preserve"> The department reported savings in the hundreds of millions of pounds by preventing erroneous payments, identifying overpayments, and reclaiming funds. According to internal reports, AI systems contributed to halting or recovering substantial amounts of money that would otherwise have been lost to fraud, freeing resources for more impactful use.</w:t>
      </w:r>
    </w:p>
    <w:p w14:paraId="585BE3B7" w14:textId="77777777" w:rsidR="00A52ADA" w:rsidRPr="00A52ADA" w:rsidRDefault="00A52ADA" w:rsidP="00A52AD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Operational Efficiency:</w:t>
      </w:r>
      <w:r w:rsidRPr="00A52ADA">
        <w:rPr>
          <w:rFonts w:ascii="Times New Roman" w:eastAsia="Times New Roman" w:hAnsi="Times New Roman" w:cs="Times New Roman"/>
          <w:kern w:val="0"/>
          <w14:ligatures w14:val="none"/>
        </w:rPr>
        <w:t xml:space="preserve"> Investigators were able to focus on high-risk cases, optimizing resource allocation and reducing case backlog. Automated flagging reduced manual workload and improved turnaround times for benefit decisions. As a result, administrative costs were curtailed, and staff productivity increased.</w:t>
      </w:r>
    </w:p>
    <w:p w14:paraId="583BCFFA" w14:textId="77777777" w:rsidR="00A52ADA" w:rsidRPr="00A52ADA" w:rsidRDefault="00A52ADA" w:rsidP="00A52AD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Real-time Monitoring:</w:t>
      </w:r>
      <w:r w:rsidRPr="00A52ADA">
        <w:rPr>
          <w:rFonts w:ascii="Times New Roman" w:eastAsia="Times New Roman" w:hAnsi="Times New Roman" w:cs="Times New Roman"/>
          <w:kern w:val="0"/>
          <w14:ligatures w14:val="none"/>
        </w:rPr>
        <w:t xml:space="preserve"> The AI systems provided continuous oversight, enabling early intervention and proactive fraud mitigation. Dynamic dashboards and risk heatmaps </w:t>
      </w:r>
      <w:r w:rsidRPr="00A52ADA">
        <w:rPr>
          <w:rFonts w:ascii="Times New Roman" w:eastAsia="Times New Roman" w:hAnsi="Times New Roman" w:cs="Times New Roman"/>
          <w:kern w:val="0"/>
          <w14:ligatures w14:val="none"/>
        </w:rPr>
        <w:lastRenderedPageBreak/>
        <w:t>allowed decision-makers to track emerging fraud trends and deploy resources more strategically. This agility proved critical during crisis periods such as the COVID-19 pandemic.</w:t>
      </w:r>
    </w:p>
    <w:p w14:paraId="09A68443" w14:textId="77777777" w:rsidR="00A52ADA" w:rsidRPr="00A52ADA" w:rsidRDefault="00A52ADA" w:rsidP="00A52AD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Scalability:</w:t>
      </w:r>
      <w:r w:rsidRPr="00A52ADA">
        <w:rPr>
          <w:rFonts w:ascii="Times New Roman" w:eastAsia="Times New Roman" w:hAnsi="Times New Roman" w:cs="Times New Roman"/>
          <w:kern w:val="0"/>
          <w14:ligatures w14:val="none"/>
        </w:rPr>
        <w:t xml:space="preserve"> The AI models were scalable and adaptable, allowing the DWP to update them regularly based on new data inputs or changes in fraud tactics. The modular architecture of the AI system supported integration with future technologies and additional data sources, creating a future-proof solution.</w:t>
      </w:r>
    </w:p>
    <w:p w14:paraId="542CBB08" w14:textId="77777777" w:rsidR="00A52ADA" w:rsidRPr="00A52ADA" w:rsidRDefault="00A52ADA" w:rsidP="00A52AD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Enhanced Public Perception:</w:t>
      </w:r>
      <w:r w:rsidRPr="00A52ADA">
        <w:rPr>
          <w:rFonts w:ascii="Times New Roman" w:eastAsia="Times New Roman" w:hAnsi="Times New Roman" w:cs="Times New Roman"/>
          <w:kern w:val="0"/>
          <w14:ligatures w14:val="none"/>
        </w:rPr>
        <w:t xml:space="preserve"> As the accuracy and efficiency of fraud detection improved, public confidence in the welfare system grew. Citizens were more assured that public funds were being responsibly managed and distributed, enhancing the legitimacy of government programs. Transparency and responsiveness became key benefits.</w:t>
      </w:r>
    </w:p>
    <w:p w14:paraId="531000B1"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Overall, AI empowered the DWP to safeguard public funds while enhancing service delivery, reinforcing public trust in the welfare system.</w:t>
      </w:r>
    </w:p>
    <w:p w14:paraId="27F75786"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Challenges or Limitations Observed</w:t>
      </w:r>
    </w:p>
    <w:p w14:paraId="56E5859F"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Despite its successes, the AI deployment faced several challenges and limitations:</w:t>
      </w:r>
    </w:p>
    <w:p w14:paraId="3E440BB7" w14:textId="77777777" w:rsidR="00A52ADA" w:rsidRPr="00A52ADA" w:rsidRDefault="00A52ADA" w:rsidP="00A52A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Bias and Discrimination:</w:t>
      </w:r>
      <w:r w:rsidRPr="00A52ADA">
        <w:rPr>
          <w:rFonts w:ascii="Times New Roman" w:eastAsia="Times New Roman" w:hAnsi="Times New Roman" w:cs="Times New Roman"/>
          <w:kern w:val="0"/>
          <w14:ligatures w14:val="none"/>
        </w:rPr>
        <w:t xml:space="preserve"> There were concerns that the algorithms could unintentionally discriminate against certain demographic groups due to biased training data. For example, if historical data reflected systemic biases against marginalized communities, AI models might replicate or even amplify these patterns. This risk sparked debates about fairness, transparency, and accountability, especially from civil rights organizations.</w:t>
      </w:r>
    </w:p>
    <w:p w14:paraId="538234FC" w14:textId="77777777" w:rsidR="00A52ADA" w:rsidRPr="00A52ADA" w:rsidRDefault="00A52ADA" w:rsidP="00A52A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Lack of Transparency:</w:t>
      </w:r>
      <w:r w:rsidRPr="00A52ADA">
        <w:rPr>
          <w:rFonts w:ascii="Times New Roman" w:eastAsia="Times New Roman" w:hAnsi="Times New Roman" w:cs="Times New Roman"/>
          <w:kern w:val="0"/>
          <w14:ligatures w14:val="none"/>
        </w:rPr>
        <w:t xml:space="preserve"> Critics argued that the "black box" nature of machine learning models made it difficult to understand or contest decisions. Claimants denied benefits based on algorithmic assessments often lacked access to explanations or recourse mechanisms. This opacity raised legal and ethical concerns, and demands for algorithmic transparency intensified.</w:t>
      </w:r>
    </w:p>
    <w:p w14:paraId="453788A7" w14:textId="77777777" w:rsidR="00A52ADA" w:rsidRPr="00A52ADA" w:rsidRDefault="00A52ADA" w:rsidP="00A52A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Public Trust:</w:t>
      </w:r>
      <w:r w:rsidRPr="00A52ADA">
        <w:rPr>
          <w:rFonts w:ascii="Times New Roman" w:eastAsia="Times New Roman" w:hAnsi="Times New Roman" w:cs="Times New Roman"/>
          <w:kern w:val="0"/>
          <w14:ligatures w14:val="none"/>
        </w:rPr>
        <w:t xml:space="preserve"> Privacy advocates and social justice groups raised alarms over data surveillance and the potential for misuse of personal information. The collection and analysis of behavioral data and integration of third-party sources prompted fears about excessive government monitoring. Public backlash threatened the legitimacy of technological solutions.</w:t>
      </w:r>
    </w:p>
    <w:p w14:paraId="7E825817" w14:textId="77777777" w:rsidR="00A52ADA" w:rsidRPr="00A52ADA" w:rsidRDefault="00A52ADA" w:rsidP="00A52A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Dependence on Data Quality:</w:t>
      </w:r>
      <w:r w:rsidRPr="00A52ADA">
        <w:rPr>
          <w:rFonts w:ascii="Times New Roman" w:eastAsia="Times New Roman" w:hAnsi="Times New Roman" w:cs="Times New Roman"/>
          <w:kern w:val="0"/>
          <w14:ligatures w14:val="none"/>
        </w:rPr>
        <w:t xml:space="preserve"> The effectiveness of AI models was heavily contingent on the availability and accuracy of input data. Incomplete, inconsistent, or outdated records compromised model performance and could lead to wrongful flagging or missed fraud. Data governance frameworks were still maturing.</w:t>
      </w:r>
    </w:p>
    <w:p w14:paraId="697A59FF" w14:textId="77777777" w:rsidR="00A52ADA" w:rsidRPr="00A52ADA" w:rsidRDefault="00A52ADA" w:rsidP="00A52A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Regulatory and Ethical Oversight:</w:t>
      </w:r>
      <w:r w:rsidRPr="00A52ADA">
        <w:rPr>
          <w:rFonts w:ascii="Times New Roman" w:eastAsia="Times New Roman" w:hAnsi="Times New Roman" w:cs="Times New Roman"/>
          <w:kern w:val="0"/>
          <w14:ligatures w14:val="none"/>
        </w:rPr>
        <w:t xml:space="preserve"> The rapid implementation outpaced the development of legal and ethical frameworks. There were few clear guidelines on algorithmic accountability, audit procedures, or appeals processes. As a result, oversight bodies struggled to keep pace with technological advancements. Institutional learning </w:t>
      </w:r>
      <w:proofErr w:type="gramStart"/>
      <w:r w:rsidRPr="00A52ADA">
        <w:rPr>
          <w:rFonts w:ascii="Times New Roman" w:eastAsia="Times New Roman" w:hAnsi="Times New Roman" w:cs="Times New Roman"/>
          <w:kern w:val="0"/>
          <w14:ligatures w14:val="none"/>
        </w:rPr>
        <w:t>lagged behind</w:t>
      </w:r>
      <w:proofErr w:type="gramEnd"/>
      <w:r w:rsidRPr="00A52ADA">
        <w:rPr>
          <w:rFonts w:ascii="Times New Roman" w:eastAsia="Times New Roman" w:hAnsi="Times New Roman" w:cs="Times New Roman"/>
          <w:kern w:val="0"/>
          <w14:ligatures w14:val="none"/>
        </w:rPr>
        <w:t xml:space="preserve"> technical innovation.</w:t>
      </w:r>
    </w:p>
    <w:p w14:paraId="15DB7E34" w14:textId="77777777" w:rsidR="00A52ADA" w:rsidRPr="00A52ADA" w:rsidRDefault="00A52ADA" w:rsidP="00A52AD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Resource and Skills Gap:</w:t>
      </w:r>
      <w:r w:rsidRPr="00A52ADA">
        <w:rPr>
          <w:rFonts w:ascii="Times New Roman" w:eastAsia="Times New Roman" w:hAnsi="Times New Roman" w:cs="Times New Roman"/>
          <w:kern w:val="0"/>
          <w14:ligatures w14:val="none"/>
        </w:rPr>
        <w:t xml:space="preserve"> Implementing and maintaining complex AI systems required skilled data scientists, engineers, and compliance officers. Public institutions often </w:t>
      </w:r>
      <w:r w:rsidRPr="00A52ADA">
        <w:rPr>
          <w:rFonts w:ascii="Times New Roman" w:eastAsia="Times New Roman" w:hAnsi="Times New Roman" w:cs="Times New Roman"/>
          <w:kern w:val="0"/>
          <w14:ligatures w14:val="none"/>
        </w:rPr>
        <w:lastRenderedPageBreak/>
        <w:t>struggled to recruit and retain such talent due to budget constraints and competition from the private sector. Talent shortages created technical debt.</w:t>
      </w:r>
    </w:p>
    <w:p w14:paraId="20856051"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These limitations highlighted the need for responsible AI governance and inclusive policymaking that balances efficiency with equity.</w:t>
      </w:r>
    </w:p>
    <w:p w14:paraId="37CCCB95" w14:textId="77777777" w:rsidR="00A52ADA" w:rsidRPr="00A52ADA" w:rsidRDefault="00C828D2" w:rsidP="00A52ADA">
      <w:pPr>
        <w:spacing w:after="0" w:line="240" w:lineRule="auto"/>
        <w:rPr>
          <w:rFonts w:ascii="Times New Roman" w:eastAsia="Times New Roman" w:hAnsi="Times New Roman" w:cs="Times New Roman"/>
          <w:kern w:val="0"/>
          <w14:ligatures w14:val="none"/>
        </w:rPr>
      </w:pPr>
      <w:r w:rsidRPr="00C828D2">
        <w:rPr>
          <w:rFonts w:ascii="Times New Roman" w:eastAsia="Times New Roman" w:hAnsi="Times New Roman" w:cs="Times New Roman"/>
          <w:noProof/>
          <w:kern w:val="0"/>
        </w:rPr>
        <w:pict w14:anchorId="433AD6F9">
          <v:rect id="_x0000_i1027" alt="" style="width:468pt;height:.05pt;mso-width-percent:0;mso-height-percent:0;mso-width-percent:0;mso-height-percent:0" o:hralign="center" o:hrstd="t" o:hr="t" fillcolor="#a0a0a0" stroked="f"/>
        </w:pict>
      </w:r>
    </w:p>
    <w:p w14:paraId="46AAE9E5"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Innovative Proposal</w:t>
      </w:r>
    </w:p>
    <w:p w14:paraId="25DBDD12"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To address the limitations identified in the DWP case and improve AI application in the public sector, the following innovative proposal is suggested:</w:t>
      </w:r>
    </w:p>
    <w:p w14:paraId="7EBCBE12"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Ethical AI and Real-Time Decision Framework</w:t>
      </w:r>
    </w:p>
    <w:p w14:paraId="29D4C422" w14:textId="77777777" w:rsidR="00A52ADA" w:rsidRPr="00A52ADA" w:rsidRDefault="00A52ADA" w:rsidP="00A52AD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Explainable AI (XAI):</w:t>
      </w:r>
      <w:r w:rsidRPr="00A52ADA">
        <w:rPr>
          <w:rFonts w:ascii="Times New Roman" w:eastAsia="Times New Roman" w:hAnsi="Times New Roman" w:cs="Times New Roman"/>
          <w:kern w:val="0"/>
          <w14:ligatures w14:val="none"/>
        </w:rPr>
        <w:t xml:space="preserve"> Implement XAI techniques such as LIME (Local Interpretable Model-agnostic Explanations) or SHAP (</w:t>
      </w:r>
      <w:proofErr w:type="spellStart"/>
      <w:r w:rsidRPr="00A52ADA">
        <w:rPr>
          <w:rFonts w:ascii="Times New Roman" w:eastAsia="Times New Roman" w:hAnsi="Times New Roman" w:cs="Times New Roman"/>
          <w:kern w:val="0"/>
          <w14:ligatures w14:val="none"/>
        </w:rPr>
        <w:t>SHapley</w:t>
      </w:r>
      <w:proofErr w:type="spellEnd"/>
      <w:r w:rsidRPr="00A52ADA">
        <w:rPr>
          <w:rFonts w:ascii="Times New Roman" w:eastAsia="Times New Roman" w:hAnsi="Times New Roman" w:cs="Times New Roman"/>
          <w:kern w:val="0"/>
          <w14:ligatures w14:val="none"/>
        </w:rPr>
        <w:t xml:space="preserve"> Additive </w:t>
      </w:r>
      <w:proofErr w:type="spellStart"/>
      <w:r w:rsidRPr="00A52ADA">
        <w:rPr>
          <w:rFonts w:ascii="Times New Roman" w:eastAsia="Times New Roman" w:hAnsi="Times New Roman" w:cs="Times New Roman"/>
          <w:kern w:val="0"/>
          <w14:ligatures w14:val="none"/>
        </w:rPr>
        <w:t>exPlanations</w:t>
      </w:r>
      <w:proofErr w:type="spellEnd"/>
      <w:r w:rsidRPr="00A52ADA">
        <w:rPr>
          <w:rFonts w:ascii="Times New Roman" w:eastAsia="Times New Roman" w:hAnsi="Times New Roman" w:cs="Times New Roman"/>
          <w:kern w:val="0"/>
          <w14:ligatures w14:val="none"/>
        </w:rPr>
        <w:t>) that make algorithmic decisions interpretable to non-technical stakeholders. This would help claimants understand the rationale behind flagged claims and improve trust in the system.</w:t>
      </w:r>
    </w:p>
    <w:p w14:paraId="62750F1C" w14:textId="77777777" w:rsidR="00A52ADA" w:rsidRPr="00A52ADA" w:rsidRDefault="00A52ADA" w:rsidP="00A52AD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Bias Auditing and Fairness Metrics:</w:t>
      </w:r>
      <w:r w:rsidRPr="00A52ADA">
        <w:rPr>
          <w:rFonts w:ascii="Times New Roman" w:eastAsia="Times New Roman" w:hAnsi="Times New Roman" w:cs="Times New Roman"/>
          <w:kern w:val="0"/>
          <w14:ligatures w14:val="none"/>
        </w:rPr>
        <w:t xml:space="preserve"> Regular audits should be conducted using fairness metrics such as disparate impact, equal opportunity, and equalized odds to identify and mitigate algorithmic bias. Diverse training datasets should be curated to enhance model inclusivity and reduce overfitting to historical norms.</w:t>
      </w:r>
    </w:p>
    <w:p w14:paraId="3FD19F4E" w14:textId="77777777" w:rsidR="00A52ADA" w:rsidRPr="00A52ADA" w:rsidRDefault="00A52ADA" w:rsidP="00A52AD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Real-Time Feedback Loops:</w:t>
      </w:r>
      <w:r w:rsidRPr="00A52ADA">
        <w:rPr>
          <w:rFonts w:ascii="Times New Roman" w:eastAsia="Times New Roman" w:hAnsi="Times New Roman" w:cs="Times New Roman"/>
          <w:kern w:val="0"/>
          <w14:ligatures w14:val="none"/>
        </w:rPr>
        <w:t xml:space="preserve"> Integrate real-time analytics and feedback mechanisms from frontline staff and users to continuously refine the model. Machine learning models should be updated frequently based on feedback from investigators, case outcomes, and claimant appeals.</w:t>
      </w:r>
    </w:p>
    <w:p w14:paraId="67D95005" w14:textId="77777777" w:rsidR="00A52ADA" w:rsidRPr="00A52ADA" w:rsidRDefault="00A52ADA" w:rsidP="00A52AD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Cross-Sector Collaboration:</w:t>
      </w:r>
      <w:r w:rsidRPr="00A52ADA">
        <w:rPr>
          <w:rFonts w:ascii="Times New Roman" w:eastAsia="Times New Roman" w:hAnsi="Times New Roman" w:cs="Times New Roman"/>
          <w:kern w:val="0"/>
          <w14:ligatures w14:val="none"/>
        </w:rPr>
        <w:t xml:space="preserve"> Encourage collaboration between government departments, academic institutions, and civil society to co-develop ethical AI frameworks. Public consultations and transparency reports should be mandated to ensure accountability and foster citizen engagement.</w:t>
      </w:r>
    </w:p>
    <w:p w14:paraId="16DFC41C" w14:textId="77777777" w:rsidR="00A52ADA" w:rsidRPr="00A52ADA" w:rsidRDefault="00A52ADA" w:rsidP="00A52AD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Data Minimization and Privacy Safeguards:</w:t>
      </w:r>
      <w:r w:rsidRPr="00A52ADA">
        <w:rPr>
          <w:rFonts w:ascii="Times New Roman" w:eastAsia="Times New Roman" w:hAnsi="Times New Roman" w:cs="Times New Roman"/>
          <w:kern w:val="0"/>
          <w14:ligatures w14:val="none"/>
        </w:rPr>
        <w:t xml:space="preserve"> Adopt privacy-preserving techniques like differential privacy, homomorphic encryption, and federated learning to protect personal information while leveraging data insights. Data minimization principles should guide collection and storage practices.</w:t>
      </w:r>
    </w:p>
    <w:p w14:paraId="2173160E" w14:textId="77777777" w:rsidR="00A52ADA" w:rsidRPr="00A52ADA" w:rsidRDefault="00A52ADA" w:rsidP="00A52AD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Human-in-the-Loop Systems:</w:t>
      </w:r>
      <w:r w:rsidRPr="00A52ADA">
        <w:rPr>
          <w:rFonts w:ascii="Times New Roman" w:eastAsia="Times New Roman" w:hAnsi="Times New Roman" w:cs="Times New Roman"/>
          <w:kern w:val="0"/>
          <w14:ligatures w14:val="none"/>
        </w:rPr>
        <w:t xml:space="preserve"> Maintain human oversight in high-stakes decisions, allowing investigators to review and override AI recommendations when appropriate. Hybrid systems that blend human judgment with machine intelligence offer the best balance of efficiency and accountability.</w:t>
      </w:r>
    </w:p>
    <w:p w14:paraId="5721CD2F" w14:textId="77777777" w:rsidR="00A52ADA" w:rsidRPr="00A52ADA" w:rsidRDefault="00A52ADA" w:rsidP="00A52AD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Ethical Impact Assessments (EIAs):</w:t>
      </w:r>
      <w:r w:rsidRPr="00A52ADA">
        <w:rPr>
          <w:rFonts w:ascii="Times New Roman" w:eastAsia="Times New Roman" w:hAnsi="Times New Roman" w:cs="Times New Roman"/>
          <w:kern w:val="0"/>
          <w14:ligatures w14:val="none"/>
        </w:rPr>
        <w:t xml:space="preserve"> Require mandatory EIAs before deploying new AI tools, </w:t>
      </w:r>
      <w:proofErr w:type="gramStart"/>
      <w:r w:rsidRPr="00A52ADA">
        <w:rPr>
          <w:rFonts w:ascii="Times New Roman" w:eastAsia="Times New Roman" w:hAnsi="Times New Roman" w:cs="Times New Roman"/>
          <w:kern w:val="0"/>
          <w14:ligatures w14:val="none"/>
        </w:rPr>
        <w:t>similar to</w:t>
      </w:r>
      <w:proofErr w:type="gramEnd"/>
      <w:r w:rsidRPr="00A52ADA">
        <w:rPr>
          <w:rFonts w:ascii="Times New Roman" w:eastAsia="Times New Roman" w:hAnsi="Times New Roman" w:cs="Times New Roman"/>
          <w:kern w:val="0"/>
          <w14:ligatures w14:val="none"/>
        </w:rPr>
        <w:t xml:space="preserve"> environmental impact assessments. These assessments would evaluate potential social, legal, and ethical implications and recommend safeguards.</w:t>
      </w:r>
    </w:p>
    <w:p w14:paraId="46C96375" w14:textId="77777777" w:rsidR="00A52ADA" w:rsidRPr="00A52ADA" w:rsidRDefault="00A52ADA" w:rsidP="00A52AD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Open Algorithm Registries:</w:t>
      </w:r>
      <w:r w:rsidRPr="00A52ADA">
        <w:rPr>
          <w:rFonts w:ascii="Times New Roman" w:eastAsia="Times New Roman" w:hAnsi="Times New Roman" w:cs="Times New Roman"/>
          <w:kern w:val="0"/>
          <w14:ligatures w14:val="none"/>
        </w:rPr>
        <w:t xml:space="preserve"> Maintain publicly accessible registries of government-deployed algorithms detailing their purposes, training datasets, fairness evaluations, and decision criteria. This transparency can reduce suspicion and enable peer reviews by independent researchers.</w:t>
      </w:r>
    </w:p>
    <w:p w14:paraId="36F9621C" w14:textId="77777777" w:rsidR="00A52ADA" w:rsidRPr="00A52ADA" w:rsidRDefault="00A52ADA" w:rsidP="00A52AD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lastRenderedPageBreak/>
        <w:t>Citizen Engagement Portals:</w:t>
      </w:r>
      <w:r w:rsidRPr="00A52ADA">
        <w:rPr>
          <w:rFonts w:ascii="Times New Roman" w:eastAsia="Times New Roman" w:hAnsi="Times New Roman" w:cs="Times New Roman"/>
          <w:kern w:val="0"/>
          <w14:ligatures w14:val="none"/>
        </w:rPr>
        <w:t xml:space="preserve"> Establish platforms for claimants to query decisions, report errors, or submit appeals in a transparent and user-friendly manner. Incorporating digital literacy tools can empower citizens to navigate AI-driven systems confidently.</w:t>
      </w:r>
    </w:p>
    <w:p w14:paraId="1835A783"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This proposal not only enhances the current AI capabilities but also aligns with democratic values, human rights standards, and legal requirements. It sets a benchmark for responsible AI in governance and can be adapted for use in other sectors such as public health, education, or infrastructure.</w:t>
      </w:r>
    </w:p>
    <w:p w14:paraId="5D68102C" w14:textId="77777777" w:rsidR="00A52ADA" w:rsidRPr="00A52ADA" w:rsidRDefault="00C828D2" w:rsidP="00A52ADA">
      <w:pPr>
        <w:spacing w:after="0" w:line="240" w:lineRule="auto"/>
        <w:rPr>
          <w:rFonts w:ascii="Times New Roman" w:eastAsia="Times New Roman" w:hAnsi="Times New Roman" w:cs="Times New Roman"/>
          <w:kern w:val="0"/>
          <w14:ligatures w14:val="none"/>
        </w:rPr>
      </w:pPr>
      <w:r w:rsidRPr="00C828D2">
        <w:rPr>
          <w:rFonts w:ascii="Times New Roman" w:eastAsia="Times New Roman" w:hAnsi="Times New Roman" w:cs="Times New Roman"/>
          <w:noProof/>
          <w:kern w:val="0"/>
        </w:rPr>
        <w:pict w14:anchorId="4355D604">
          <v:rect id="_x0000_i1026" alt="" style="width:468pt;height:.05pt;mso-width-percent:0;mso-height-percent:0;mso-width-percent:0;mso-height-percent:0" o:hralign="center" o:hrstd="t" o:hr="t" fillcolor="#a0a0a0" stroked="f"/>
        </w:pict>
      </w:r>
    </w:p>
    <w:p w14:paraId="7C41620A"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Conclusion</w:t>
      </w:r>
    </w:p>
    <w:p w14:paraId="735B15B6"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The deployment of AI in fraud detection by the UK Department for Work and Pensions exemplifies the transformative potential of artificial intelligence in the public sector. It significantly improved fraud detection accuracy, reduced costs, and streamlined operations. However, the challenges related to bias, transparency, data governance, and public trust underscored the importance of ethical considerations and robust oversight.</w:t>
      </w:r>
    </w:p>
    <w:p w14:paraId="085CDF88"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As governments increasingly rely on AI to deliver essential services, it is critical to adopt a human-centric and transparent approach. By implementing explainable models, fairness audits, privacy safeguards, and participatory governance mechanisms, public institutions can harness the benefits of AI while minimizing risks. The proposed ethical AI framework offers a pathway to more resilient, inclusive, and trustworthy public services.</w:t>
      </w:r>
    </w:p>
    <w:p w14:paraId="6DF813FC"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Looking ahead, the integration of AI into public governance will require continuous learning, collaboration, and innovation. Policymakers, technologists, and citizens must work together to ensure that AI serves the public good and reinforces democratic accountability. As we navigate the opportunities and risks of AI, fostering a culture of ethical responsibility will be essential to securing its benefits for all members of society.</w:t>
      </w:r>
    </w:p>
    <w:p w14:paraId="6123917F" w14:textId="77777777" w:rsidR="00A52ADA" w:rsidRPr="00A52ADA" w:rsidRDefault="00C828D2" w:rsidP="00A52ADA">
      <w:pPr>
        <w:spacing w:after="0" w:line="240" w:lineRule="auto"/>
        <w:rPr>
          <w:rFonts w:ascii="Times New Roman" w:eastAsia="Times New Roman" w:hAnsi="Times New Roman" w:cs="Times New Roman"/>
          <w:kern w:val="0"/>
          <w14:ligatures w14:val="none"/>
        </w:rPr>
      </w:pPr>
      <w:r w:rsidRPr="00C828D2">
        <w:rPr>
          <w:rFonts w:ascii="Times New Roman" w:eastAsia="Times New Roman" w:hAnsi="Times New Roman" w:cs="Times New Roman"/>
          <w:noProof/>
          <w:kern w:val="0"/>
        </w:rPr>
        <w:pict w14:anchorId="4F001CD6">
          <v:rect id="_x0000_i1025" alt="" style="width:468pt;height:.05pt;mso-width-percent:0;mso-height-percent:0;mso-width-percent:0;mso-height-percent:0" o:hralign="center" o:hrstd="t" o:hr="t" fillcolor="#a0a0a0" stroked="f"/>
        </w:pict>
      </w:r>
    </w:p>
    <w:p w14:paraId="2C91A502" w14:textId="77777777" w:rsidR="00A52ADA" w:rsidRPr="00A52ADA" w:rsidRDefault="00A52ADA" w:rsidP="00A52ADA">
      <w:p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b/>
          <w:bCs/>
          <w:kern w:val="0"/>
          <w14:ligatures w14:val="none"/>
        </w:rPr>
        <w:t>References</w:t>
      </w:r>
    </w:p>
    <w:p w14:paraId="6A73F878"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 xml:space="preserve">Department for Work and Pensions. (2021). </w:t>
      </w:r>
      <w:r w:rsidRPr="00A52ADA">
        <w:rPr>
          <w:rFonts w:ascii="Times New Roman" w:eastAsia="Times New Roman" w:hAnsi="Times New Roman" w:cs="Times New Roman"/>
          <w:i/>
          <w:iCs/>
          <w:kern w:val="0"/>
          <w14:ligatures w14:val="none"/>
        </w:rPr>
        <w:t>Annual Report and Accounts 2020-21</w:t>
      </w:r>
      <w:r w:rsidRPr="00A52ADA">
        <w:rPr>
          <w:rFonts w:ascii="Times New Roman" w:eastAsia="Times New Roman" w:hAnsi="Times New Roman" w:cs="Times New Roman"/>
          <w:kern w:val="0"/>
          <w14:ligatures w14:val="none"/>
        </w:rPr>
        <w:t>. UK Government.</w:t>
      </w:r>
    </w:p>
    <w:p w14:paraId="7E0FFD04"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 xml:space="preserve">House of Commons Work and Pensions Committee. (2022). </w:t>
      </w:r>
      <w:r w:rsidRPr="00A52ADA">
        <w:rPr>
          <w:rFonts w:ascii="Times New Roman" w:eastAsia="Times New Roman" w:hAnsi="Times New Roman" w:cs="Times New Roman"/>
          <w:i/>
          <w:iCs/>
          <w:kern w:val="0"/>
          <w14:ligatures w14:val="none"/>
        </w:rPr>
        <w:t>Universal Credit: The wait for a first payment</w:t>
      </w:r>
      <w:r w:rsidRPr="00A52ADA">
        <w:rPr>
          <w:rFonts w:ascii="Times New Roman" w:eastAsia="Times New Roman" w:hAnsi="Times New Roman" w:cs="Times New Roman"/>
          <w:kern w:val="0"/>
          <w14:ligatures w14:val="none"/>
        </w:rPr>
        <w:t>. UK Parliament.</w:t>
      </w:r>
    </w:p>
    <w:p w14:paraId="466A7219"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 xml:space="preserve">Ada Lovelace Institute. (2021). </w:t>
      </w:r>
      <w:r w:rsidRPr="00A52ADA">
        <w:rPr>
          <w:rFonts w:ascii="Times New Roman" w:eastAsia="Times New Roman" w:hAnsi="Times New Roman" w:cs="Times New Roman"/>
          <w:i/>
          <w:iCs/>
          <w:kern w:val="0"/>
          <w14:ligatures w14:val="none"/>
        </w:rPr>
        <w:t>Examining the use of algorithmic decision-making in public services</w:t>
      </w:r>
      <w:r w:rsidRPr="00A52ADA">
        <w:rPr>
          <w:rFonts w:ascii="Times New Roman" w:eastAsia="Times New Roman" w:hAnsi="Times New Roman" w:cs="Times New Roman"/>
          <w:kern w:val="0"/>
          <w14:ligatures w14:val="none"/>
        </w:rPr>
        <w:t>.</w:t>
      </w:r>
    </w:p>
    <w:p w14:paraId="7CA7F548"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 xml:space="preserve">Goodman, B., &amp; Flaxman, S. (2017). </w:t>
      </w:r>
      <w:r w:rsidRPr="00A52ADA">
        <w:rPr>
          <w:rFonts w:ascii="Times New Roman" w:eastAsia="Times New Roman" w:hAnsi="Times New Roman" w:cs="Times New Roman"/>
          <w:i/>
          <w:iCs/>
          <w:kern w:val="0"/>
          <w14:ligatures w14:val="none"/>
        </w:rPr>
        <w:t>European Union regulations on algorithmic decision-making and a “right to explanation”</w:t>
      </w:r>
      <w:r w:rsidRPr="00A52ADA">
        <w:rPr>
          <w:rFonts w:ascii="Times New Roman" w:eastAsia="Times New Roman" w:hAnsi="Times New Roman" w:cs="Times New Roman"/>
          <w:kern w:val="0"/>
          <w14:ligatures w14:val="none"/>
        </w:rPr>
        <w:t>. AI Magazine.</w:t>
      </w:r>
    </w:p>
    <w:p w14:paraId="5279C0F1"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 xml:space="preserve">Leslie, D. (2019). </w:t>
      </w:r>
      <w:r w:rsidRPr="00A52ADA">
        <w:rPr>
          <w:rFonts w:ascii="Times New Roman" w:eastAsia="Times New Roman" w:hAnsi="Times New Roman" w:cs="Times New Roman"/>
          <w:i/>
          <w:iCs/>
          <w:kern w:val="0"/>
          <w14:ligatures w14:val="none"/>
        </w:rPr>
        <w:t>Understanding artificial intelligence ethics and safety</w:t>
      </w:r>
      <w:r w:rsidRPr="00A52ADA">
        <w:rPr>
          <w:rFonts w:ascii="Times New Roman" w:eastAsia="Times New Roman" w:hAnsi="Times New Roman" w:cs="Times New Roman"/>
          <w:kern w:val="0"/>
          <w14:ligatures w14:val="none"/>
        </w:rPr>
        <w:t>. Alan Turing Institute.</w:t>
      </w:r>
    </w:p>
    <w:p w14:paraId="23EBCC12"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lastRenderedPageBreak/>
        <w:t xml:space="preserve">Raji, I. D., &amp; </w:t>
      </w:r>
      <w:proofErr w:type="spellStart"/>
      <w:r w:rsidRPr="00A52ADA">
        <w:rPr>
          <w:rFonts w:ascii="Times New Roman" w:eastAsia="Times New Roman" w:hAnsi="Times New Roman" w:cs="Times New Roman"/>
          <w:kern w:val="0"/>
          <w14:ligatures w14:val="none"/>
        </w:rPr>
        <w:t>Buolamwini</w:t>
      </w:r>
      <w:proofErr w:type="spellEnd"/>
      <w:r w:rsidRPr="00A52ADA">
        <w:rPr>
          <w:rFonts w:ascii="Times New Roman" w:eastAsia="Times New Roman" w:hAnsi="Times New Roman" w:cs="Times New Roman"/>
          <w:kern w:val="0"/>
          <w14:ligatures w14:val="none"/>
        </w:rPr>
        <w:t xml:space="preserve">, J. (2019). </w:t>
      </w:r>
      <w:r w:rsidRPr="00A52ADA">
        <w:rPr>
          <w:rFonts w:ascii="Times New Roman" w:eastAsia="Times New Roman" w:hAnsi="Times New Roman" w:cs="Times New Roman"/>
          <w:i/>
          <w:iCs/>
          <w:kern w:val="0"/>
          <w14:ligatures w14:val="none"/>
        </w:rPr>
        <w:t>Actionable auditing: Investigating the impact of publicly naming biased performance results of commercial AI products</w:t>
      </w:r>
      <w:r w:rsidRPr="00A52ADA">
        <w:rPr>
          <w:rFonts w:ascii="Times New Roman" w:eastAsia="Times New Roman" w:hAnsi="Times New Roman" w:cs="Times New Roman"/>
          <w:kern w:val="0"/>
          <w14:ligatures w14:val="none"/>
        </w:rPr>
        <w:t>. Proceedings of the 2019 AAAI/ACM Conference on AI, Ethics, and Society.</w:t>
      </w:r>
    </w:p>
    <w:p w14:paraId="2800A54F"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 xml:space="preserve">Wachter, S., Mittelstadt, B., &amp; </w:t>
      </w:r>
      <w:proofErr w:type="spellStart"/>
      <w:r w:rsidRPr="00A52ADA">
        <w:rPr>
          <w:rFonts w:ascii="Times New Roman" w:eastAsia="Times New Roman" w:hAnsi="Times New Roman" w:cs="Times New Roman"/>
          <w:kern w:val="0"/>
          <w14:ligatures w14:val="none"/>
        </w:rPr>
        <w:t>Floridi</w:t>
      </w:r>
      <w:proofErr w:type="spellEnd"/>
      <w:r w:rsidRPr="00A52ADA">
        <w:rPr>
          <w:rFonts w:ascii="Times New Roman" w:eastAsia="Times New Roman" w:hAnsi="Times New Roman" w:cs="Times New Roman"/>
          <w:kern w:val="0"/>
          <w14:ligatures w14:val="none"/>
        </w:rPr>
        <w:t xml:space="preserve">, L. (2017). </w:t>
      </w:r>
      <w:r w:rsidRPr="00A52ADA">
        <w:rPr>
          <w:rFonts w:ascii="Times New Roman" w:eastAsia="Times New Roman" w:hAnsi="Times New Roman" w:cs="Times New Roman"/>
          <w:i/>
          <w:iCs/>
          <w:kern w:val="0"/>
          <w14:ligatures w14:val="none"/>
        </w:rPr>
        <w:t>Why a right to explanation of automated decision-making does not exist in the General Data Protection Regulation</w:t>
      </w:r>
      <w:r w:rsidRPr="00A52ADA">
        <w:rPr>
          <w:rFonts w:ascii="Times New Roman" w:eastAsia="Times New Roman" w:hAnsi="Times New Roman" w:cs="Times New Roman"/>
          <w:kern w:val="0"/>
          <w14:ligatures w14:val="none"/>
        </w:rPr>
        <w:t>. International Data Privacy Law.</w:t>
      </w:r>
    </w:p>
    <w:p w14:paraId="3BD28837"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 xml:space="preserve">Binns, R. (2018). </w:t>
      </w:r>
      <w:r w:rsidRPr="00A52ADA">
        <w:rPr>
          <w:rFonts w:ascii="Times New Roman" w:eastAsia="Times New Roman" w:hAnsi="Times New Roman" w:cs="Times New Roman"/>
          <w:i/>
          <w:iCs/>
          <w:kern w:val="0"/>
          <w14:ligatures w14:val="none"/>
        </w:rPr>
        <w:t>Fairness in machine learning: Lessons from political philosophy</w:t>
      </w:r>
      <w:r w:rsidRPr="00A52ADA">
        <w:rPr>
          <w:rFonts w:ascii="Times New Roman" w:eastAsia="Times New Roman" w:hAnsi="Times New Roman" w:cs="Times New Roman"/>
          <w:kern w:val="0"/>
          <w14:ligatures w14:val="none"/>
        </w:rPr>
        <w:t>. Proceedings of the 2018 Conference on Fairness, Accountability and Transparency.</w:t>
      </w:r>
    </w:p>
    <w:p w14:paraId="16C06885"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 xml:space="preserve">Eubanks, V. (2018). </w:t>
      </w:r>
      <w:r w:rsidRPr="00A52ADA">
        <w:rPr>
          <w:rFonts w:ascii="Times New Roman" w:eastAsia="Times New Roman" w:hAnsi="Times New Roman" w:cs="Times New Roman"/>
          <w:i/>
          <w:iCs/>
          <w:kern w:val="0"/>
          <w14:ligatures w14:val="none"/>
        </w:rPr>
        <w:t>Automating Inequality: How High-Tech Tools Profile, Police, and Punish the Poor</w:t>
      </w:r>
      <w:r w:rsidRPr="00A52ADA">
        <w:rPr>
          <w:rFonts w:ascii="Times New Roman" w:eastAsia="Times New Roman" w:hAnsi="Times New Roman" w:cs="Times New Roman"/>
          <w:kern w:val="0"/>
          <w14:ligatures w14:val="none"/>
        </w:rPr>
        <w:t>. St. Martin's Press.</w:t>
      </w:r>
    </w:p>
    <w:p w14:paraId="6E76752E" w14:textId="77777777" w:rsidR="00A52ADA" w:rsidRPr="00A52ADA" w:rsidRDefault="00A52ADA" w:rsidP="00A52AD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52ADA">
        <w:rPr>
          <w:rFonts w:ascii="Times New Roman" w:eastAsia="Times New Roman" w:hAnsi="Times New Roman" w:cs="Times New Roman"/>
          <w:kern w:val="0"/>
          <w14:ligatures w14:val="none"/>
        </w:rPr>
        <w:t xml:space="preserve">Morley, J., </w:t>
      </w:r>
      <w:proofErr w:type="spellStart"/>
      <w:r w:rsidRPr="00A52ADA">
        <w:rPr>
          <w:rFonts w:ascii="Times New Roman" w:eastAsia="Times New Roman" w:hAnsi="Times New Roman" w:cs="Times New Roman"/>
          <w:kern w:val="0"/>
          <w14:ligatures w14:val="none"/>
        </w:rPr>
        <w:t>Floridi</w:t>
      </w:r>
      <w:proofErr w:type="spellEnd"/>
      <w:r w:rsidRPr="00A52ADA">
        <w:rPr>
          <w:rFonts w:ascii="Times New Roman" w:eastAsia="Times New Roman" w:hAnsi="Times New Roman" w:cs="Times New Roman"/>
          <w:kern w:val="0"/>
          <w14:ligatures w14:val="none"/>
        </w:rPr>
        <w:t xml:space="preserve">, L., Kinsey, L., &amp; </w:t>
      </w:r>
      <w:proofErr w:type="spellStart"/>
      <w:r w:rsidRPr="00A52ADA">
        <w:rPr>
          <w:rFonts w:ascii="Times New Roman" w:eastAsia="Times New Roman" w:hAnsi="Times New Roman" w:cs="Times New Roman"/>
          <w:kern w:val="0"/>
          <w14:ligatures w14:val="none"/>
        </w:rPr>
        <w:t>Elhalal</w:t>
      </w:r>
      <w:proofErr w:type="spellEnd"/>
      <w:r w:rsidRPr="00A52ADA">
        <w:rPr>
          <w:rFonts w:ascii="Times New Roman" w:eastAsia="Times New Roman" w:hAnsi="Times New Roman" w:cs="Times New Roman"/>
          <w:kern w:val="0"/>
          <w14:ligatures w14:val="none"/>
        </w:rPr>
        <w:t xml:space="preserve">, A. (2020). </w:t>
      </w:r>
      <w:r w:rsidRPr="00A52ADA">
        <w:rPr>
          <w:rFonts w:ascii="Times New Roman" w:eastAsia="Times New Roman" w:hAnsi="Times New Roman" w:cs="Times New Roman"/>
          <w:i/>
          <w:iCs/>
          <w:kern w:val="0"/>
          <w14:ligatures w14:val="none"/>
        </w:rPr>
        <w:t>From What to How: An Initial Review of Public Sector AI Ethics Guidelines</w:t>
      </w:r>
      <w:r w:rsidRPr="00A52ADA">
        <w:rPr>
          <w:rFonts w:ascii="Times New Roman" w:eastAsia="Times New Roman" w:hAnsi="Times New Roman" w:cs="Times New Roman"/>
          <w:kern w:val="0"/>
          <w14:ligatures w14:val="none"/>
        </w:rPr>
        <w:t>. Science and Engineering Ethics.</w:t>
      </w:r>
    </w:p>
    <w:p w14:paraId="5073282C" w14:textId="77777777" w:rsidR="00A52ADA" w:rsidRPr="00A52ADA" w:rsidRDefault="00A52ADA" w:rsidP="00A52ADA"/>
    <w:sectPr w:rsidR="00A52ADA" w:rsidRPr="00A5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46C4"/>
    <w:multiLevelType w:val="multilevel"/>
    <w:tmpl w:val="FF9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634"/>
    <w:multiLevelType w:val="multilevel"/>
    <w:tmpl w:val="769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92B8E"/>
    <w:multiLevelType w:val="multilevel"/>
    <w:tmpl w:val="421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31"/>
    <w:multiLevelType w:val="multilevel"/>
    <w:tmpl w:val="33C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87BEA"/>
    <w:multiLevelType w:val="multilevel"/>
    <w:tmpl w:val="2930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D3433"/>
    <w:multiLevelType w:val="multilevel"/>
    <w:tmpl w:val="7D4C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E6FC5"/>
    <w:multiLevelType w:val="multilevel"/>
    <w:tmpl w:val="595A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D7FBD"/>
    <w:multiLevelType w:val="multilevel"/>
    <w:tmpl w:val="7570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B4021"/>
    <w:multiLevelType w:val="multilevel"/>
    <w:tmpl w:val="03E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9209D"/>
    <w:multiLevelType w:val="multilevel"/>
    <w:tmpl w:val="AFD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35E84"/>
    <w:multiLevelType w:val="multilevel"/>
    <w:tmpl w:val="5E9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121DE"/>
    <w:multiLevelType w:val="multilevel"/>
    <w:tmpl w:val="D0F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3C77"/>
    <w:multiLevelType w:val="multilevel"/>
    <w:tmpl w:val="D8AC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94D83"/>
    <w:multiLevelType w:val="multilevel"/>
    <w:tmpl w:val="D7E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A67A7"/>
    <w:multiLevelType w:val="multilevel"/>
    <w:tmpl w:val="74B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A1086"/>
    <w:multiLevelType w:val="multilevel"/>
    <w:tmpl w:val="38F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A65D5"/>
    <w:multiLevelType w:val="multilevel"/>
    <w:tmpl w:val="B5FE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66794"/>
    <w:multiLevelType w:val="multilevel"/>
    <w:tmpl w:val="DF9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D5350"/>
    <w:multiLevelType w:val="multilevel"/>
    <w:tmpl w:val="B456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9331B"/>
    <w:multiLevelType w:val="multilevel"/>
    <w:tmpl w:val="81EC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F16D2"/>
    <w:multiLevelType w:val="multilevel"/>
    <w:tmpl w:val="738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ED1ECF"/>
    <w:multiLevelType w:val="multilevel"/>
    <w:tmpl w:val="48D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E7D4B"/>
    <w:multiLevelType w:val="multilevel"/>
    <w:tmpl w:val="E346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36808"/>
    <w:multiLevelType w:val="multilevel"/>
    <w:tmpl w:val="6A92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E0A59"/>
    <w:multiLevelType w:val="multilevel"/>
    <w:tmpl w:val="49AC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7B4423"/>
    <w:multiLevelType w:val="multilevel"/>
    <w:tmpl w:val="7E1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CC6104"/>
    <w:multiLevelType w:val="multilevel"/>
    <w:tmpl w:val="2D92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B37FC1"/>
    <w:multiLevelType w:val="multilevel"/>
    <w:tmpl w:val="BD3E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956EB"/>
    <w:multiLevelType w:val="multilevel"/>
    <w:tmpl w:val="6DE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7026DB"/>
    <w:multiLevelType w:val="multilevel"/>
    <w:tmpl w:val="D67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DD5C09"/>
    <w:multiLevelType w:val="multilevel"/>
    <w:tmpl w:val="34B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10B03"/>
    <w:multiLevelType w:val="multilevel"/>
    <w:tmpl w:val="5100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5272B2"/>
    <w:multiLevelType w:val="multilevel"/>
    <w:tmpl w:val="D980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47F58"/>
    <w:multiLevelType w:val="multilevel"/>
    <w:tmpl w:val="59D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B188A"/>
    <w:multiLevelType w:val="multilevel"/>
    <w:tmpl w:val="12C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82B62"/>
    <w:multiLevelType w:val="multilevel"/>
    <w:tmpl w:val="F9B0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50592B"/>
    <w:multiLevelType w:val="multilevel"/>
    <w:tmpl w:val="26F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BF7B49"/>
    <w:multiLevelType w:val="multilevel"/>
    <w:tmpl w:val="DEB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F0948"/>
    <w:multiLevelType w:val="multilevel"/>
    <w:tmpl w:val="60B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657376"/>
    <w:multiLevelType w:val="multilevel"/>
    <w:tmpl w:val="682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D13FF2"/>
    <w:multiLevelType w:val="multilevel"/>
    <w:tmpl w:val="D2A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DC54CE"/>
    <w:multiLevelType w:val="multilevel"/>
    <w:tmpl w:val="57D0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8E0855"/>
    <w:multiLevelType w:val="multilevel"/>
    <w:tmpl w:val="AF0C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934AED"/>
    <w:multiLevelType w:val="multilevel"/>
    <w:tmpl w:val="4D3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A5001F"/>
    <w:multiLevelType w:val="multilevel"/>
    <w:tmpl w:val="CCC0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C5259A"/>
    <w:multiLevelType w:val="multilevel"/>
    <w:tmpl w:val="8F5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2C738F"/>
    <w:multiLevelType w:val="multilevel"/>
    <w:tmpl w:val="25D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CA1729"/>
    <w:multiLevelType w:val="multilevel"/>
    <w:tmpl w:val="75A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A7360D"/>
    <w:multiLevelType w:val="multilevel"/>
    <w:tmpl w:val="B160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7235B9"/>
    <w:multiLevelType w:val="multilevel"/>
    <w:tmpl w:val="5A52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5467F3"/>
    <w:multiLevelType w:val="multilevel"/>
    <w:tmpl w:val="68B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462265"/>
    <w:multiLevelType w:val="multilevel"/>
    <w:tmpl w:val="640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C303B9"/>
    <w:multiLevelType w:val="multilevel"/>
    <w:tmpl w:val="1D2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E51911"/>
    <w:multiLevelType w:val="multilevel"/>
    <w:tmpl w:val="C5D4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24E53"/>
    <w:multiLevelType w:val="multilevel"/>
    <w:tmpl w:val="20B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BF39D2"/>
    <w:multiLevelType w:val="multilevel"/>
    <w:tmpl w:val="EA10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9A0445"/>
    <w:multiLevelType w:val="multilevel"/>
    <w:tmpl w:val="DF6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1E5644"/>
    <w:multiLevelType w:val="multilevel"/>
    <w:tmpl w:val="539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D314E"/>
    <w:multiLevelType w:val="multilevel"/>
    <w:tmpl w:val="8486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906428">
    <w:abstractNumId w:val="0"/>
  </w:num>
  <w:num w:numId="2" w16cid:durableId="639654924">
    <w:abstractNumId w:val="27"/>
  </w:num>
  <w:num w:numId="3" w16cid:durableId="1812670112">
    <w:abstractNumId w:val="56"/>
  </w:num>
  <w:num w:numId="4" w16cid:durableId="1822774388">
    <w:abstractNumId w:val="55"/>
  </w:num>
  <w:num w:numId="5" w16cid:durableId="1315835312">
    <w:abstractNumId w:val="21"/>
  </w:num>
  <w:num w:numId="6" w16cid:durableId="53892248">
    <w:abstractNumId w:val="11"/>
  </w:num>
  <w:num w:numId="7" w16cid:durableId="511379381">
    <w:abstractNumId w:val="1"/>
  </w:num>
  <w:num w:numId="8" w16cid:durableId="1688361351">
    <w:abstractNumId w:val="51"/>
  </w:num>
  <w:num w:numId="9" w16cid:durableId="919294813">
    <w:abstractNumId w:val="44"/>
  </w:num>
  <w:num w:numId="10" w16cid:durableId="345985999">
    <w:abstractNumId w:val="35"/>
  </w:num>
  <w:num w:numId="11" w16cid:durableId="1023752571">
    <w:abstractNumId w:val="3"/>
  </w:num>
  <w:num w:numId="12" w16cid:durableId="983778609">
    <w:abstractNumId w:val="50"/>
  </w:num>
  <w:num w:numId="13" w16cid:durableId="989097566">
    <w:abstractNumId w:val="23"/>
  </w:num>
  <w:num w:numId="14" w16cid:durableId="1046832376">
    <w:abstractNumId w:val="43"/>
  </w:num>
  <w:num w:numId="15" w16cid:durableId="496194554">
    <w:abstractNumId w:val="31"/>
  </w:num>
  <w:num w:numId="16" w16cid:durableId="310523423">
    <w:abstractNumId w:val="48"/>
  </w:num>
  <w:num w:numId="17" w16cid:durableId="1319532159">
    <w:abstractNumId w:val="46"/>
  </w:num>
  <w:num w:numId="18" w16cid:durableId="1745954188">
    <w:abstractNumId w:val="28"/>
  </w:num>
  <w:num w:numId="19" w16cid:durableId="1726178656">
    <w:abstractNumId w:val="12"/>
  </w:num>
  <w:num w:numId="20" w16cid:durableId="1104615439">
    <w:abstractNumId w:val="52"/>
  </w:num>
  <w:num w:numId="21" w16cid:durableId="164133854">
    <w:abstractNumId w:val="26"/>
  </w:num>
  <w:num w:numId="22" w16cid:durableId="235014893">
    <w:abstractNumId w:val="41"/>
  </w:num>
  <w:num w:numId="23" w16cid:durableId="1026175804">
    <w:abstractNumId w:val="22"/>
  </w:num>
  <w:num w:numId="24" w16cid:durableId="631449158">
    <w:abstractNumId w:val="37"/>
  </w:num>
  <w:num w:numId="25" w16cid:durableId="984435758">
    <w:abstractNumId w:val="2"/>
  </w:num>
  <w:num w:numId="26" w16cid:durableId="516234385">
    <w:abstractNumId w:val="34"/>
  </w:num>
  <w:num w:numId="27" w16cid:durableId="530802267">
    <w:abstractNumId w:val="5"/>
  </w:num>
  <w:num w:numId="28" w16cid:durableId="1645811548">
    <w:abstractNumId w:val="4"/>
  </w:num>
  <w:num w:numId="29" w16cid:durableId="115679274">
    <w:abstractNumId w:val="8"/>
  </w:num>
  <w:num w:numId="30" w16cid:durableId="2118594043">
    <w:abstractNumId w:val="19"/>
  </w:num>
  <w:num w:numId="31" w16cid:durableId="189801992">
    <w:abstractNumId w:val="33"/>
  </w:num>
  <w:num w:numId="32" w16cid:durableId="997615795">
    <w:abstractNumId w:val="17"/>
  </w:num>
  <w:num w:numId="33" w16cid:durableId="764765863">
    <w:abstractNumId w:val="49"/>
  </w:num>
  <w:num w:numId="34" w16cid:durableId="1709866147">
    <w:abstractNumId w:val="47"/>
  </w:num>
  <w:num w:numId="35" w16cid:durableId="853302640">
    <w:abstractNumId w:val="38"/>
  </w:num>
  <w:num w:numId="36" w16cid:durableId="1870682483">
    <w:abstractNumId w:val="39"/>
  </w:num>
  <w:num w:numId="37" w16cid:durableId="1621450333">
    <w:abstractNumId w:val="45"/>
  </w:num>
  <w:num w:numId="38" w16cid:durableId="454717220">
    <w:abstractNumId w:val="53"/>
  </w:num>
  <w:num w:numId="39" w16cid:durableId="2054310357">
    <w:abstractNumId w:val="10"/>
  </w:num>
  <w:num w:numId="40" w16cid:durableId="393741501">
    <w:abstractNumId w:val="18"/>
  </w:num>
  <w:num w:numId="41" w16cid:durableId="1135640130">
    <w:abstractNumId w:val="57"/>
  </w:num>
  <w:num w:numId="42" w16cid:durableId="238635504">
    <w:abstractNumId w:val="54"/>
  </w:num>
  <w:num w:numId="43" w16cid:durableId="1221984355">
    <w:abstractNumId w:val="24"/>
  </w:num>
  <w:num w:numId="44" w16cid:durableId="492068531">
    <w:abstractNumId w:val="13"/>
  </w:num>
  <w:num w:numId="45" w16cid:durableId="125978575">
    <w:abstractNumId w:val="25"/>
  </w:num>
  <w:num w:numId="46" w16cid:durableId="1195115501">
    <w:abstractNumId w:val="15"/>
  </w:num>
  <w:num w:numId="47" w16cid:durableId="1833138885">
    <w:abstractNumId w:val="42"/>
  </w:num>
  <w:num w:numId="48" w16cid:durableId="1632900614">
    <w:abstractNumId w:val="14"/>
  </w:num>
  <w:num w:numId="49" w16cid:durableId="685519976">
    <w:abstractNumId w:val="7"/>
  </w:num>
  <w:num w:numId="50" w16cid:durableId="305167824">
    <w:abstractNumId w:val="16"/>
  </w:num>
  <w:num w:numId="51" w16cid:durableId="1649750902">
    <w:abstractNumId w:val="40"/>
  </w:num>
  <w:num w:numId="52" w16cid:durableId="835918509">
    <w:abstractNumId w:val="20"/>
  </w:num>
  <w:num w:numId="53" w16cid:durableId="290596149">
    <w:abstractNumId w:val="9"/>
  </w:num>
  <w:num w:numId="54" w16cid:durableId="465398478">
    <w:abstractNumId w:val="36"/>
  </w:num>
  <w:num w:numId="55" w16cid:durableId="1580024183">
    <w:abstractNumId w:val="32"/>
  </w:num>
  <w:num w:numId="56" w16cid:durableId="1781799141">
    <w:abstractNumId w:val="30"/>
  </w:num>
  <w:num w:numId="57" w16cid:durableId="191846492">
    <w:abstractNumId w:val="29"/>
  </w:num>
  <w:num w:numId="58" w16cid:durableId="1124154291">
    <w:abstractNumId w:val="58"/>
  </w:num>
  <w:num w:numId="59" w16cid:durableId="1370718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02"/>
    <w:rsid w:val="000959EB"/>
    <w:rsid w:val="000C5C76"/>
    <w:rsid w:val="00216765"/>
    <w:rsid w:val="0027016A"/>
    <w:rsid w:val="00343902"/>
    <w:rsid w:val="00397E39"/>
    <w:rsid w:val="00411FB8"/>
    <w:rsid w:val="00A52ADA"/>
    <w:rsid w:val="00B7215A"/>
    <w:rsid w:val="00BD711B"/>
    <w:rsid w:val="00C8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9880"/>
  <w15:chartTrackingRefBased/>
  <w15:docId w15:val="{55309899-15DD-0D45-8908-6BE5CCE3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3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3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3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3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902"/>
    <w:rPr>
      <w:rFonts w:eastAsiaTheme="majorEastAsia" w:cstheme="majorBidi"/>
      <w:color w:val="272727" w:themeColor="text1" w:themeTint="D8"/>
    </w:rPr>
  </w:style>
  <w:style w:type="paragraph" w:styleId="Title">
    <w:name w:val="Title"/>
    <w:basedOn w:val="Normal"/>
    <w:next w:val="Normal"/>
    <w:link w:val="TitleChar"/>
    <w:uiPriority w:val="10"/>
    <w:qFormat/>
    <w:rsid w:val="00343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902"/>
    <w:pPr>
      <w:spacing w:before="160"/>
      <w:jc w:val="center"/>
    </w:pPr>
    <w:rPr>
      <w:i/>
      <w:iCs/>
      <w:color w:val="404040" w:themeColor="text1" w:themeTint="BF"/>
    </w:rPr>
  </w:style>
  <w:style w:type="character" w:customStyle="1" w:styleId="QuoteChar">
    <w:name w:val="Quote Char"/>
    <w:basedOn w:val="DefaultParagraphFont"/>
    <w:link w:val="Quote"/>
    <w:uiPriority w:val="29"/>
    <w:rsid w:val="00343902"/>
    <w:rPr>
      <w:i/>
      <w:iCs/>
      <w:color w:val="404040" w:themeColor="text1" w:themeTint="BF"/>
    </w:rPr>
  </w:style>
  <w:style w:type="paragraph" w:styleId="ListParagraph">
    <w:name w:val="List Paragraph"/>
    <w:basedOn w:val="Normal"/>
    <w:uiPriority w:val="34"/>
    <w:qFormat/>
    <w:rsid w:val="00343902"/>
    <w:pPr>
      <w:ind w:left="720"/>
      <w:contextualSpacing/>
    </w:pPr>
  </w:style>
  <w:style w:type="character" w:styleId="IntenseEmphasis">
    <w:name w:val="Intense Emphasis"/>
    <w:basedOn w:val="DefaultParagraphFont"/>
    <w:uiPriority w:val="21"/>
    <w:qFormat/>
    <w:rsid w:val="00343902"/>
    <w:rPr>
      <w:i/>
      <w:iCs/>
      <w:color w:val="0F4761" w:themeColor="accent1" w:themeShade="BF"/>
    </w:rPr>
  </w:style>
  <w:style w:type="paragraph" w:styleId="IntenseQuote">
    <w:name w:val="Intense Quote"/>
    <w:basedOn w:val="Normal"/>
    <w:next w:val="Normal"/>
    <w:link w:val="IntenseQuoteChar"/>
    <w:uiPriority w:val="30"/>
    <w:qFormat/>
    <w:rsid w:val="00343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902"/>
    <w:rPr>
      <w:i/>
      <w:iCs/>
      <w:color w:val="0F4761" w:themeColor="accent1" w:themeShade="BF"/>
    </w:rPr>
  </w:style>
  <w:style w:type="character" w:styleId="IntenseReference">
    <w:name w:val="Intense Reference"/>
    <w:basedOn w:val="DefaultParagraphFont"/>
    <w:uiPriority w:val="32"/>
    <w:qFormat/>
    <w:rsid w:val="00343902"/>
    <w:rPr>
      <w:b/>
      <w:bCs/>
      <w:smallCaps/>
      <w:color w:val="0F4761" w:themeColor="accent1" w:themeShade="BF"/>
      <w:spacing w:val="5"/>
    </w:rPr>
  </w:style>
  <w:style w:type="character" w:styleId="Strong">
    <w:name w:val="Strong"/>
    <w:basedOn w:val="DefaultParagraphFont"/>
    <w:uiPriority w:val="22"/>
    <w:qFormat/>
    <w:rsid w:val="00343902"/>
    <w:rPr>
      <w:b/>
      <w:bCs/>
    </w:rPr>
  </w:style>
  <w:style w:type="paragraph" w:styleId="NormalWeb">
    <w:name w:val="Normal (Web)"/>
    <w:basedOn w:val="Normal"/>
    <w:uiPriority w:val="99"/>
    <w:semiHidden/>
    <w:unhideWhenUsed/>
    <w:rsid w:val="003439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439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74147">
      <w:bodyDiv w:val="1"/>
      <w:marLeft w:val="0"/>
      <w:marRight w:val="0"/>
      <w:marTop w:val="0"/>
      <w:marBottom w:val="0"/>
      <w:divBdr>
        <w:top w:val="none" w:sz="0" w:space="0" w:color="auto"/>
        <w:left w:val="none" w:sz="0" w:space="0" w:color="auto"/>
        <w:bottom w:val="none" w:sz="0" w:space="0" w:color="auto"/>
        <w:right w:val="none" w:sz="0" w:space="0" w:color="auto"/>
      </w:divBdr>
    </w:div>
    <w:div w:id="468670793">
      <w:bodyDiv w:val="1"/>
      <w:marLeft w:val="0"/>
      <w:marRight w:val="0"/>
      <w:marTop w:val="0"/>
      <w:marBottom w:val="0"/>
      <w:divBdr>
        <w:top w:val="none" w:sz="0" w:space="0" w:color="auto"/>
        <w:left w:val="none" w:sz="0" w:space="0" w:color="auto"/>
        <w:bottom w:val="none" w:sz="0" w:space="0" w:color="auto"/>
        <w:right w:val="none" w:sz="0" w:space="0" w:color="auto"/>
      </w:divBdr>
    </w:div>
    <w:div w:id="549338869">
      <w:bodyDiv w:val="1"/>
      <w:marLeft w:val="0"/>
      <w:marRight w:val="0"/>
      <w:marTop w:val="0"/>
      <w:marBottom w:val="0"/>
      <w:divBdr>
        <w:top w:val="none" w:sz="0" w:space="0" w:color="auto"/>
        <w:left w:val="none" w:sz="0" w:space="0" w:color="auto"/>
        <w:bottom w:val="none" w:sz="0" w:space="0" w:color="auto"/>
        <w:right w:val="none" w:sz="0" w:space="0" w:color="auto"/>
      </w:divBdr>
    </w:div>
    <w:div w:id="832067207">
      <w:bodyDiv w:val="1"/>
      <w:marLeft w:val="0"/>
      <w:marRight w:val="0"/>
      <w:marTop w:val="0"/>
      <w:marBottom w:val="0"/>
      <w:divBdr>
        <w:top w:val="none" w:sz="0" w:space="0" w:color="auto"/>
        <w:left w:val="none" w:sz="0" w:space="0" w:color="auto"/>
        <w:bottom w:val="none" w:sz="0" w:space="0" w:color="auto"/>
        <w:right w:val="none" w:sz="0" w:space="0" w:color="auto"/>
      </w:divBdr>
    </w:div>
    <w:div w:id="895552731">
      <w:bodyDiv w:val="1"/>
      <w:marLeft w:val="0"/>
      <w:marRight w:val="0"/>
      <w:marTop w:val="0"/>
      <w:marBottom w:val="0"/>
      <w:divBdr>
        <w:top w:val="none" w:sz="0" w:space="0" w:color="auto"/>
        <w:left w:val="none" w:sz="0" w:space="0" w:color="auto"/>
        <w:bottom w:val="none" w:sz="0" w:space="0" w:color="auto"/>
        <w:right w:val="none" w:sz="0" w:space="0" w:color="auto"/>
      </w:divBdr>
    </w:div>
    <w:div w:id="995689741">
      <w:bodyDiv w:val="1"/>
      <w:marLeft w:val="0"/>
      <w:marRight w:val="0"/>
      <w:marTop w:val="0"/>
      <w:marBottom w:val="0"/>
      <w:divBdr>
        <w:top w:val="none" w:sz="0" w:space="0" w:color="auto"/>
        <w:left w:val="none" w:sz="0" w:space="0" w:color="auto"/>
        <w:bottom w:val="none" w:sz="0" w:space="0" w:color="auto"/>
        <w:right w:val="none" w:sz="0" w:space="0" w:color="auto"/>
      </w:divBdr>
    </w:div>
    <w:div w:id="1024282828">
      <w:bodyDiv w:val="1"/>
      <w:marLeft w:val="0"/>
      <w:marRight w:val="0"/>
      <w:marTop w:val="0"/>
      <w:marBottom w:val="0"/>
      <w:divBdr>
        <w:top w:val="none" w:sz="0" w:space="0" w:color="auto"/>
        <w:left w:val="none" w:sz="0" w:space="0" w:color="auto"/>
        <w:bottom w:val="none" w:sz="0" w:space="0" w:color="auto"/>
        <w:right w:val="none" w:sz="0" w:space="0" w:color="auto"/>
      </w:divBdr>
    </w:div>
    <w:div w:id="1399212071">
      <w:bodyDiv w:val="1"/>
      <w:marLeft w:val="0"/>
      <w:marRight w:val="0"/>
      <w:marTop w:val="0"/>
      <w:marBottom w:val="0"/>
      <w:divBdr>
        <w:top w:val="none" w:sz="0" w:space="0" w:color="auto"/>
        <w:left w:val="none" w:sz="0" w:space="0" w:color="auto"/>
        <w:bottom w:val="none" w:sz="0" w:space="0" w:color="auto"/>
        <w:right w:val="none" w:sz="0" w:space="0" w:color="auto"/>
      </w:divBdr>
    </w:div>
    <w:div w:id="1631007648">
      <w:bodyDiv w:val="1"/>
      <w:marLeft w:val="0"/>
      <w:marRight w:val="0"/>
      <w:marTop w:val="0"/>
      <w:marBottom w:val="0"/>
      <w:divBdr>
        <w:top w:val="none" w:sz="0" w:space="0" w:color="auto"/>
        <w:left w:val="none" w:sz="0" w:space="0" w:color="auto"/>
        <w:bottom w:val="none" w:sz="0" w:space="0" w:color="auto"/>
        <w:right w:val="none" w:sz="0" w:space="0" w:color="auto"/>
      </w:divBdr>
    </w:div>
    <w:div w:id="1812092652">
      <w:bodyDiv w:val="1"/>
      <w:marLeft w:val="0"/>
      <w:marRight w:val="0"/>
      <w:marTop w:val="0"/>
      <w:marBottom w:val="0"/>
      <w:divBdr>
        <w:top w:val="none" w:sz="0" w:space="0" w:color="auto"/>
        <w:left w:val="none" w:sz="0" w:space="0" w:color="auto"/>
        <w:bottom w:val="none" w:sz="0" w:space="0" w:color="auto"/>
        <w:right w:val="none" w:sz="0" w:space="0" w:color="auto"/>
      </w:divBdr>
    </w:div>
    <w:div w:id="1843398971">
      <w:bodyDiv w:val="1"/>
      <w:marLeft w:val="0"/>
      <w:marRight w:val="0"/>
      <w:marTop w:val="0"/>
      <w:marBottom w:val="0"/>
      <w:divBdr>
        <w:top w:val="none" w:sz="0" w:space="0" w:color="auto"/>
        <w:left w:val="none" w:sz="0" w:space="0" w:color="auto"/>
        <w:bottom w:val="none" w:sz="0" w:space="0" w:color="auto"/>
        <w:right w:val="none" w:sz="0" w:space="0" w:color="auto"/>
      </w:divBdr>
    </w:div>
    <w:div w:id="1936860011">
      <w:bodyDiv w:val="1"/>
      <w:marLeft w:val="0"/>
      <w:marRight w:val="0"/>
      <w:marTop w:val="0"/>
      <w:marBottom w:val="0"/>
      <w:divBdr>
        <w:top w:val="none" w:sz="0" w:space="0" w:color="auto"/>
        <w:left w:val="none" w:sz="0" w:space="0" w:color="auto"/>
        <w:bottom w:val="none" w:sz="0" w:space="0" w:color="auto"/>
        <w:right w:val="none" w:sz="0" w:space="0" w:color="auto"/>
      </w:divBdr>
    </w:div>
    <w:div w:id="2043087243">
      <w:bodyDiv w:val="1"/>
      <w:marLeft w:val="0"/>
      <w:marRight w:val="0"/>
      <w:marTop w:val="0"/>
      <w:marBottom w:val="0"/>
      <w:divBdr>
        <w:top w:val="none" w:sz="0" w:space="0" w:color="auto"/>
        <w:left w:val="none" w:sz="0" w:space="0" w:color="auto"/>
        <w:bottom w:val="none" w:sz="0" w:space="0" w:color="auto"/>
        <w:right w:val="none" w:sz="0" w:space="0" w:color="auto"/>
      </w:divBdr>
    </w:div>
    <w:div w:id="21429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Pacheco</dc:creator>
  <cp:keywords/>
  <dc:description/>
  <cp:lastModifiedBy>Patrick Pacheco</cp:lastModifiedBy>
  <cp:revision>1</cp:revision>
  <dcterms:created xsi:type="dcterms:W3CDTF">2025-05-12T03:47:00Z</dcterms:created>
  <dcterms:modified xsi:type="dcterms:W3CDTF">2025-05-12T04:19:00Z</dcterms:modified>
</cp:coreProperties>
</file>