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60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sz w:val="44"/>
          <w:szCs w:val="44"/>
        </w:rPr>
        <w:t>平安银行2024年年报分析</w:t>
      </w:r>
    </w:p>
    <w:bookmarkEnd w:id="0"/>
    <w:p w14:paraId="19B2D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一、分析框架与数据来源</w:t>
      </w:r>
    </w:p>
    <w:p w14:paraId="148E4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1.1分析框架设计（投资视角下的年报分析流程）</w:t>
      </w:r>
    </w:p>
    <w:p w14:paraId="5A84A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本次平安银行年报分析遵循“数据穿透-模块拆解-联动验证-策略输出”的逻辑流程，具体如下：</w:t>
      </w:r>
    </w:p>
    <w:p w14:paraId="2C779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数据收集：从平安银行2024年年报、同花顺金融数据库、第三方独立分析报告（雪球、新浪财经等）提取核心财务数据，交叉验证数据一致性（如净利润、净息差、不良率等关键指标）。</w:t>
      </w:r>
    </w:p>
    <w:p w14:paraId="5DE77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核心财务概览</w:t>
      </w:r>
      <w:r>
        <w:rPr>
          <w:rFonts w:hint="eastAsia" w:ascii="宋体" w:hAnsi="宋体" w:eastAsia="宋体" w:cs="宋体"/>
          <w:sz w:val="24"/>
          <w:szCs w:val="24"/>
        </w:rPr>
        <w:t>：通过关键指标（盈利、偿债、运营、估值）快速判断银行整体经营状况，建立初步认知。</w:t>
      </w:r>
    </w:p>
    <w:p w14:paraId="38A4C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财务报表深度拆解</w:t>
      </w:r>
      <w:r>
        <w:rPr>
          <w:rFonts w:hint="eastAsia" w:ascii="宋体" w:hAnsi="宋体" w:eastAsia="宋体" w:cs="宋体"/>
          <w:sz w:val="24"/>
          <w:szCs w:val="24"/>
        </w:rPr>
        <w:t>：逐一分析利润表（营收/支出结构）、资产负债表（资产/负债配置）、现金流量表（现金流健康度），挖掘财务数据背后的业务逻辑。</w:t>
      </w:r>
    </w:p>
    <w:p w14:paraId="2037D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业务-财务联动分析</w:t>
      </w:r>
      <w:r>
        <w:rPr>
          <w:rFonts w:hint="eastAsia" w:ascii="宋体" w:hAnsi="宋体" w:eastAsia="宋体" w:cs="宋体"/>
          <w:sz w:val="24"/>
          <w:szCs w:val="24"/>
        </w:rPr>
        <w:t>：将零售、对公、同业三大业务板块的财务表现与战略转型结合，评估业务调整对财务指标的影响。</w:t>
      </w:r>
    </w:p>
    <w:p w14:paraId="79D45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风险管理评估</w:t>
      </w:r>
      <w:r>
        <w:rPr>
          <w:rFonts w:hint="eastAsia" w:ascii="宋体" w:hAnsi="宋体" w:eastAsia="宋体" w:cs="宋体"/>
          <w:sz w:val="24"/>
          <w:szCs w:val="24"/>
        </w:rPr>
        <w:t>：从信用风险、资本充足率、流动性风险三维度，判断银行风险抵御能力及潜在风险点。</w:t>
      </w:r>
    </w:p>
    <w:p w14:paraId="1BC67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>投资策略输出</w:t>
      </w:r>
      <w:r>
        <w:rPr>
          <w:rFonts w:hint="eastAsia" w:ascii="宋体" w:hAnsi="宋体" w:eastAsia="宋体" w:cs="宋体"/>
          <w:sz w:val="24"/>
          <w:szCs w:val="24"/>
        </w:rPr>
        <w:t>：基于前述分析，总结核心投资逻辑（优势/风险），针对不同客群给出配置建议，并明确关键跟踪指标。</w:t>
      </w:r>
    </w:p>
    <w:p w14:paraId="15CFA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1.2数据来源</w:t>
      </w:r>
    </w:p>
    <w:p w14:paraId="1FFDC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核心数据源：《平安银行股份有限公司2024年年度报告》（2025年3月15日披露）</w:t>
      </w:r>
    </w:p>
    <w:p w14:paraId="3CE67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补充财务数据：同花顺金融数据库（每股收益、资产负债率等明细指标）</w:t>
      </w:r>
    </w:p>
    <w:p w14:paraId="73415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独立分析参考：雪球《看透银行股——平安银行2024年年报解析(风险维度)》、新浪财经《平安银行(000001):砥砺前行》、上海证券报《详解平安银行年报：零售转型“阵痛”延续》</w:t>
      </w:r>
    </w:p>
    <w:p w14:paraId="0C5E6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二、平安银行2024年核心财务指标概览</w:t>
      </w:r>
    </w:p>
    <w:p w14:paraId="6017B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2.1关键财务指标对比表（单位：亿元/%/元）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0"/>
        <w:gridCol w:w="1344"/>
        <w:gridCol w:w="1348"/>
        <w:gridCol w:w="1348"/>
        <w:gridCol w:w="1350"/>
        <w:gridCol w:w="1832"/>
      </w:tblGrid>
      <w:tr w14:paraId="0000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E524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指标类别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FE2DA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E3E0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A32B4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2EFE7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FC8F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指标解读</w:t>
            </w:r>
          </w:p>
        </w:tc>
      </w:tr>
      <w:tr w14:paraId="4BA1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9A160B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盈利指标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0860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营业收入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BBD74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1466.95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8518B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1646.99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8C3A6E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-10.90%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018AF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受零售高风险资产压降、LPR下调影响，营收同比下滑，降幅较前三季度收窄1.7个百分点</w:t>
            </w:r>
          </w:p>
        </w:tc>
      </w:tr>
      <w:tr w14:paraId="0982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97E4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B3F1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归母净利润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4C85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445.08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E1B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464.55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CE0B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-4.20%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CF4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净利润降幅小于营收，主要因信用减值损失减少16.4%、业务及管理费下降11.7%</w:t>
            </w:r>
          </w:p>
        </w:tc>
      </w:tr>
      <w:tr w14:paraId="2D6F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FC1C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2887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基本每股收益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9316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E251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2.25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6D0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-4.40%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9E7C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与净利润变动趋势一致，反映股东每股收益小幅下滑</w:t>
            </w:r>
          </w:p>
        </w:tc>
      </w:tr>
      <w:tr w14:paraId="586F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C08E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8410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销售净利率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EFB0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30.34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5084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63D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F70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净利率保持30%以上，盈利能力仍具韧性（数据来源：同花顺）</w:t>
            </w:r>
          </w:p>
        </w:tc>
      </w:tr>
      <w:tr w14:paraId="69D8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D008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480C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加权平均净资产收益率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B35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10.08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884D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11.38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D2F5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-1.30个百分点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04D1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净资产收益下滑，受净利润下降、净资产增长双重影响</w:t>
            </w:r>
          </w:p>
        </w:tc>
      </w:tr>
      <w:tr w14:paraId="51B4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DF85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息差与收益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BA09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净息差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649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1.87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19A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2.38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49B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-0.51个百分点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07E0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息差收窄至2%以下，因资产端收益率降61BP（3.97%→4.58%），负债端成本降12BP</w:t>
            </w:r>
          </w:p>
        </w:tc>
      </w:tr>
      <w:tr w14:paraId="3D7E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DC13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BA20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生息资产平均收益率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F15D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3.97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332F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4.58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DF7C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-0.61个百分点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CC01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贷款收益率下降（企业贷3.56%→4.00%，个人贷5.56%→6.58%）</w:t>
            </w:r>
          </w:p>
        </w:tc>
      </w:tr>
      <w:tr w14:paraId="65A95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F77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D3DD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计息负债平均付息率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2784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2.14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51B5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2.27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3806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-0.13个百分点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C288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存款成本优化，个人存款付息率2.18%→2.33%，企业存款2.01%→2.13%</w:t>
            </w:r>
          </w:p>
        </w:tc>
      </w:tr>
      <w:tr w14:paraId="7A2E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FB9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资产质量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D0B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不良贷款率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2E0B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1.06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FB4D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1.06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10EB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持平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9256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表面不良率优于行业，但还原后（含超90天逾期+重组）达1.79%（雪球数据）</w:t>
            </w:r>
          </w:p>
        </w:tc>
      </w:tr>
      <w:tr w14:paraId="46FE2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C05D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A0C4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拨备覆盖率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FE6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250.71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1AC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277.63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C218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-26.92个百分点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B28F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仍高于行业平均，但缓冲空间收窄；还原后拨备覆盖率148.77%（接近监管红线130%）</w:t>
            </w:r>
          </w:p>
        </w:tc>
      </w:tr>
      <w:tr w14:paraId="4AFF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3AB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31C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关注类贷款占比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3E21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1.93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91B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1.75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FDA2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+0.18个百分点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A2A0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受房地产行业影响，部分涉房业务风险上升，需警惕潜在迁移压力</w:t>
            </w:r>
          </w:p>
        </w:tc>
      </w:tr>
      <w:tr w14:paraId="5982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B02D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偿债与资本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58B0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资产负债率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C08E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91.42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1402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30FF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6157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高负债符合银行业特性，负债结构以存款为主（占比67.0%）</w:t>
            </w:r>
          </w:p>
        </w:tc>
      </w:tr>
      <w:tr w14:paraId="3C24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5E8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FF43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核心一级资本充足率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9C95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9.12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D1C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9.22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0326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-0.10个百分点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1121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低于行业平均，内生资本积累能力待加强（风险加权资产增速高于资本增速）</w:t>
            </w:r>
          </w:p>
        </w:tc>
      </w:tr>
      <w:tr w14:paraId="09FE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D57D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CC5E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资本充足率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7185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13.11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11D3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13.43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7A17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-0.32个百分点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3A07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满足监管要求（系统重要性银行第一组，附加资本0.25%），但安全边际收窄</w:t>
            </w:r>
          </w:p>
        </w:tc>
      </w:tr>
      <w:tr w14:paraId="071FD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F084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估值与分红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E51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股息率（按收盘价11.97元）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EEF9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5.1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FF73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ED3B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6A47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分红率26.51%（派息6.08元/10股），高股息具备防御属性</w:t>
            </w:r>
          </w:p>
        </w:tc>
      </w:tr>
      <w:tr w14:paraId="7BB1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AAF4B1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64B00E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市净率（PB）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83EF4A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0.55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3A71BD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3BC718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800FB5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处于近十年13%分位数，估值历史低位（新浪财经股吧数据）</w:t>
            </w:r>
          </w:p>
        </w:tc>
      </w:tr>
    </w:tbl>
    <w:p w14:paraId="55FF3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三、财务报表深度分析</w:t>
      </w:r>
    </w:p>
    <w:p w14:paraId="2C8C0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3.1利润表分析：营收承压但成本管控对冲利润下滑</w:t>
      </w:r>
    </w:p>
    <w:p w14:paraId="67FA4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3.1.1营业收入结构表（单位：亿元，%）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3B9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5515CA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营收项目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63A5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72BAE1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5755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655F6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占营收比重（2024年）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C02D3D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核心驱动因素</w:t>
            </w:r>
          </w:p>
        </w:tc>
      </w:tr>
      <w:tr w14:paraId="2A77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7610D2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营业收入合计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D51D9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1466.95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8A98D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1646.99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58B11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-10.90%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7D70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100.00%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38CDFB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</w:tr>
      <w:tr w14:paraId="4057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94DE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一、利息净收入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27C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934.27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9332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1179.91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8D2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-20.80%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4F96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63.70%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A101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1.资产端：零售高风险贷款压降（消费贷-13%、信用卡-15.4%）+LPR下调；2.负债端：存款成本优化部分对冲</w:t>
            </w:r>
          </w:p>
        </w:tc>
      </w:tr>
      <w:tr w14:paraId="2C52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A14F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其中：发放贷款利息收入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F67F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1541.99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D53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1838.49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9D27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-16.10%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7B22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105.1%（占利息收入）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DD9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企业贷款利息收入492.06亿（+6.2%），对冲个人贷款利息收入1015.65亿（-24.0%）</w:t>
            </w:r>
          </w:p>
        </w:tc>
      </w:tr>
      <w:tr w14:paraId="37F24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DD9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二、非利息净收入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BAE4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532.68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176D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467.08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ADE9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14.00%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C567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36.30%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1B1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成为营收“稳定器”，主要依赖其他非利息收入增长（债券投资收益+53.3%）</w:t>
            </w:r>
          </w:p>
        </w:tc>
      </w:tr>
      <w:tr w14:paraId="4E70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22FB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1.手续费及佣金净收入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A669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241.12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6EA4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294.3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7579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-18.10%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B58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16.40%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02B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受银保渠道降费（代理保险收入-29.4%）、信用卡手续费-18.3%拖累</w:t>
            </w:r>
          </w:p>
        </w:tc>
      </w:tr>
      <w:tr w14:paraId="30B18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C3A00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2.其他非利息净收入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0E88D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291.56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27651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172.78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1CEF3C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68.70%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57D67F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19.90%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2E9E3E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投资收益246.04亿（+53.3%）、公允价值变动损益31.04亿（2023年为-3.54亿）</w:t>
            </w:r>
          </w:p>
        </w:tc>
      </w:tr>
    </w:tbl>
    <w:p w14:paraId="7305C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3.1.2营业支出结构表（单位：亿元，%）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D379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E9AB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支出项目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43251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F6DF7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C94EB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0E586B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核心驱动因素</w:t>
            </w:r>
          </w:p>
        </w:tc>
      </w:tr>
      <w:tr w14:paraId="10F9B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E4287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营业支出合计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05F81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420.61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4D673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476.77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03C7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-11.70%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86CF8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降本增效成效显著，成本收入比27.66%（-0.24个百分点）</w:t>
            </w:r>
          </w:p>
        </w:tc>
      </w:tr>
      <w:tr w14:paraId="756D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4F5D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1.业务及管理费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448F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405.82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3346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459.59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60BB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-11.70%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37B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1.员工费用191.26亿（-8.5%，人员优化至4.1万人，较2023年减2108人）；2.一般管理费用156.19亿（-15.9%）</w:t>
            </w:r>
          </w:p>
        </w:tc>
      </w:tr>
      <w:tr w14:paraId="13B9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EE2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2.信用及其他资产减值损失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70F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494.28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8CB8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590.94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CE11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-16.40%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29F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1.贷款减值损失529.24亿（-15.8%，主动压降高风险资产减少计提）；2.债权投资减值损失36.72亿（2023年为-55.38亿）</w:t>
            </w:r>
          </w:p>
        </w:tc>
      </w:tr>
      <w:tr w14:paraId="1652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76284E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3.税金及附加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984621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14.79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52D08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17.18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35DE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-14.00%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356F5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随营收下降同步减少</w:t>
            </w:r>
          </w:p>
        </w:tc>
      </w:tr>
    </w:tbl>
    <w:p w14:paraId="7C3A3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利润表核心结论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2BDA0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营收端：利息净收入是主要拖累（-20.8%），但非利息收入（+14.0%）形成对冲，反映银行从“息差依赖”向“多元营收”转型的初步成效。</w:t>
      </w:r>
    </w:p>
    <w:p w14:paraId="5C8D4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出端：信用减值损失减少（-16.4%）和费用管控（成本收入比下降）是净利润降幅（-4.2%）小于营收降幅（-10.9%）的关键，但需注意减值减少部分源于“主动少提”（雪球分析：丰年补歉年调节），非资产质量实质改善。</w:t>
      </w:r>
    </w:p>
    <w:p w14:paraId="66F99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3.2资产负债表分析：结构调整凸显战略导向</w:t>
      </w:r>
    </w:p>
    <w:p w14:paraId="7A987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3.2.1资产结构表（单位：亿元，%）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D9C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01075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资产项目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73BF39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9B952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BCAC7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BD4AC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占资产比重（2024年）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3BE89F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战略逻辑</w:t>
            </w:r>
          </w:p>
        </w:tc>
      </w:tr>
      <w:tr w14:paraId="6F26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4258CF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资产总额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FA973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57692.7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35D1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55871.16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93986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3.30%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9B11E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100.00%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C82C9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规模平稳增长，结构向低风险、政策支持领域倾斜</w:t>
            </w:r>
          </w:p>
        </w:tc>
      </w:tr>
      <w:tr w14:paraId="6E65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47E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1.发放贷款和垫款本金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017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33741.03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67F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34075.09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07E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-1.00%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3C2F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58.50%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C52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主动调整贷款结构：零售降、对公升</w:t>
            </w:r>
          </w:p>
        </w:tc>
      </w:tr>
      <w:tr w14:paraId="33F3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7B7B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其中：个人贷款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7DE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17671.68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000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19777.19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7CD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-10.60%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68B2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30.60%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E1DA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压降高风险：信用卡-15.4%、消费贷-13.0%；增持优质：住房按揭+7.4%、抵押类占比62.8%（+4.0个百分点）</w:t>
            </w:r>
          </w:p>
        </w:tc>
      </w:tr>
      <w:tr w14:paraId="30C2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96C0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企业贷款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2C50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16069.35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684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14297.9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A483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12.40%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4AA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27.90%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E45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重点投向：四大基础行业（基建/汽车/公用/地产）+35.4%、三大新兴行业（新制造/新能源/新生活）+41.9%</w:t>
            </w:r>
          </w:p>
        </w:tc>
      </w:tr>
      <w:tr w14:paraId="6CC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E1ED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2.投资类金融资产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4F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16624.86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C22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14314.26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AEB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16.10%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80E8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28.80%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E14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交易性金融资产+39.8%（6295.71亿），把握债市机遇；债权投资+1.6%（7850.75亿）</w:t>
            </w:r>
          </w:p>
        </w:tc>
      </w:tr>
      <w:tr w14:paraId="4FC7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EEF3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3.现金及存放央行款项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1D33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2689.73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A7F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2746.63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5989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-2.10%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BD96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4.70%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E177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因资金运用效率提升，存放央行资金减少</w:t>
            </w:r>
          </w:p>
        </w:tc>
      </w:tr>
      <w:tr w14:paraId="318B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F26E35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4.存放同业款项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E32FA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1320.9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097A1E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935.97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3AB52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41.10%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D575BC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2.30%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93A91C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年末同业存放增加，优化流动性管理</w:t>
            </w:r>
          </w:p>
        </w:tc>
      </w:tr>
    </w:tbl>
    <w:p w14:paraId="1D092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3.2.2负债结构表（单位：亿元，%）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3AD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CA502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负债项目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16469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A4B0E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494A3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5734E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占负债比重（2024年）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F6699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核心逻辑</w:t>
            </w:r>
          </w:p>
        </w:tc>
      </w:tr>
      <w:tr w14:paraId="6407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A1720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负债总额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1094A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52744.28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A0262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51147.88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3AC3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3.10%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648F4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100.00%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469A8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负债规模与资产匹配增长，结构以低成本存款为主</w:t>
            </w:r>
          </w:p>
        </w:tc>
      </w:tr>
      <w:tr w14:paraId="482D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C414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1.吸收存款本金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7E3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35336.78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9DE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34072.95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5BB7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3.70%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384A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67.00%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A467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个人存款+6.6%（12871.80亿）、企业存款+2.1%（22464.98亿），低成本存款沉淀（代发AUM+20.7%）</w:t>
            </w:r>
          </w:p>
        </w:tc>
      </w:tr>
      <w:tr w14:paraId="505E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51C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2.向中央银行借款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64D4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861.1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EA33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2087.83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D0AF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-58.80%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A01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1.60%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73F5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年末人民币头寸充足，减少央行借款</w:t>
            </w:r>
          </w:p>
        </w:tc>
      </w:tr>
      <w:tr w14:paraId="2920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3B2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3.同业及其他金融机构存放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8D8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4478.77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7A2A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4677.91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22F1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-4.30%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07AD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8.50%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DCEA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同业负债适度收缩，优化负债成本</w:t>
            </w:r>
          </w:p>
        </w:tc>
      </w:tr>
      <w:tr w14:paraId="785D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D37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4.已发行债务证券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822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6952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72D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7283.28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3FF9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-4.50%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9287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13.20%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819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赎回部分高成本债务，2024年发行200亿永续债（补充其他一级资本）</w:t>
            </w:r>
          </w:p>
        </w:tc>
      </w:tr>
      <w:tr w14:paraId="6DF3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543E3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5.卖出回购金融资产款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BA6AD5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1311.81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A070B1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581.52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54536F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125.60%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6EC44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2.50%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07EB4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债券质押融资增加，灵活调节短期流动性</w:t>
            </w:r>
          </w:p>
        </w:tc>
      </w:tr>
    </w:tbl>
    <w:p w14:paraId="7E440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资产负债表核心结论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2E345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资产端：“零售收缩、对公扩张”的结构调整明确，零售业务从“高风险高收益”转向“低风险稳健型”（抵押类占比提升），对公聚焦政策支持领域（新能源、新制造），投资类资产增长凸显资金运用灵活性。</w:t>
      </w:r>
    </w:p>
    <w:p w14:paraId="59266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负债端：存款是核心（占比67%），个人存款增速（6.6%）高于企业存款（2.1%），低成本存款（代发、零售理财沉淀）占比提升，负债成本持续优化（付息率-13BP）。</w:t>
      </w:r>
    </w:p>
    <w:p w14:paraId="3472E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3.3现金流量表分析：经营现金流收缩，投资/筹资活动反映战略布局</w:t>
      </w:r>
    </w:p>
    <w:p w14:paraId="0CD0F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3.3.1现金流量明细（单位：亿元）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081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B183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现金流项目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9924A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3CF8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791EE4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054E3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核心驱动因素</w:t>
            </w:r>
          </w:p>
        </w:tc>
      </w:tr>
      <w:tr w14:paraId="1BD4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045293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经营活动产生的现金流量净额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982D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633.36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BC07E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924.61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56E571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-31.50%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46C35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1.现金流入：吸收存款+944.86亿、卖出回购+729.24亿；2.现金流出：交易性金融资产+791.03亿、向央行借款-1214.84亿</w:t>
            </w:r>
          </w:p>
        </w:tc>
      </w:tr>
      <w:tr w14:paraId="47E2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6532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投资活动产生的现金流量净额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DCF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-318.59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26D6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-261.42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28F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-21.90%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FC82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其他债权投资支付现金增加，投资类资产规模扩张（+16.1%）</w:t>
            </w:r>
          </w:p>
        </w:tc>
      </w:tr>
      <w:tr w14:paraId="2C0C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5216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筹资活动产生的现金流量净额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8B1D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-739.33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F16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80.89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9A99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-1014.60%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03E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1.现金流入：发行债务证券+7339.97亿；2.现金流出：偿还债务+7784.65亿、分配股利+215.76亿</w:t>
            </w:r>
          </w:p>
        </w:tc>
      </w:tr>
      <w:tr w14:paraId="18B6A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99B37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现金及现金等价物净变动额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E2988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-412.73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4BB696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758.93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18C1B0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-154.40%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8E4C45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经营现金流收缩+筹资现金流由正转负，现金储备有所下降（年末2569.46亿，2023年2982.19亿）</w:t>
            </w:r>
          </w:p>
        </w:tc>
      </w:tr>
    </w:tbl>
    <w:p w14:paraId="427B1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现金流量表核心结论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169D3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经营现金流：虽同比收缩31.5%，但仍为正，反映主营业务造血能力未失；收缩主因是交易性金融资产配置增加（把握债市机遇），属主动战略选择。</w:t>
      </w:r>
    </w:p>
    <w:p w14:paraId="73560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投资现金流：持续净流出，体现银行加大金融资产投资（债券、资管计划），弥补贷款规模收缩的资金运用缺口。</w:t>
      </w:r>
    </w:p>
    <w:p w14:paraId="741EE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筹资现金流：由正转负，因偿还债务规模（7784.65亿）大于新增融资（7339.97亿），同时分红215.76亿，反映银行优化债务结构、回报股东的导向。</w:t>
      </w:r>
    </w:p>
    <w:p w14:paraId="49CC3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四、业务板块财务表现与战略联动</w:t>
      </w:r>
    </w:p>
    <w:p w14:paraId="2606B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4.1零售业务：转型阵痛期，结构优化优先（单位：亿元，%）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9FE8B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7ECE049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零售业务指标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6D64C48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1D1D98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bottom w:val="single" w:color="auto" w:sz="4" w:space="0"/>
            </w:tcBorders>
            <w:vAlign w:val="center"/>
          </w:tcPr>
          <w:p w14:paraId="0BC6F7F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bottom w:val="single" w:color="auto" w:sz="4" w:space="0"/>
            </w:tcBorders>
            <w:vAlign w:val="center"/>
          </w:tcPr>
          <w:p w14:paraId="76C6DFB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财务影响</w:t>
            </w:r>
          </w:p>
        </w:tc>
      </w:tr>
      <w:tr w14:paraId="270ABB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 w14:paraId="0472948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零售营业收入</w:t>
            </w:r>
          </w:p>
        </w:tc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 w14:paraId="7B87C5B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712.55</w:t>
            </w:r>
          </w:p>
        </w:tc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 w14:paraId="7F0A444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961.61</w:t>
            </w:r>
          </w:p>
        </w:tc>
        <w:tc>
          <w:tcPr>
            <w:tcW w:w="1705" w:type="dxa"/>
            <w:tcBorders>
              <w:top w:val="single" w:color="auto" w:sz="4" w:space="0"/>
            </w:tcBorders>
            <w:vAlign w:val="center"/>
          </w:tcPr>
          <w:p w14:paraId="3A7BA93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-25.90%</w:t>
            </w:r>
          </w:p>
        </w:tc>
        <w:tc>
          <w:tcPr>
            <w:tcW w:w="1705" w:type="dxa"/>
            <w:tcBorders>
              <w:top w:val="single" w:color="auto" w:sz="4" w:space="0"/>
            </w:tcBorders>
            <w:vAlign w:val="center"/>
          </w:tcPr>
          <w:p w14:paraId="1DF26C9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拖累全行营收（零售营收占比从58.4%降至48.6%），主因信用卡手续费-18.3%、银保代理收入-29.4%</w:t>
            </w:r>
          </w:p>
        </w:tc>
      </w:tr>
      <w:tr w14:paraId="3AFBB5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7F755B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零售净利润</w:t>
            </w:r>
          </w:p>
        </w:tc>
        <w:tc>
          <w:tcPr>
            <w:tcW w:w="1704" w:type="dxa"/>
            <w:vAlign w:val="center"/>
          </w:tcPr>
          <w:p w14:paraId="371D66C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2.89</w:t>
            </w:r>
          </w:p>
        </w:tc>
        <w:tc>
          <w:tcPr>
            <w:tcW w:w="1704" w:type="dxa"/>
            <w:vAlign w:val="center"/>
          </w:tcPr>
          <w:p w14:paraId="3102EC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55.25</w:t>
            </w:r>
          </w:p>
        </w:tc>
        <w:tc>
          <w:tcPr>
            <w:tcW w:w="1705" w:type="dxa"/>
            <w:vAlign w:val="center"/>
          </w:tcPr>
          <w:p w14:paraId="1686EF6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-94.80%</w:t>
            </w:r>
          </w:p>
        </w:tc>
        <w:tc>
          <w:tcPr>
            <w:tcW w:w="1705" w:type="dxa"/>
            <w:vAlign w:val="center"/>
          </w:tcPr>
          <w:p w14:paraId="1080534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净利润占比仅0.6%，因零售资产减值损失487.29亿（占全行98.6%），部分个人客户还款能力承压</w:t>
            </w:r>
          </w:p>
        </w:tc>
      </w:tr>
      <w:tr w14:paraId="65EFB0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0B360FF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个人贷款余额</w:t>
            </w:r>
          </w:p>
        </w:tc>
        <w:tc>
          <w:tcPr>
            <w:tcW w:w="1704" w:type="dxa"/>
            <w:vAlign w:val="center"/>
          </w:tcPr>
          <w:p w14:paraId="1B1BA6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17671.68</w:t>
            </w:r>
          </w:p>
        </w:tc>
        <w:tc>
          <w:tcPr>
            <w:tcW w:w="1704" w:type="dxa"/>
            <w:vAlign w:val="center"/>
          </w:tcPr>
          <w:p w14:paraId="27DA26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19777.19</w:t>
            </w:r>
          </w:p>
        </w:tc>
        <w:tc>
          <w:tcPr>
            <w:tcW w:w="1705" w:type="dxa"/>
            <w:vAlign w:val="center"/>
          </w:tcPr>
          <w:p w14:paraId="77CC920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-10.60%</w:t>
            </w:r>
          </w:p>
        </w:tc>
        <w:tc>
          <w:tcPr>
            <w:tcW w:w="1705" w:type="dxa"/>
            <w:vAlign w:val="center"/>
          </w:tcPr>
          <w:p w14:paraId="373422F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主动压降高风险：信用卡-15.4%（4349.97亿）、消费贷-13.0%（4746.63亿）、经营性贷款-13.6%（5314.10亿）</w:t>
            </w:r>
          </w:p>
        </w:tc>
      </w:tr>
      <w:tr w14:paraId="275E97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205FAEC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零售AUM</w:t>
            </w:r>
          </w:p>
        </w:tc>
        <w:tc>
          <w:tcPr>
            <w:tcW w:w="1704" w:type="dxa"/>
            <w:vAlign w:val="center"/>
          </w:tcPr>
          <w:p w14:paraId="666DB06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41940.74</w:t>
            </w:r>
          </w:p>
        </w:tc>
        <w:tc>
          <w:tcPr>
            <w:tcW w:w="1704" w:type="dxa"/>
            <w:vAlign w:val="center"/>
          </w:tcPr>
          <w:p w14:paraId="1E01488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40311.77</w:t>
            </w:r>
          </w:p>
        </w:tc>
        <w:tc>
          <w:tcPr>
            <w:tcW w:w="1705" w:type="dxa"/>
            <w:vAlign w:val="center"/>
          </w:tcPr>
          <w:p w14:paraId="169E9ED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4.00%</w:t>
            </w:r>
          </w:p>
        </w:tc>
        <w:tc>
          <w:tcPr>
            <w:tcW w:w="1705" w:type="dxa"/>
            <w:vAlign w:val="center"/>
          </w:tcPr>
          <w:p w14:paraId="21767FE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财富管理保持韧性：私行客户AUM+3.1%（19754.71亿）、财富客户数+5.7%（145.62万户）</w:t>
            </w:r>
          </w:p>
        </w:tc>
      </w:tr>
      <w:tr w14:paraId="62755E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040759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平安口袋银行APPMAU</w:t>
            </w:r>
          </w:p>
        </w:tc>
        <w:tc>
          <w:tcPr>
            <w:tcW w:w="1704" w:type="dxa"/>
            <w:vAlign w:val="center"/>
          </w:tcPr>
          <w:p w14:paraId="3F4AD8C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4351.63（万户）</w:t>
            </w:r>
          </w:p>
        </w:tc>
        <w:tc>
          <w:tcPr>
            <w:tcW w:w="1704" w:type="dxa"/>
            <w:vAlign w:val="center"/>
          </w:tcPr>
          <w:p w14:paraId="6E0256B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4151.00（万户）</w:t>
            </w:r>
          </w:p>
        </w:tc>
        <w:tc>
          <w:tcPr>
            <w:tcW w:w="1705" w:type="dxa"/>
            <w:vAlign w:val="center"/>
          </w:tcPr>
          <w:p w14:paraId="0EBC218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4.80%</w:t>
            </w:r>
          </w:p>
        </w:tc>
        <w:tc>
          <w:tcPr>
            <w:tcW w:w="1705" w:type="dxa"/>
            <w:vAlign w:val="center"/>
          </w:tcPr>
          <w:p w14:paraId="407427E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数字化获客能力稳定，线上渠道贡献提升（信用卡线上消费占比+5.0个百分点）</w:t>
            </w:r>
          </w:p>
        </w:tc>
      </w:tr>
      <w:tr w14:paraId="1F98B7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424709A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汽车金融贷款余额</w:t>
            </w:r>
          </w:p>
        </w:tc>
        <w:tc>
          <w:tcPr>
            <w:tcW w:w="1704" w:type="dxa"/>
            <w:vAlign w:val="center"/>
          </w:tcPr>
          <w:p w14:paraId="07792F4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2937.95</w:t>
            </w:r>
          </w:p>
        </w:tc>
        <w:tc>
          <w:tcPr>
            <w:tcW w:w="1704" w:type="dxa"/>
            <w:vAlign w:val="center"/>
          </w:tcPr>
          <w:p w14:paraId="73816F4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vAlign w:val="center"/>
          </w:tcPr>
          <w:p w14:paraId="3CC2177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vAlign w:val="center"/>
          </w:tcPr>
          <w:p w14:paraId="6098A36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新能源汽车贷款新发放+73.3%（637.68亿），成为零售贷款重要增长点</w:t>
            </w:r>
          </w:p>
        </w:tc>
      </w:tr>
    </w:tbl>
    <w:p w14:paraId="4F703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零售业务结论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708BB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短期阵痛：高风险零售资产（信用卡、消费贷）压降导致收入、利润大幅下滑，是全行业绩承压的核心因素。</w:t>
      </w:r>
    </w:p>
    <w:p w14:paraId="0B9F9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长期优化：抵押类贷款占比提升至62.8%（住房按揭+7.4%）、AUM稳步增长（+4.0%），资产结构更稳健，为后续盈利修复奠定基础。</w:t>
      </w:r>
    </w:p>
    <w:p w14:paraId="3FB7B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4.2对公业务：成为增长引擎，服务实体经济（单位：亿元，%）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892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1B7DF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对公业务指标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46932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FC33D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79C0A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524242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财务影响</w:t>
            </w:r>
          </w:p>
        </w:tc>
      </w:tr>
      <w:tr w14:paraId="6EBC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06A49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企业贷款余额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043E6A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16069.35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9B81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14297.9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1503D4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12.40%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31FC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对冲零售贷款收缩，支撑贷款规模基本平稳（全行贷款-1.0%）</w:t>
            </w:r>
          </w:p>
        </w:tc>
      </w:tr>
      <w:tr w14:paraId="32B5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E874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企业存款余额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AA1A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22464.98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D3EE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21996.77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1EF5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2.10%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C333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存款基础稳固，企业存款占比63.6%（2023年64.6%）</w:t>
            </w:r>
          </w:p>
        </w:tc>
      </w:tr>
      <w:tr w14:paraId="504A0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8CA3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对公客户数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59A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85.33（万户）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A09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75.40（万户）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1A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13.20%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948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客户基础扩张，战略客户（220户）贷款+20.1%（3080.57亿）、科技企业贷款+24.6%（1488.51亿）</w:t>
            </w:r>
          </w:p>
        </w:tc>
      </w:tr>
      <w:tr w14:paraId="5E9DB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646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供应链金融融资发生额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36F1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15983.12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C1EA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13329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8AB0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19.90%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D2D6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中间业务收入补充，服务产业链上下游中小微企业</w:t>
            </w:r>
          </w:p>
        </w:tc>
      </w:tr>
      <w:tr w14:paraId="40DE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238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跨境贸易融资发生额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F48B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2505.08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1FF8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1739.64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5A77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44.00%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39B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依托自贸区、离岸牌照优势，跨境业务成为新增长点</w:t>
            </w:r>
          </w:p>
        </w:tc>
      </w:tr>
      <w:tr w14:paraId="5AA4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2D239B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数字财资平台签约客户数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609018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2975（户）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475B05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962（户）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97B923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209.30%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CD80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数字化赋能对公客户，提升客户粘性和综合收益</w:t>
            </w:r>
          </w:p>
        </w:tc>
      </w:tr>
    </w:tbl>
    <w:p w14:paraId="7CB8A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对公业务结论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7D415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增长引擎：对公贷款（+12.4%）、客户数（+13.2%）、中间业务（供应链+19.9%）全面增长，是全行扩表、稳营收的核心支撑。</w:t>
      </w:r>
    </w:p>
    <w:p w14:paraId="6D7DC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战略契合：聚焦“新制造、新能源”（贷款新发放+41.9%）、科技金融（贷款+24.6%），符合国家战略导向，资产质量相对可控（企业贷款不良率0.70%，虽+0.07个百分点但仍低于全行平均）。</w:t>
      </w:r>
    </w:p>
    <w:p w14:paraId="10D9C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4.3资金同业业务：非息收入核心贡献者（单位：亿元，%）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B23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76FEF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同业业务指标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0FA82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5A76B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DBCD0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D0C7AA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财务影响</w:t>
            </w:r>
          </w:p>
        </w:tc>
      </w:tr>
      <w:tr w14:paraId="6895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D04589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债券交易量市场份额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3D5B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4.40%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940BC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3.20%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8F332F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+1.2个百分点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2BEB2F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交易能力提升，获外汇交易中心“年度市场影响力机构”</w:t>
            </w:r>
          </w:p>
        </w:tc>
      </w:tr>
      <w:tr w14:paraId="19F8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7ADC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同业渠道销售债券规模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09C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2901.37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93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2078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7F9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39.60%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CA7C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服务实体发债融资，佣金收入补充</w:t>
            </w:r>
          </w:p>
        </w:tc>
      </w:tr>
      <w:tr w14:paraId="4A618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609B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行e通平台资管产品保有规模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E7E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2667.05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EBD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1999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FEDF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33.20%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D83B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机构销售能力增强，非息收入贡献提升</w:t>
            </w:r>
          </w:p>
        </w:tc>
      </w:tr>
      <w:tr w14:paraId="2267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5A0B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外汇及衍生品避险客户数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5030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14987（户）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C42F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12860（户）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7310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16.50%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FA1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服务企业汇率风险管理，中间业务收入增长</w:t>
            </w:r>
          </w:p>
        </w:tc>
      </w:tr>
      <w:tr w14:paraId="63B1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0D3F59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托管净值规模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12EB8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91000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6FF68D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86900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9E14FB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4.60%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F8E226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公募基金托管+24.0%（21700亿），获《证券时报》“杰出资产托管银行”</w:t>
            </w:r>
          </w:p>
        </w:tc>
      </w:tr>
    </w:tbl>
    <w:p w14:paraId="1D91F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同业业务结论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031D1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非息支柱：通过“投资交易（债券+53.3%）+客户业务（销售+39.6%）”双轮驱动，其他非息收入增长68.7%，有效对冲息差收窄压力。</w:t>
      </w:r>
    </w:p>
    <w:p w14:paraId="249AA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市场地位：债券做市、外汇衍生品等业务领先，成为金融市场重要参与者，提升综合收益能力。</w:t>
      </w:r>
    </w:p>
    <w:p w14:paraId="37D57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五、风险管理与资本实力评估</w:t>
      </w:r>
    </w:p>
    <w:p w14:paraId="697C3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5.1信用风险：表面平稳，潜在压力需警惕</w:t>
      </w:r>
    </w:p>
    <w:p w14:paraId="67903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5.1.1信用风险核心指标（单位：亿元，%）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E92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80DF8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1B80B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F864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A6780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39A63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风险解读</w:t>
            </w:r>
          </w:p>
        </w:tc>
      </w:tr>
      <w:tr w14:paraId="3D84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0B08A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不良贷款余额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1D5A0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357.38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5A701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360.36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26256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-0.80%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5D11C7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余额微降，但结构分化：个人贷款不良率1.39%（+0.02个百分点）、企业贷款0.70%（+0.07个百分点）</w:t>
            </w:r>
          </w:p>
        </w:tc>
      </w:tr>
      <w:tr w14:paraId="63D8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90F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不良贷款率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F8F2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1.06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1F24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49F3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持平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EF2C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表面优于行业（1.19%），但还原后（超90天逾期+重组）达1.79%（雪球数据），真实风险更高</w:t>
            </w:r>
          </w:p>
        </w:tc>
      </w:tr>
      <w:tr w14:paraId="1EBB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5D94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关注类贷款余额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5783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649.6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C160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597.32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056A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8.80%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1214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主要因房地产行业风险上升，部分涉房业务（开发贷、经营性物业贷）划入关注类</w:t>
            </w:r>
          </w:p>
        </w:tc>
      </w:tr>
      <w:tr w14:paraId="2EA02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C1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拨备覆盖率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361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250.71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38E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277.63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0324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-26.92个百分点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EF35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仍高于行业（248.52%），但还原后仅148.77%，风险缓冲能力弱化</w:t>
            </w:r>
          </w:p>
        </w:tc>
      </w:tr>
      <w:tr w14:paraId="45474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C4F8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不良资产清收额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E8D1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321.89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193C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2B35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7B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现金清收占比86.6%，清收效率较高，缓解不良压力</w:t>
            </w:r>
          </w:p>
        </w:tc>
      </w:tr>
      <w:tr w14:paraId="2CEA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D10073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房地产相关风险敞口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913F2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2733.37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C3A85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2841.96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303546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-3.80%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28CED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实有及或有信贷压降，开发贷占比2.3%（低敞口），但不良率1.79%（+0.93个百分点）</w:t>
            </w:r>
          </w:p>
        </w:tc>
      </w:tr>
    </w:tbl>
    <w:p w14:paraId="2F0FC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信用风险结论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632A8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表面可控：不良率持平、拨备充足、清收力度大，短期风险无虞。</w:t>
      </w:r>
    </w:p>
    <w:p w14:paraId="131C2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潜在压力：关注类贷款增长、房地产不良率上升、还原后指标恶化，需警惕经济复苏不及预期下的风险迁移（尤其是零售客户还款能力、房企资金链）。</w:t>
      </w:r>
    </w:p>
    <w:p w14:paraId="039A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5.2资本充足率：内生能力不足，资本补充需求上升</w:t>
      </w:r>
    </w:p>
    <w:p w14:paraId="05CAD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5.2.1资本充足率对比（单位：%）</w:t>
      </w:r>
    </w:p>
    <w:tbl>
      <w:tblPr>
        <w:tblStyle w:val="7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 w14:paraId="016D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9CD43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资本指标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B8E1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7F413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A3F889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3E02CB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行业平均（2024年）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D7E717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风险解读</w:t>
            </w:r>
          </w:p>
        </w:tc>
      </w:tr>
      <w:tr w14:paraId="0503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E84B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核心一级资本充足率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04CF7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9.12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E328A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9.22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82F5F2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-0.10个百分点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0C1BD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11.31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B3CFA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低于行业平均2.19个百分点，内生资本积累能力弱（净利润降4.2%，风险加权资产增6.5%）</w:t>
            </w:r>
          </w:p>
        </w:tc>
      </w:tr>
      <w:tr w14:paraId="612C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3147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一级资本充足率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1C2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10.69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D0C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10.9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2ECE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-0.21个百分点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682D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13.03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2B86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2024年发行200亿永续债补充其他一级资本，但仍低于行业</w:t>
            </w:r>
          </w:p>
        </w:tc>
      </w:tr>
      <w:tr w14:paraId="5DD84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0F1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资本充足率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276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13.11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C349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13.43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69D4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-0.32个百分点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6AB9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16.32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8BEC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满足监管要求（10.75%），但安全边际收窄，未来或需通过配股、发债补充资本</w:t>
            </w:r>
          </w:p>
        </w:tc>
      </w:tr>
      <w:tr w14:paraId="694F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94EAD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风险加权资产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CF5E13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44451.17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DE07B3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41740.44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21EDDA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6.50%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B451BB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B7B941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表外风险加权资产增30%（占增量65%）、市场风险加权资产增83%（占增量40%），资本消耗快</w:t>
            </w:r>
          </w:p>
        </w:tc>
      </w:tr>
    </w:tbl>
    <w:p w14:paraId="3E98F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资本实力结论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7BCE3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短期达标：各级资本充足率满足监管要求，无资本短缺风险。</w:t>
      </w:r>
    </w:p>
    <w:p w14:paraId="33A3D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长期承压：风险加权资产增速（6.5%）高于资本增速（4.8%），内生资本（净利润）下降，未来或需外部融资（如配股、二级资本债），可能稀释股东权益。</w:t>
      </w:r>
    </w:p>
    <w:p w14:paraId="75E10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5.3流动性风险：边际改善，仍处行业低位</w:t>
      </w:r>
    </w:p>
    <w:p w14:paraId="14724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5.3.1流动性风险指标（单位：%，亿元）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E7C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A4DAB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流动性指标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B7DBC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8DA74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AB6C0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B09D56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风险解读</w:t>
            </w:r>
          </w:p>
        </w:tc>
      </w:tr>
      <w:tr w14:paraId="2605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0F4B3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流动性覆盖率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80D89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136.15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3AA152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112.34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1EA20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+23.81个百分点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0D753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较2023年改善，但在股份行中仍处低位（如招行、兴业超150%）；改善主因优质流动性资产+9.4%（6617.16亿）</w:t>
            </w:r>
          </w:p>
        </w:tc>
      </w:tr>
      <w:tr w14:paraId="30EC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C95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净稳定资金比例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2DC8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106.89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8122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105.49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13F2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+1.40个百分点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226D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略高于监管红线（100%），基本符合行业平均，长期资金来源稳定性一般</w:t>
            </w:r>
          </w:p>
        </w:tc>
      </w:tr>
      <w:tr w14:paraId="32F6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521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流动性比例（本外币）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A5A7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68.91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608A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68.01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F3D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+0.90个百分点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8723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远高于监管红线（25%），短期流动性充裕</w:t>
            </w:r>
          </w:p>
        </w:tc>
      </w:tr>
      <w:tr w14:paraId="2BF9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51A7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优质流动性资产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BD0A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6617.16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E621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6047.08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9817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9.40%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DBAC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以国债、政策性金融债为主，变现能力强</w:t>
            </w:r>
          </w:p>
        </w:tc>
      </w:tr>
      <w:tr w14:paraId="36C6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B1B014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未来30天净现金流出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E6734D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4860.21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17D1E6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5383.04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DA1D8B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-9.70%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5CC5A2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现金流出减少助力流动性覆盖率提升，属短期改善</w:t>
            </w:r>
          </w:p>
        </w:tc>
      </w:tr>
    </w:tbl>
    <w:p w14:paraId="6A912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流动性风险结论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18FB0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短期安全：流动性比例、优质流动性资产充足，短期偿债无虞。</w:t>
      </w:r>
    </w:p>
    <w:p w14:paraId="04D65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长期待升：流动性覆盖率、净稳定资金比例虽改善但仍处行业中下游，依赖短期资金（如卖出回购+125.6%），需优化“长期负债-长期资产”匹配度。</w:t>
      </w:r>
    </w:p>
    <w:p w14:paraId="2F801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六、投资策略建议</w:t>
      </w:r>
    </w:p>
    <w:p w14:paraId="35F3F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6.1核心投资逻辑（优势VS风险）</w:t>
      </w:r>
    </w:p>
    <w:p w14:paraId="47801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6.1.1核心优势</w:t>
      </w:r>
    </w:p>
    <w:p w14:paraId="195DA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高股息防御属性</w:t>
      </w:r>
      <w:r>
        <w:rPr>
          <w:rFonts w:hint="eastAsia" w:ascii="宋体" w:hAnsi="宋体" w:eastAsia="宋体" w:cs="宋体"/>
          <w:sz w:val="24"/>
          <w:szCs w:val="24"/>
        </w:rPr>
        <w:t>：2024年分红率26.51%，股息率5.1%，高于多数股份行（如招行4.5%、兴业4.8%），适合低风险偏好投资者。</w:t>
      </w:r>
    </w:p>
    <w:p w14:paraId="2859E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对公业务增长确定性</w:t>
      </w:r>
      <w:r>
        <w:rPr>
          <w:rFonts w:hint="eastAsia" w:ascii="宋体" w:hAnsi="宋体" w:eastAsia="宋体" w:cs="宋体"/>
          <w:sz w:val="24"/>
          <w:szCs w:val="24"/>
        </w:rPr>
        <w:t>：对公贷款+12.4%，聚焦新能源、新制造等政策支持领域，未来随经济复苏，对公利息收入、中间业务收入有望持续增长。</w:t>
      </w:r>
    </w:p>
    <w:p w14:paraId="46D3D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负债成本持续优化</w:t>
      </w:r>
      <w:r>
        <w:rPr>
          <w:rFonts w:hint="eastAsia" w:ascii="宋体" w:hAnsi="宋体" w:eastAsia="宋体" w:cs="宋体"/>
          <w:sz w:val="24"/>
          <w:szCs w:val="24"/>
        </w:rPr>
        <w:t>：存款付息率-13BP，个人存款+6.6%，低成本存款（代发、零售AUM沉淀）占比提升，为息差筑底提供支撑。</w:t>
      </w:r>
    </w:p>
    <w:p w14:paraId="41C95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估值历史低位</w:t>
      </w:r>
      <w:r>
        <w:rPr>
          <w:rFonts w:hint="eastAsia" w:ascii="宋体" w:hAnsi="宋体" w:eastAsia="宋体" w:cs="宋体"/>
          <w:sz w:val="24"/>
          <w:szCs w:val="24"/>
        </w:rPr>
        <w:t>：PB0.55（近十年13%分位数），反映市场对零售转型的悲观预期，若转型成效兑现（如零售AUM增速回升、不良率改善），估值存在修复空间。</w:t>
      </w:r>
    </w:p>
    <w:p w14:paraId="596B4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6.1.2核心风险</w:t>
      </w:r>
    </w:p>
    <w:p w14:paraId="43CF3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零售转型阵痛延长</w:t>
      </w:r>
      <w:r>
        <w:rPr>
          <w:rFonts w:hint="eastAsia" w:ascii="宋体" w:hAnsi="宋体" w:eastAsia="宋体" w:cs="宋体"/>
          <w:sz w:val="24"/>
          <w:szCs w:val="24"/>
        </w:rPr>
        <w:t>：零售收入-25.9%、净利润-94.8%，若消费复苏不及预期，高风险资产压降可能持续拖累营收，且还原后不良率1.79%存在隐忧。</w:t>
      </w:r>
    </w:p>
    <w:p w14:paraId="33AAD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净息差持续承压</w:t>
      </w:r>
      <w:r>
        <w:rPr>
          <w:rFonts w:hint="eastAsia" w:ascii="宋体" w:hAnsi="宋体" w:eastAsia="宋体" w:cs="宋体"/>
          <w:sz w:val="24"/>
          <w:szCs w:val="24"/>
        </w:rPr>
        <w:t>：2024年净息差1.87%（-51BP），2025年仍有下行压力（LPR或再降、存量房贷重定价），利息净收入可能进一步收缩。</w:t>
      </w:r>
    </w:p>
    <w:p w14:paraId="0C92A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资本补充压力</w:t>
      </w:r>
      <w:r>
        <w:rPr>
          <w:rFonts w:hint="eastAsia" w:ascii="宋体" w:hAnsi="宋体" w:eastAsia="宋体" w:cs="宋体"/>
          <w:sz w:val="24"/>
          <w:szCs w:val="24"/>
        </w:rPr>
        <w:t>：核心一级资本充足率9.12%（低于行业2.19个百分点），风险加权资产增速快于资本增速，未来或需外部融资（配股、发债），稀释股东收益。</w:t>
      </w:r>
    </w:p>
    <w:p w14:paraId="08558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房地产风险暴露</w:t>
      </w:r>
      <w:r>
        <w:rPr>
          <w:rFonts w:hint="eastAsia" w:ascii="宋体" w:hAnsi="宋体" w:eastAsia="宋体" w:cs="宋体"/>
          <w:sz w:val="24"/>
          <w:szCs w:val="24"/>
        </w:rPr>
        <w:t>：房地产相关敞口2733.37亿，不良率1.79%（+0.93个百分点），若房企资金链进一步恶化，可能引发不良率上升、拨备计提增加。</w:t>
      </w:r>
    </w:p>
    <w:p w14:paraId="7DBC9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6.2目标客群与配置策略</w:t>
      </w:r>
    </w:p>
    <w:p w14:paraId="69A3F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6.2.1短期防御型投资者（持有6-12个月）</w:t>
      </w:r>
    </w:p>
    <w:p w14:paraId="66A68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配置逻辑</w:t>
      </w:r>
      <w:r>
        <w:rPr>
          <w:rFonts w:hint="eastAsia" w:ascii="宋体" w:hAnsi="宋体" w:eastAsia="宋体" w:cs="宋体"/>
          <w:sz w:val="24"/>
          <w:szCs w:val="24"/>
        </w:rPr>
        <w:t>：高股息+估值低位，短期下跌空间有限，适合追求稳定现金流的投资者（如保险、社保）。</w:t>
      </w:r>
    </w:p>
    <w:p w14:paraId="37F61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配置比例</w:t>
      </w:r>
      <w:r>
        <w:rPr>
          <w:rFonts w:hint="eastAsia" w:ascii="宋体" w:hAnsi="宋体" w:eastAsia="宋体" w:cs="宋体"/>
          <w:sz w:val="24"/>
          <w:szCs w:val="24"/>
        </w:rPr>
        <w:t>：建议配置组合的5%-10%，作为固定收益类资产的补充（股息率5.1%高于多数理财产品）。</w:t>
      </w:r>
    </w:p>
    <w:p w14:paraId="0F4EC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退出条件</w:t>
      </w:r>
      <w:r>
        <w:rPr>
          <w:rFonts w:hint="eastAsia" w:ascii="宋体" w:hAnsi="宋体" w:eastAsia="宋体" w:cs="宋体"/>
          <w:sz w:val="24"/>
          <w:szCs w:val="24"/>
        </w:rPr>
        <w:t>：若股息率低于4%（股价上涨或分红减少）、净息差跌破1.7%（盈利大幅恶化），可考虑减持。</w:t>
      </w:r>
    </w:p>
    <w:p w14:paraId="2D000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6.2.2长期价值型投资者（持有1-3年）</w:t>
      </w:r>
    </w:p>
    <w:p w14:paraId="201B6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配置逻辑</w:t>
      </w:r>
      <w:r>
        <w:rPr>
          <w:rFonts w:hint="eastAsia" w:ascii="宋体" w:hAnsi="宋体" w:eastAsia="宋体" w:cs="宋体"/>
          <w:sz w:val="24"/>
          <w:szCs w:val="24"/>
        </w:rPr>
        <w:t>：零售转型（抵押类占比提升、AUM增长）+对公增长（新能源/新制造）+非息收入多元化，长期盈利有望修复，估值存在双击空间。</w:t>
      </w:r>
    </w:p>
    <w:p w14:paraId="1538B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配置比例</w:t>
      </w:r>
      <w:r>
        <w:rPr>
          <w:rFonts w:hint="eastAsia" w:ascii="宋体" w:hAnsi="宋体" w:eastAsia="宋体" w:cs="宋体"/>
          <w:sz w:val="24"/>
          <w:szCs w:val="24"/>
        </w:rPr>
        <w:t>：建议配置组合的10%-15%，耐心等待转型拐点。</w:t>
      </w:r>
    </w:p>
    <w:p w14:paraId="1120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加仓条件</w:t>
      </w:r>
      <w:r>
        <w:rPr>
          <w:rFonts w:hint="eastAsia" w:ascii="宋体" w:hAnsi="宋体" w:eastAsia="宋体" w:cs="宋体"/>
          <w:sz w:val="24"/>
          <w:szCs w:val="24"/>
        </w:rPr>
        <w:t>：1.零售贷款增速回正（如个人贷款+5%以上）；2.还原后不良率降至1.5%以下；3.净息差企稳（如1.8%以上）。</w:t>
      </w:r>
    </w:p>
    <w:p w14:paraId="3ABBA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6.3关键跟踪指标（月度/季度）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7044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C1DB2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指标类型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AF49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跟踪指标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F353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预警阈值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A9513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意义</w:t>
            </w:r>
          </w:p>
        </w:tc>
      </w:tr>
      <w:tr w14:paraId="4013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A3FA6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盈利指标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939354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净息差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22CE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&lt;1.7%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5CBB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息差持续收窄可能导致净利润大幅下滑</w:t>
            </w:r>
          </w:p>
        </w:tc>
      </w:tr>
      <w:tr w14:paraId="4B29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4635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9DC0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非利息收入增速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C8B6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&lt;10%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7BD8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非息收入对冲能力弱化</w:t>
            </w:r>
          </w:p>
        </w:tc>
      </w:tr>
      <w:tr w14:paraId="1862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30E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资产质量指标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AF60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不良贷款率（还原后）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5F3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&gt;1.8%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872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真实资产质量恶化</w:t>
            </w:r>
          </w:p>
        </w:tc>
      </w:tr>
      <w:tr w14:paraId="7E699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8525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BB43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关注类贷款占比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DE53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&gt;2.0%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8CCD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潜在风险迁移压力加大</w:t>
            </w:r>
          </w:p>
        </w:tc>
      </w:tr>
      <w:tr w14:paraId="6341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627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业务转型指标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82DC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零售贷款增速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9797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&lt;0%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5D1D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零售业务收缩持续</w:t>
            </w:r>
          </w:p>
        </w:tc>
      </w:tr>
      <w:tr w14:paraId="3521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1790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B2E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对公新兴行业贷款增速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23DA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&lt;30%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5BE1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对公增长动能减弱</w:t>
            </w:r>
          </w:p>
        </w:tc>
      </w:tr>
      <w:tr w14:paraId="3384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1C46ED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资本指标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0ECBDA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核心一级资本充足率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9BEC33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&lt;9.0%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7A703D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资本补充需求迫切，可能触发外部融资</w:t>
            </w:r>
          </w:p>
        </w:tc>
      </w:tr>
    </w:tbl>
    <w:p w14:paraId="289A4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6.4风险提示</w:t>
      </w:r>
    </w:p>
    <w:p w14:paraId="3C0BA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宏观经济风险</w:t>
      </w:r>
      <w:r>
        <w:rPr>
          <w:rFonts w:hint="eastAsia" w:ascii="宋体" w:hAnsi="宋体" w:eastAsia="宋体" w:cs="宋体"/>
          <w:sz w:val="24"/>
          <w:szCs w:val="24"/>
        </w:rPr>
        <w:t>：若GDP增速低于5%，消费复苏不及预期，零售客户还款能力、对公企业盈利可能恶化，导致不良率上升。</w:t>
      </w:r>
    </w:p>
    <w:p w14:paraId="72EB7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政策风险</w:t>
      </w:r>
      <w:r>
        <w:rPr>
          <w:rFonts w:hint="eastAsia" w:ascii="宋体" w:hAnsi="宋体" w:eastAsia="宋体" w:cs="宋体"/>
          <w:sz w:val="24"/>
          <w:szCs w:val="24"/>
        </w:rPr>
        <w:t>：LPR超预期下调、房地产调控政策收紧，可能进一步压低息差、加剧房地产风险敞口压力。</w:t>
      </w:r>
    </w:p>
    <w:p w14:paraId="0BDBF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转型不及风险</w:t>
      </w:r>
      <w:r>
        <w:rPr>
          <w:rFonts w:hint="eastAsia" w:ascii="宋体" w:hAnsi="宋体" w:eastAsia="宋体" w:cs="宋体"/>
          <w:sz w:val="24"/>
          <w:szCs w:val="24"/>
        </w:rPr>
        <w:t>：零售业务从“高风险”向“稳健型”转型周期超预期（如2年以上），长期盈利修复延迟。</w:t>
      </w:r>
    </w:p>
    <w:p w14:paraId="6C428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七、结论</w:t>
      </w:r>
    </w:p>
    <w:p w14:paraId="1EB72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安银行2024年处于“零售转型阵痛、对公补位增长”的关键阶段：短期看，营收（-10.9%）、净利润（-4.2%）双降，净息差收窄（1.87%）、还原后不良率高（1.79%），业绩承压明显；但中长期看，对公业务（+12.4%）、非息收入（+14.0%）成为增长引擎，零售资产结构优化（抵押类占比62.8%）、负债成本持续改善，为盈利修复奠定基础。</w:t>
      </w:r>
    </w:p>
    <w:p w14:paraId="6EDA1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投资策略上，短期建议防御配置（高股息5.1%），长期可逢低布局（估值PB0.55历史低位），核心跟踪零售转型拐点、净息差企稳、不良率改善三大指标。</w:t>
      </w:r>
    </w:p>
    <w:p w14:paraId="07FAC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A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2026-01-09T13:20:35Z</dcterms:created>
  <dc:creator>Administrator</dc:creator>
  <cp:lastModifiedBy>Lzh</cp:lastModifiedBy>
  <dcterms:modified xsi:type="dcterms:W3CDTF">2026-01-09T13:31:42Z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eyJoZGlkIjoiMDBhOTYyZDNmMzNjYmYxYTVkMTk3NmYyNzhkNzQ5MjEiLCJ1c2VySWQiOiI2NDA5MDg3MDgifQ==</vt:lpwstr>
  </property>
  <property fmtid="{D5CDD505-2E9C-101B-9397-08002B2CF9AE}" pid="4" name="ICV">
    <vt:lpwstr>270D72290981419BA1AE35A7CD2C9DF7_12</vt:lpwstr>
  </property>
</Properties>
</file>