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60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44"/>
          <w:szCs w:val="44"/>
        </w:rPr>
      </w:pPr>
      <w:r>
        <w:rPr>
          <w:rFonts w:hint="default" w:ascii="Times New Roman" w:hAnsi="Times New Roman" w:eastAsia="宋体" w:cs="Times New Roman"/>
          <w:sz w:val="44"/>
          <w:szCs w:val="44"/>
        </w:rPr>
        <w:t>平安银行2024年年报分析</w:t>
      </w:r>
    </w:p>
    <w:p w14:paraId="19B2D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一、分析框架与数据来源</w:t>
      </w:r>
    </w:p>
    <w:p w14:paraId="148E4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1.1分析框架设计（投资视角下的年报分析流程）</w:t>
      </w:r>
    </w:p>
    <w:p w14:paraId="5A84A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本次平安银行年报分析遵循“数据穿透-模块拆解-联动验证-策略输出”的逻辑流程，具体如下：</w:t>
      </w:r>
    </w:p>
    <w:p w14:paraId="2C779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</w:rPr>
        <w:t>数据收集：从平安银行2024年年报、同花顺金融数据库、第三方独立分析报告（雪球、新浪财经等）提取核心财务数据，交叉验证数据一致性（如净利润、净息差、不良率等关键指标）。</w:t>
      </w:r>
    </w:p>
    <w:p w14:paraId="5DE77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</w:rPr>
        <w:t>核心财务概览：通过关键指标（盈利、偿债、运营、估值）快速判断银行整体经营状况，建立初步认知。</w:t>
      </w:r>
    </w:p>
    <w:p w14:paraId="38A4C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</w:rPr>
        <w:t>财务报表深度拆解：逐一分析利润表（营收/支出结构）、资产负债表（资产/负债配置）、现金流量表（现金流健康度），挖掘财务数据背后的业务逻辑。</w:t>
      </w:r>
    </w:p>
    <w:p w14:paraId="2037D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>业务-财务联动分析：将零售、对公、同业三大业务板块的财务表现与战略转型结合，评估业务调整对财务指标的影响。</w:t>
      </w:r>
    </w:p>
    <w:p w14:paraId="79D45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</w:rPr>
        <w:t>风险管理评估：从信用风险、资本充足率、流动性风险三维度，判断银行风险抵御能力及潜在风险点。</w:t>
      </w:r>
    </w:p>
    <w:p w14:paraId="1BC67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z w:val="24"/>
          <w:szCs w:val="24"/>
        </w:rPr>
        <w:t>投资策略输出：基于前述分析，总结核心投资逻辑（优势/风险），针对不同客群给出配置建议，并明确关键跟踪指标。</w:t>
      </w:r>
    </w:p>
    <w:p w14:paraId="15CFA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1.2数据来源</w:t>
      </w:r>
    </w:p>
    <w:p w14:paraId="1FFDC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核心数据源：《平安银行股份有限公司2024年年度报告》（2025年3月15日披露）</w:t>
      </w:r>
    </w:p>
    <w:p w14:paraId="3CE67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补充财务数据：同花顺金融数据库（每股收益、资产负债率等明细指标）</w:t>
      </w:r>
    </w:p>
    <w:p w14:paraId="73415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独立分析参考：雪球《看透银行股——平安银行2024年年报解析(风险维度)》、新浪财经《平安银行(000001):砥砺前行》、上海证券报《详解平安银行年报：零售转型“阵痛”延续》</w:t>
      </w:r>
    </w:p>
    <w:p w14:paraId="0C5E6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二、平安银行2024年核心财务指标概览</w:t>
      </w:r>
    </w:p>
    <w:p w14:paraId="6017B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2.1关键财务指标对比表（单位：亿元/%/元）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340"/>
        <w:gridCol w:w="1341"/>
        <w:gridCol w:w="1341"/>
        <w:gridCol w:w="1345"/>
        <w:gridCol w:w="1866"/>
      </w:tblGrid>
      <w:tr w14:paraId="0000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CE5240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指标类别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FE2DA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E3E01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EA32B4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2EFE7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FC8F1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指标解读</w:t>
            </w:r>
          </w:p>
        </w:tc>
      </w:tr>
      <w:tr w14:paraId="4BA1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9A160B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盈利指标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E0860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营业收入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BBD74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1466.95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8518B1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1646.99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8C3A6E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-10.90%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018AFF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受零售高风险资产压降、LPR下调影响，营收同比下滑，降幅较前三季度收窄1.7个百分点</w:t>
            </w:r>
          </w:p>
        </w:tc>
      </w:tr>
      <w:tr w14:paraId="0982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97E4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B3F1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归母净利润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4C85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445.08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E1B9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464.55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CE0B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-4.20%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CF4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净利润降幅小于营收，主要因信用减值损失减少16.4%、业务及管理费下降11.7%</w:t>
            </w:r>
          </w:p>
        </w:tc>
      </w:tr>
      <w:tr w14:paraId="2D6F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FC1C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2887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基本每股收益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9316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2.15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E251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2.25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6D0D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-4.40%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9E7C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与净利润变动趋势一致，反映股东每股收益小幅下滑</w:t>
            </w:r>
          </w:p>
        </w:tc>
      </w:tr>
      <w:tr w14:paraId="586F3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C08E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8410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销售净利率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EFB0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30.34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5084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63DC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F70C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净利率保持30%以上，盈利能力仍具韧性（数据来源：同花顺）</w:t>
            </w:r>
          </w:p>
        </w:tc>
      </w:tr>
      <w:tr w14:paraId="69D84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D008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480C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加权平均净资产收益率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B358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10.08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884D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11.38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D2F5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-1.30个百分点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04D1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净资产收益下滑，受净利润下降、净资产增长双重影响</w:t>
            </w:r>
          </w:p>
        </w:tc>
      </w:tr>
      <w:tr w14:paraId="51B4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DF85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息差与收益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BA09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净息差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6494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1.87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19A8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2.38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749B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-0.51个百分点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07E0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息差收窄至2%以下，因资产端收益率降61BP（3.97%→4.58%），负债端成本降12BP</w:t>
            </w:r>
          </w:p>
        </w:tc>
      </w:tr>
      <w:tr w14:paraId="3D7EA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DC13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BA20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生息资产平均收益率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F15D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3.97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332F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4.58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DF7C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-0.61个百分点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CC01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贷款收益率下降（企业贷3.56%→4.00%，个人贷5.56%→6.58%）</w:t>
            </w:r>
          </w:p>
        </w:tc>
      </w:tr>
      <w:tr w14:paraId="65A95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F776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D3DD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计息负债平均付息率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2784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2.14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51B5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2.27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3806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-0.13个百分点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C288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存款成本优化，个人存款付息率2.18%→2.33%，企业存款2.01%→2.13%</w:t>
            </w:r>
          </w:p>
        </w:tc>
      </w:tr>
      <w:tr w14:paraId="7A2E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FB93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资产质量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D0B8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不良贷款率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2E0B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1.06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FB4D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1.06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10EB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持平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9256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表面不良率优于行业，但还原后（含超90天逾期+重组）达1.79%（雪球数据）</w:t>
            </w:r>
          </w:p>
        </w:tc>
      </w:tr>
      <w:tr w14:paraId="46FE2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C05D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A0C4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拨备覆盖率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FE6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250.71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1AC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277.63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C218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-26.92个百分点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B28F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仍高于行业平均，但缓冲空间收窄；还原后拨备覆盖率148.77%（接近监管红线130%）</w:t>
            </w:r>
          </w:p>
        </w:tc>
      </w:tr>
      <w:tr w14:paraId="4AFF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3AB4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31C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关注类贷款占比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3E21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1.93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91B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1.75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FDA2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+0.18个百分点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A2A0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受房地产行业影响，部分涉房业务风险上升，需警惕潜在迁移压力</w:t>
            </w:r>
          </w:p>
        </w:tc>
      </w:tr>
      <w:tr w14:paraId="5982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B02D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偿债与资本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58B0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资产负债率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C08E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91.42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1402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30FF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6157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高负债符合银行业特性，负债结构以存款为主（占比67.0%）</w:t>
            </w:r>
          </w:p>
        </w:tc>
      </w:tr>
      <w:tr w14:paraId="3C24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5E81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FF43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核心一级资本充足率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9C95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9.12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D1CD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9.22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0326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-0.10个百分点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1121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低于行业平均，内生资本积累能力待加强（风险加权资产增速高于资本增速）</w:t>
            </w:r>
          </w:p>
        </w:tc>
      </w:tr>
      <w:tr w14:paraId="09FE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D57D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CC5E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资本充足率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7185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13.11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11D3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13.43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7A17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-0.32个百分点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3A07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满足监管要求（系统重要性银行第一组，附加资本0.25%），但安全边际收窄</w:t>
            </w:r>
          </w:p>
        </w:tc>
      </w:tr>
      <w:tr w14:paraId="071FD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F084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估值与分红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1E51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股息率（按收盘价11.97元）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EEF9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5.1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FF73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ED3B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6A47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分红率26.51%（派息6.08元/10股），高股息具备防御属性</w:t>
            </w:r>
          </w:p>
        </w:tc>
      </w:tr>
      <w:tr w14:paraId="7BB1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AAF4B1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64B00E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市净率（PB）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83EF4A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0.55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3A71BD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3BC718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800FB5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处于近十年13%分位数，估值历史低位（新浪财经股吧数据）</w:t>
            </w:r>
          </w:p>
        </w:tc>
      </w:tr>
    </w:tbl>
    <w:p w14:paraId="55FF3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三、财务报表深度分析</w:t>
      </w:r>
    </w:p>
    <w:p w14:paraId="2C8C0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3.1利润表分析：营收承压但成本管控对冲利润下滑</w:t>
      </w:r>
    </w:p>
    <w:p w14:paraId="67FA4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3.1.1营业收入结构表（单位：亿元，%）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3B9D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5515CA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营收项目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63A5B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72BAE1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65755B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655F6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占营收比重（2024年）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C02D3D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核心驱动因素</w:t>
            </w:r>
          </w:p>
        </w:tc>
      </w:tr>
      <w:tr w14:paraId="2A77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7610D2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营业收入合计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D51D9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1466.95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8A98DA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1646.99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58B11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-10.90%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7D70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100.00%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38CDFB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</w:tr>
      <w:tr w14:paraId="40577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94DE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一、利息净收入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27C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934.27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9332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1179.91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8D28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-20.80%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4F96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63.70%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A101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1.资产端：零售高风险贷款压降（消费贷-13%、信用卡-15.4%）+LPR下调；2.负债端：存款成本优化部分对冲</w:t>
            </w:r>
          </w:p>
        </w:tc>
      </w:tr>
      <w:tr w14:paraId="2C52A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A14F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其中：发放贷款利息收入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F67F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1541.99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D53A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1838.49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9D27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-16.10%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7B22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105.1%（占利息收入）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DD91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企业贷款利息收入492.06亿（+6.2%），对冲个人贷款利息收入1015.65亿（-24.0%）</w:t>
            </w:r>
          </w:p>
        </w:tc>
      </w:tr>
      <w:tr w14:paraId="37F24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DD9C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二、非利息净收入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BAE4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532.68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176D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467.08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ADE9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14.00%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C567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36.30%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1B1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成为营收“稳定器”，主要依赖其他非利息收入增长（债券投资收益+53.3%）</w:t>
            </w:r>
          </w:p>
        </w:tc>
      </w:tr>
      <w:tr w14:paraId="4E70A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22FB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1.手续费及佣金净收入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A669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241.12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6EA4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294.3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7579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-18.10%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B58D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16.40%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02BD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受银保渠道降费（代理保险收入-29.4%）、信用卡手续费-18.3%拖累</w:t>
            </w:r>
          </w:p>
        </w:tc>
      </w:tr>
      <w:tr w14:paraId="30B18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C3A00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2.其他非利息净收入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0E88D9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291.56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276512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172.78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1CEF3C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68.70%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57D67F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19.90%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2E9E3E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投资收益246.04亿（+53.3%）、公允价值变动损益31.04亿（2023年为-3.54亿）</w:t>
            </w:r>
          </w:p>
        </w:tc>
      </w:tr>
    </w:tbl>
    <w:p w14:paraId="7305C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3.1.2营业支出结构表（单位：亿元，%）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D379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E9AB0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支出项目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432510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9F6DF7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C94EB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0E586B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核心驱动因素</w:t>
            </w:r>
          </w:p>
        </w:tc>
      </w:tr>
      <w:tr w14:paraId="10F9B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E4287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营业支出合计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05F81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420.61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4D6739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476.77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03C79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-11.70%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86CF8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降本增效成效显著，成本收入比27.66%（-0.24个百分点）</w:t>
            </w:r>
          </w:p>
        </w:tc>
      </w:tr>
      <w:tr w14:paraId="756D7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4F5D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1.业务及管理费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448F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405.82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3346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459.59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60BB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-11.70%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37BA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1.员工费用191.26亿（-8.5%，人员优化至4.1万人，较2023年减2108人）；2.一般管理费用156.19亿（-15.9%）</w:t>
            </w:r>
          </w:p>
        </w:tc>
      </w:tr>
      <w:tr w14:paraId="13B9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EE2F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2.信用及其他资产减值损失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70FE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494.28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8CB8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590.94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CE11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-16.40%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29F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1.贷款减值损失529.24亿（-15.8%，主动压降高风险资产减少计提）；2.债权投资减值损失36.72亿（2023年为-55.38亿）</w:t>
            </w:r>
          </w:p>
        </w:tc>
      </w:tr>
      <w:tr w14:paraId="1652E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76284E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3.税金及附加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984621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14.79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52D081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17.18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35DE6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-14.00%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356F5F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随营收下降同步减少</w:t>
            </w:r>
          </w:p>
        </w:tc>
      </w:tr>
    </w:tbl>
    <w:p w14:paraId="7C3A3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利润表核心结论：</w:t>
      </w:r>
    </w:p>
    <w:p w14:paraId="2BDA0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营收端：利息净收入是主要拖累（-20.8%），但非利息收入（+14.0%）形成对冲，反映银行从“息差依赖”向“多元营收”转型的初步成效。</w:t>
      </w:r>
    </w:p>
    <w:p w14:paraId="5C8D4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支出端：信用减值损失减少（-16.4%）和费用管控（成本收入比下降）是净利润降幅（-4.2%）小于营收降幅（-10.9%）的关键，但需注意减值减少部分源于“主动少提”（雪球分析：丰年补歉年调节），非资产质量实质改善。</w:t>
      </w:r>
    </w:p>
    <w:p w14:paraId="66F99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3.2资产负债表分析：结构调整凸显战略导向</w:t>
      </w:r>
    </w:p>
    <w:p w14:paraId="7A987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3.2.1资产结构表（单位：亿元，%）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D9C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01075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资产项目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73BF39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2024年末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09B952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2023年末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BCAC7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BD4AC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占资产比重（2024年）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3BE89F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战略逻辑</w:t>
            </w:r>
          </w:p>
        </w:tc>
      </w:tr>
      <w:tr w14:paraId="6F26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4258CF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资产总额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FA973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57692.7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C35D1C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55871.16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293986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3.30%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09B11E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100.00%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C82C9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规模平稳增长，结构向低风险、政策支持领域倾斜</w:t>
            </w:r>
          </w:p>
        </w:tc>
      </w:tr>
      <w:tr w14:paraId="6E65E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47EC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1.发放贷款和垫款本金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017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33741.03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67FC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34075.09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07E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-1.00%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3C2F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58.50%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C52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主动调整贷款结构：零售降、对公升</w:t>
            </w:r>
          </w:p>
        </w:tc>
      </w:tr>
      <w:tr w14:paraId="33F3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7B7B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其中：个人贷款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7DEC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17671.68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0001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19777.19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7CD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-10.60%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68B2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30.60%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E1DA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压降高风险：信用卡-15.4%、消费贷-13.0%；增持优质：住房按揭+7.4%、抵押类占比62.8%（+4.0个百分点）</w:t>
            </w:r>
          </w:p>
        </w:tc>
      </w:tr>
      <w:tr w14:paraId="30C21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96C0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企业贷款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2C50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16069.35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6842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14297.9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A483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12.40%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4AA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27.90%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E45C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重点投向：四大基础行业（基建/汽车/公用/地产）+35.4%、三大新兴行业（新制造/新能源/新生活）+41.9%</w:t>
            </w:r>
          </w:p>
        </w:tc>
      </w:tr>
      <w:tr w14:paraId="6CCB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E1ED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2.投资类金融资产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84F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16624.86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C22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14314.26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AEB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16.10%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80E8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28.80%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E14A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交易性金融资产+39.8%（6295.71亿），把握债市机遇；债权投资+1.6%（7850.75亿）</w:t>
            </w:r>
          </w:p>
        </w:tc>
      </w:tr>
      <w:tr w14:paraId="4FC79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EEF3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3.现金及存放央行款项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1D33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2689.73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A7F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2746.63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5989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-2.10%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BD96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4.70%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E177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因资金运用效率提升，存放央行资金减少</w:t>
            </w:r>
          </w:p>
        </w:tc>
      </w:tr>
      <w:tr w14:paraId="318B0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F26E35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4.存放同业款项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E32FA3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1320.9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097A1E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935.97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3AB52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41.10%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D575BC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2.30%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93A91C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年末同业存放增加，优化流动性管理</w:t>
            </w:r>
          </w:p>
        </w:tc>
      </w:tr>
    </w:tbl>
    <w:p w14:paraId="1D092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3.2.2负债结构表（单位：亿元，%）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3AD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0CA502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负债项目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B16469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2024年末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4A4B0E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2023年末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494A3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5734E5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占负债比重（2024年）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BF6699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核心逻辑</w:t>
            </w:r>
          </w:p>
        </w:tc>
      </w:tr>
      <w:tr w14:paraId="6407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A1720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负债总额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1094A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52744.28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A0262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51147.88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3AC3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3.10%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1648F4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100.00%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5469A8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负债规模与资产匹配增长，结构以低成本存款为主</w:t>
            </w:r>
          </w:p>
        </w:tc>
      </w:tr>
      <w:tr w14:paraId="482D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C414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1.吸收存款本金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7E3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35336.78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9DE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34072.95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5BB7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3.70%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384A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67.00%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A467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个人存款+6.6%（12871.80亿）、企业存款+2.1%（22464.98亿），低成本存款沉淀（代发AUM+20.7%）</w:t>
            </w:r>
          </w:p>
        </w:tc>
      </w:tr>
      <w:tr w14:paraId="505E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51C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2.向中央银行借款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64D4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861.1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EA33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2087.83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D0AF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-58.80%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A018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1.60%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73F5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年末人民币头寸充足，减少央行借款</w:t>
            </w:r>
          </w:p>
        </w:tc>
      </w:tr>
      <w:tr w14:paraId="2920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3B2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3.同业及其他金融机构存放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8D8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4478.77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7A2A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4677.91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22F1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-4.30%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07AD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8.50%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DCEA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同业负债适度收缩，优化负债成本</w:t>
            </w:r>
          </w:p>
        </w:tc>
      </w:tr>
      <w:tr w14:paraId="785D0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6D37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4.已发行债务证券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822C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6952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72D5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7283.28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3FF9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-4.50%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9287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13.20%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819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赎回部分高成本债务，2024年发行200亿永续债（补充其他一级资本）</w:t>
            </w:r>
          </w:p>
        </w:tc>
      </w:tr>
      <w:tr w14:paraId="6DF3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543E3C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5.卖出回购金融资产款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BA6AD5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1311.81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A070B1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581.52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54536F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125.60%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36EC44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2.50%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07EB41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债券质押融资增加，灵活调节短期流动性</w:t>
            </w:r>
          </w:p>
        </w:tc>
      </w:tr>
    </w:tbl>
    <w:p w14:paraId="7E440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资产负债表核心结论：</w:t>
      </w:r>
    </w:p>
    <w:p w14:paraId="2E345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资产端：“零售收缩、对公扩张”的结构调整明确，零售业务从“高风险高收益”转向“低风险稳健型”（抵押类占比提升），对公聚焦政策支持领域（新能源、新制造），投资类资产增长凸显资金运用灵活性。</w:t>
      </w:r>
    </w:p>
    <w:p w14:paraId="59266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负债端：存款是核心（占比67%），个人存款增速（6.6%）高于企业存款（2.1%），低成本存款（代发、零售理财沉淀）占比提升，负债成本持续优化（付息率-13BP）。</w:t>
      </w:r>
    </w:p>
    <w:p w14:paraId="3472E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3.3现金流量表分析：经营现金流收缩，投资/筹资活动反映战略布局</w:t>
      </w:r>
    </w:p>
    <w:p w14:paraId="0CD0F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3.3.1现金流量明细（单位：亿元）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081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B1838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现金流项目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9924A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3CF89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791EE4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C054E3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核心驱动因素</w:t>
            </w:r>
          </w:p>
        </w:tc>
      </w:tr>
      <w:tr w14:paraId="1BD4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045293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经营活动产生的现金流量净额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C982DA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633.36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BC07E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924.61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56E571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-31.50%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846C35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1.现金流入：吸收存款+944.86亿、卖出回购+729.24亿；2.现金流出：交易性金融资产+791.03亿、向央行借款-1214.84亿</w:t>
            </w:r>
          </w:p>
        </w:tc>
      </w:tr>
      <w:tr w14:paraId="47E2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6532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投资活动产生的现金流量净额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DCF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-318.59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26D6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-261.42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28F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-21.90%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FC82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其他债权投资支付现金增加，投资类资产规模扩张（+16.1%）</w:t>
            </w:r>
          </w:p>
        </w:tc>
      </w:tr>
      <w:tr w14:paraId="2C0C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5216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筹资活动产生的现金流量净额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8B1D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-739.33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F16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80.89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9A99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-1014.60%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03E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1.现金流入：发行债务证券+7339.97亿；2.现金流出：偿还债务+7784.65亿、分配股利+215.76亿</w:t>
            </w:r>
          </w:p>
        </w:tc>
      </w:tr>
      <w:tr w14:paraId="18B6A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99B379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现金及现金等价物净变动额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AE2988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-412.73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4BB696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758.93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18C1B0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-154.40%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8E4C45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经营现金流收缩+筹资现金流由正转负，现金储备有所下降（年末2569.46亿，2023年2982.19亿）</w:t>
            </w:r>
          </w:p>
        </w:tc>
      </w:tr>
    </w:tbl>
    <w:p w14:paraId="427B1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现金流量表核心结论：</w:t>
      </w:r>
    </w:p>
    <w:p w14:paraId="169D3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经营现金流：虽同比收缩31.5%，但仍为正，反映主营业务造血能力未失；收缩主因是交易性金融资产配置增加（把握债市机遇），属主动战略选择。</w:t>
      </w:r>
    </w:p>
    <w:p w14:paraId="73560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投资现金流：持续净流出，体现银行加大金融资产投资（债券、资管计划），弥补贷款规模收缩的资金运用缺口。</w:t>
      </w:r>
    </w:p>
    <w:p w14:paraId="741EE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筹资现金流：由正转负，因偿还债务规模（7784.65亿）大于新增融资（7339.97亿），同时分红215.76亿，反映银行优化债务结构、回报股东的导向。</w:t>
      </w:r>
    </w:p>
    <w:p w14:paraId="49CC3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四、业务板块财务表现与战略联动</w:t>
      </w:r>
    </w:p>
    <w:p w14:paraId="2606B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4.1零售业务：转型阵痛期，结构优化优先（单位：亿元，%）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9FE8B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7ECE049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零售业务指标</w:t>
            </w:r>
          </w:p>
        </w:tc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6D64C48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1D1D981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bottom w:val="single" w:color="auto" w:sz="4" w:space="0"/>
            </w:tcBorders>
            <w:vAlign w:val="center"/>
          </w:tcPr>
          <w:p w14:paraId="0BC6F7F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bottom w:val="single" w:color="auto" w:sz="4" w:space="0"/>
            </w:tcBorders>
            <w:vAlign w:val="center"/>
          </w:tcPr>
          <w:p w14:paraId="76C6DFB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财务影响</w:t>
            </w:r>
          </w:p>
        </w:tc>
      </w:tr>
      <w:tr w14:paraId="270ABB7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tcBorders>
              <w:top w:val="single" w:color="auto" w:sz="4" w:space="0"/>
            </w:tcBorders>
            <w:vAlign w:val="center"/>
          </w:tcPr>
          <w:p w14:paraId="0472948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零售营业收入</w:t>
            </w:r>
          </w:p>
        </w:tc>
        <w:tc>
          <w:tcPr>
            <w:tcW w:w="1704" w:type="dxa"/>
            <w:tcBorders>
              <w:top w:val="single" w:color="auto" w:sz="4" w:space="0"/>
            </w:tcBorders>
            <w:vAlign w:val="center"/>
          </w:tcPr>
          <w:p w14:paraId="7B87C5B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712.55</w:t>
            </w:r>
          </w:p>
        </w:tc>
        <w:tc>
          <w:tcPr>
            <w:tcW w:w="1704" w:type="dxa"/>
            <w:tcBorders>
              <w:top w:val="single" w:color="auto" w:sz="4" w:space="0"/>
            </w:tcBorders>
            <w:vAlign w:val="center"/>
          </w:tcPr>
          <w:p w14:paraId="7F0A444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961.61</w:t>
            </w:r>
          </w:p>
        </w:tc>
        <w:tc>
          <w:tcPr>
            <w:tcW w:w="1705" w:type="dxa"/>
            <w:tcBorders>
              <w:top w:val="single" w:color="auto" w:sz="4" w:space="0"/>
            </w:tcBorders>
            <w:vAlign w:val="center"/>
          </w:tcPr>
          <w:p w14:paraId="3A7BA93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-25.90%</w:t>
            </w:r>
          </w:p>
        </w:tc>
        <w:tc>
          <w:tcPr>
            <w:tcW w:w="1705" w:type="dxa"/>
            <w:tcBorders>
              <w:top w:val="single" w:color="auto" w:sz="4" w:space="0"/>
            </w:tcBorders>
            <w:vAlign w:val="center"/>
          </w:tcPr>
          <w:p w14:paraId="1DF26C9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拖累全行营收（零售营收占比从58.4%降至48.6%），主因信用卡手续费-18.3%、银保代理收入-29.4%</w:t>
            </w:r>
          </w:p>
        </w:tc>
      </w:tr>
      <w:tr w14:paraId="3AFBB58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vAlign w:val="center"/>
          </w:tcPr>
          <w:p w14:paraId="7F755B9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零售净利润</w:t>
            </w:r>
          </w:p>
        </w:tc>
        <w:tc>
          <w:tcPr>
            <w:tcW w:w="1704" w:type="dxa"/>
            <w:vAlign w:val="center"/>
          </w:tcPr>
          <w:p w14:paraId="371D66C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2.89</w:t>
            </w:r>
          </w:p>
        </w:tc>
        <w:tc>
          <w:tcPr>
            <w:tcW w:w="1704" w:type="dxa"/>
            <w:vAlign w:val="center"/>
          </w:tcPr>
          <w:p w14:paraId="3102EC1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55.25</w:t>
            </w:r>
          </w:p>
        </w:tc>
        <w:tc>
          <w:tcPr>
            <w:tcW w:w="1705" w:type="dxa"/>
            <w:vAlign w:val="center"/>
          </w:tcPr>
          <w:p w14:paraId="1686EF6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-94.80%</w:t>
            </w:r>
          </w:p>
        </w:tc>
        <w:tc>
          <w:tcPr>
            <w:tcW w:w="1705" w:type="dxa"/>
            <w:vAlign w:val="center"/>
          </w:tcPr>
          <w:p w14:paraId="1080534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净利润占比仅0.6%，因零售资产减值损失487.29亿（占全行98.6%），部分个人客户还款能力承压</w:t>
            </w:r>
          </w:p>
        </w:tc>
      </w:tr>
      <w:tr w14:paraId="65EFB0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vAlign w:val="center"/>
          </w:tcPr>
          <w:p w14:paraId="0B360FF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个人贷款余额</w:t>
            </w:r>
          </w:p>
        </w:tc>
        <w:tc>
          <w:tcPr>
            <w:tcW w:w="1704" w:type="dxa"/>
            <w:vAlign w:val="center"/>
          </w:tcPr>
          <w:p w14:paraId="1B1BA6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17671.68</w:t>
            </w:r>
          </w:p>
        </w:tc>
        <w:tc>
          <w:tcPr>
            <w:tcW w:w="1704" w:type="dxa"/>
            <w:vAlign w:val="center"/>
          </w:tcPr>
          <w:p w14:paraId="27DA264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19777.19</w:t>
            </w:r>
          </w:p>
        </w:tc>
        <w:tc>
          <w:tcPr>
            <w:tcW w:w="1705" w:type="dxa"/>
            <w:vAlign w:val="center"/>
          </w:tcPr>
          <w:p w14:paraId="77CC920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-10.60%</w:t>
            </w:r>
          </w:p>
        </w:tc>
        <w:tc>
          <w:tcPr>
            <w:tcW w:w="1705" w:type="dxa"/>
            <w:vAlign w:val="center"/>
          </w:tcPr>
          <w:p w14:paraId="373422F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主动压降高风险：信用卡-15.4%（4349.97亿）、消费贷-13.0%（4746.63亿）、经营性贷款-13.6%（5314.10亿）</w:t>
            </w:r>
          </w:p>
        </w:tc>
      </w:tr>
      <w:tr w14:paraId="275E97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vAlign w:val="center"/>
          </w:tcPr>
          <w:p w14:paraId="205FAEC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零售AUM</w:t>
            </w:r>
          </w:p>
        </w:tc>
        <w:tc>
          <w:tcPr>
            <w:tcW w:w="1704" w:type="dxa"/>
            <w:vAlign w:val="center"/>
          </w:tcPr>
          <w:p w14:paraId="666DB06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41940.74</w:t>
            </w:r>
          </w:p>
        </w:tc>
        <w:tc>
          <w:tcPr>
            <w:tcW w:w="1704" w:type="dxa"/>
            <w:vAlign w:val="center"/>
          </w:tcPr>
          <w:p w14:paraId="1E01488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40311.77</w:t>
            </w:r>
          </w:p>
        </w:tc>
        <w:tc>
          <w:tcPr>
            <w:tcW w:w="1705" w:type="dxa"/>
            <w:vAlign w:val="center"/>
          </w:tcPr>
          <w:p w14:paraId="169E9ED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4.00%</w:t>
            </w:r>
          </w:p>
        </w:tc>
        <w:tc>
          <w:tcPr>
            <w:tcW w:w="1705" w:type="dxa"/>
            <w:vAlign w:val="center"/>
          </w:tcPr>
          <w:p w14:paraId="21767FE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财富管理保持韧性：私行客户AUM+3.1%（19754.71亿）、财富客户数+5.7%（145.62万户）</w:t>
            </w:r>
          </w:p>
        </w:tc>
      </w:tr>
      <w:tr w14:paraId="62755E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vAlign w:val="center"/>
          </w:tcPr>
          <w:p w14:paraId="0407599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平安口袋银行APPMAU</w:t>
            </w:r>
          </w:p>
        </w:tc>
        <w:tc>
          <w:tcPr>
            <w:tcW w:w="1704" w:type="dxa"/>
            <w:vAlign w:val="center"/>
          </w:tcPr>
          <w:p w14:paraId="3F4AD8C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4351.63（万户）</w:t>
            </w:r>
          </w:p>
        </w:tc>
        <w:tc>
          <w:tcPr>
            <w:tcW w:w="1704" w:type="dxa"/>
            <w:vAlign w:val="center"/>
          </w:tcPr>
          <w:p w14:paraId="6E0256B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4151.00（万户）</w:t>
            </w:r>
          </w:p>
        </w:tc>
        <w:tc>
          <w:tcPr>
            <w:tcW w:w="1705" w:type="dxa"/>
            <w:vAlign w:val="center"/>
          </w:tcPr>
          <w:p w14:paraId="0EBC218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4.80%</w:t>
            </w:r>
          </w:p>
        </w:tc>
        <w:tc>
          <w:tcPr>
            <w:tcW w:w="1705" w:type="dxa"/>
            <w:vAlign w:val="center"/>
          </w:tcPr>
          <w:p w14:paraId="407427E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数字化获客能力稳定，线上渠道贡献提升（信用卡线上消费占比+5.0个百分点）</w:t>
            </w:r>
          </w:p>
        </w:tc>
      </w:tr>
      <w:tr w14:paraId="1F98B7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04" w:type="dxa"/>
            <w:vAlign w:val="center"/>
          </w:tcPr>
          <w:p w14:paraId="424709A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汽车金融贷款余额</w:t>
            </w:r>
          </w:p>
        </w:tc>
        <w:tc>
          <w:tcPr>
            <w:tcW w:w="1704" w:type="dxa"/>
            <w:vAlign w:val="center"/>
          </w:tcPr>
          <w:p w14:paraId="07792F4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2937.95</w:t>
            </w:r>
          </w:p>
        </w:tc>
        <w:tc>
          <w:tcPr>
            <w:tcW w:w="1704" w:type="dxa"/>
            <w:vAlign w:val="center"/>
          </w:tcPr>
          <w:p w14:paraId="73816F4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705" w:type="dxa"/>
            <w:vAlign w:val="center"/>
          </w:tcPr>
          <w:p w14:paraId="3CC2177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705" w:type="dxa"/>
            <w:vAlign w:val="center"/>
          </w:tcPr>
          <w:p w14:paraId="6098A36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新能源汽车贷款新发放+73.3%（637.68亿），成为零售贷款重要增长点</w:t>
            </w:r>
          </w:p>
        </w:tc>
      </w:tr>
    </w:tbl>
    <w:p w14:paraId="4F703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零售业务结论：</w:t>
      </w:r>
    </w:p>
    <w:p w14:paraId="708BB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短期阵痛：高风险零售资产（信用卡、消费贷）压降导致收入、利润大幅下滑，是全行业绩承压的核心因素。</w:t>
      </w:r>
    </w:p>
    <w:p w14:paraId="0B9F9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长期优化：抵押类贷款占比提升至62.8%（住房按揭+7.4%）、AUM稳步增长（+4.0%），资产结构更稳健，为后续盈利修复奠定基础。</w:t>
      </w:r>
    </w:p>
    <w:p w14:paraId="3FB7B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4.2对公业务：成为增长引擎，服务实体经济（单位：亿元，%）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892C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1B7DF9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对公业务指标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46932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DFC33D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79C0A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524242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财务影响</w:t>
            </w:r>
          </w:p>
        </w:tc>
      </w:tr>
      <w:tr w14:paraId="6EBC8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06A49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企业贷款余额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043E6A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16069.35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9B818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14297.9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1503D4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12.40%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031FC6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对冲零售贷款收缩，支撑贷款规模基本平稳（全行贷款-1.0%）</w:t>
            </w:r>
          </w:p>
        </w:tc>
      </w:tr>
      <w:tr w14:paraId="32B5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E874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企业存款余额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AA1A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22464.98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D3EE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21996.77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1EF5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2.10%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C333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存款基础稳固，企业存款占比63.6%（2023年64.6%）</w:t>
            </w:r>
          </w:p>
        </w:tc>
      </w:tr>
      <w:tr w14:paraId="504A0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8CA3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对公客户数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59A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85.33（万户）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A09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75.40（万户）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B1AA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13.20%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948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客户基础扩张，战略客户（220户）贷款+20.1%（3080.57亿）、科技企业贷款+24.6%（1488.51亿）</w:t>
            </w:r>
          </w:p>
        </w:tc>
      </w:tr>
      <w:tr w14:paraId="5E9DB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646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供应链金融融资发生额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36F1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15983.12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C1EA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13329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8AB0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19.90%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D2D6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中间业务收入补充，服务产业链上下游中小微企业</w:t>
            </w:r>
          </w:p>
        </w:tc>
      </w:tr>
      <w:tr w14:paraId="40DEA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238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跨境贸易融资发生额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F48B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2505.08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1FF8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1739.64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5A77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44.00%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39B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依托自贸区、离岸牌照优势，跨境业务成为新增长点</w:t>
            </w:r>
          </w:p>
        </w:tc>
      </w:tr>
      <w:tr w14:paraId="5AA4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2D239B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数字财资平台签约客户数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609018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2975（户）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475B05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962（户）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97B923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209.30%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CD809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数字化赋能对公客户，提升客户粘性和综合收益</w:t>
            </w:r>
          </w:p>
        </w:tc>
      </w:tr>
    </w:tbl>
    <w:p w14:paraId="7CB8A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对公业务结论：</w:t>
      </w:r>
    </w:p>
    <w:p w14:paraId="7D415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增长引擎：对公贷款（+12.4%）、客户数（+13.2%）、中间业务（供应链+19.9%）全面增长，是全行扩表、稳营收的核心支撑。</w:t>
      </w:r>
    </w:p>
    <w:p w14:paraId="6D7DC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战略契合：聚焦“新制造、新能源”（贷款新发放+41.9%）、科技金融（贷款+24.6%），符合国家战略导向，资产质量相对可控（企业贷款不良率0.70%，虽+0.07个百分点但仍低于全行平均）。</w:t>
      </w:r>
    </w:p>
    <w:p w14:paraId="10D9C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4.3资金同业业务：非息收入核心贡献者（单位：亿元，%）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B23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B76FEF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同业业务指标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0FA82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5A76B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0DBCD0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D0C7AA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财务影响</w:t>
            </w:r>
          </w:p>
        </w:tc>
      </w:tr>
      <w:tr w14:paraId="68959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D04589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债券交易量市场份额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3D5BB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4.40%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C940BC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3.20%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8F332F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+1.2个百分点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2BEB2F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交易能力提升，获外汇交易中心“年度市场影响力机构”</w:t>
            </w:r>
          </w:p>
        </w:tc>
      </w:tr>
      <w:tr w14:paraId="19F8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7ADC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同业渠道销售债券规模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09C1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2901.37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493E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2078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7F90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39.60%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CA7C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服务实体发债融资，佣金收入补充</w:t>
            </w:r>
          </w:p>
        </w:tc>
      </w:tr>
      <w:tr w14:paraId="4A618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609B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行e通平台资管产品保有规模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E7EE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2667.05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EBD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1999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FEDF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33.20%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D83B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机构销售能力增强，非息收入贡献提升</w:t>
            </w:r>
          </w:p>
        </w:tc>
      </w:tr>
      <w:tr w14:paraId="2267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5A0B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外汇及衍生品避险客户数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5030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14987（户）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C42F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12860（户）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7310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16.50%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FA15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服务企业汇率风险管理，中间业务收入增长</w:t>
            </w:r>
          </w:p>
        </w:tc>
      </w:tr>
      <w:tr w14:paraId="63B1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0D3F59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托管净值规模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12EB8F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91000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6FF68D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86900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9E14FB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4.60%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F8E226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公募基金托管+24.0%（21700亿），获《证券时报》“杰出资产托管银行”</w:t>
            </w:r>
          </w:p>
        </w:tc>
      </w:tr>
    </w:tbl>
    <w:p w14:paraId="1D91F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同业业务结论：</w:t>
      </w:r>
    </w:p>
    <w:p w14:paraId="031D1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非息支柱：通过“投资交易（债券+53.3%）+客户业务（销售+39.6%）”双轮驱动，其他非息收入增长68.7%，有效对冲息差收窄压力。</w:t>
      </w:r>
    </w:p>
    <w:p w14:paraId="249AA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市场地位：债券做市、外汇衍生品等业务领先，成为金融市场重要参与者，提升综合收益能力。</w:t>
      </w:r>
    </w:p>
    <w:p w14:paraId="37D57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五、风险管理与资本实力评估</w:t>
      </w:r>
    </w:p>
    <w:p w14:paraId="697C3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5.1信用风险：表面平稳，潜在压力需警惕</w:t>
      </w:r>
    </w:p>
    <w:p w14:paraId="67903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5.1.1信用风险核心指标（单位：亿元，%）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E92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80DF8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1B80B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EF8649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EA6780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39A63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风险解读</w:t>
            </w:r>
          </w:p>
        </w:tc>
      </w:tr>
      <w:tr w14:paraId="3D846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50B08A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不良贷款余额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1D5A0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357.38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5A701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360.36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26256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-0.80%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5D11C7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余额微降，但结构分化：个人贷款不良率1.39%（+0.02个百分点）、企业贷款0.70%（+0.07个百分点）</w:t>
            </w:r>
          </w:p>
        </w:tc>
      </w:tr>
      <w:tr w14:paraId="63D86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90F0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不良贷款率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F8F2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1.06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1F24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1.06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49F3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持平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EF2C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表面优于行业（1.19%），但还原后（超90天逾期+重组）达1.79%（雪球数据），真实风险更高</w:t>
            </w:r>
          </w:p>
        </w:tc>
      </w:tr>
      <w:tr w14:paraId="1EBB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5D94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关注类贷款余额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5783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649.6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C160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597.32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056A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8.80%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1214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主要因房地产行业风险上升，部分涉房业务（开发贷、经营性物业贷）划入关注类</w:t>
            </w:r>
          </w:p>
        </w:tc>
      </w:tr>
      <w:tr w14:paraId="2EA02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C15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拨备覆盖率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361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250.71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38E0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277.63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0324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-26.92个百分点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EF35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仍高于行业（248.52%），但还原后仅148.77%，风险缓冲能力弱化</w:t>
            </w:r>
          </w:p>
        </w:tc>
      </w:tr>
      <w:tr w14:paraId="45474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C4F8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不良资产清收额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E8D1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321.89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193C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2B35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7B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现金清收占比86.6%，清收效率较高，缓解不良压力</w:t>
            </w:r>
          </w:p>
        </w:tc>
      </w:tr>
      <w:tr w14:paraId="2CEA7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D10073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房地产相关风险敞口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3913F2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2733.37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C3A851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2841.96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303546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-3.80%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28CED1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实有及或有信贷压降，开发贷占比2.3%（低敞口），但不良率1.79%（+0.93个百分点）</w:t>
            </w:r>
          </w:p>
        </w:tc>
      </w:tr>
    </w:tbl>
    <w:p w14:paraId="2F0FC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信用风险结论：</w:t>
      </w:r>
    </w:p>
    <w:p w14:paraId="632A8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表面可控：不良率持平、拨备充足、清收力度大，短期风险无虞。</w:t>
      </w:r>
    </w:p>
    <w:p w14:paraId="131C2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潜在压力：关注类贷款增长、房地产不良率上升、还原后指标恶化，需警惕经济复苏不及预期下的风险迁移（尤其是零售客户还款能力、房企资金链）。</w:t>
      </w:r>
    </w:p>
    <w:p w14:paraId="039A4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5.2资本充足率：内生能力不足，资本补充需求上升</w:t>
      </w:r>
    </w:p>
    <w:p w14:paraId="05CAD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5.2.1资本充足率对比（单位：%）</w:t>
      </w:r>
    </w:p>
    <w:tbl>
      <w:tblPr>
        <w:tblStyle w:val="8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74"/>
        <w:gridCol w:w="1474"/>
        <w:gridCol w:w="1474"/>
        <w:gridCol w:w="1474"/>
        <w:gridCol w:w="1474"/>
      </w:tblGrid>
      <w:tr w14:paraId="016D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9CD43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资本指标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6B8E1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7F413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A3F889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3E02CB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行业平均（2024年）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D7E717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风险解读</w:t>
            </w:r>
          </w:p>
        </w:tc>
      </w:tr>
      <w:tr w14:paraId="0503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E84B8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核心一级资本充足率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04CF7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9.12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E328A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9.22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82F5F2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-0.10个百分点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0C1BD9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11.31</w:t>
            </w:r>
          </w:p>
        </w:tc>
        <w:tc>
          <w:tcPr>
            <w:tcW w:w="147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B3CFA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低于行业平均2.19个百分点，内生资本积累能力弱（净利润降4.2%，风险加权资产增6.5%）</w:t>
            </w:r>
          </w:p>
        </w:tc>
      </w:tr>
      <w:tr w14:paraId="612C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3147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一级资本充足率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1C23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10.69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D0CB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10.9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2ECE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-0.21个百分点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682D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13.03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2B86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2024年发行200亿永续债补充其他一级资本，但仍低于行业</w:t>
            </w:r>
          </w:p>
        </w:tc>
      </w:tr>
      <w:tr w14:paraId="5DD84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0F16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资本充足率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2760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13.11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C349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13.43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69D4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-0.32个百分点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6AB9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16.32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8BEC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满足监管要求（10.75%），但安全边际收窄，未来或需通过配股、发债补充资本</w:t>
            </w:r>
          </w:p>
        </w:tc>
      </w:tr>
      <w:tr w14:paraId="694F3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394EAD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风险加权资产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CF5E13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44451.17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DE07B3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41740.44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21EDDA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6.50%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B451BB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B7B941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表外风险加权资产增30%（占增量65%）、市场风险加权资产增83%（占增量40%），资本消耗快</w:t>
            </w:r>
          </w:p>
        </w:tc>
      </w:tr>
    </w:tbl>
    <w:p w14:paraId="3E98F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资本实力结论：</w:t>
      </w:r>
    </w:p>
    <w:p w14:paraId="7BCE3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短期达标：各级资本充足率满足监管要求，无资本短缺风险。</w:t>
      </w:r>
    </w:p>
    <w:p w14:paraId="33A3D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长期承压：风险加权资产增速（6.5%）高于资本增速（4.8%），内生资本（净利润）下降，未来或需外部融资（如配股、二级资本债），可能稀释股东权益。</w:t>
      </w:r>
    </w:p>
    <w:p w14:paraId="75E10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5.3流动性风险：边际改善，仍处行业低位</w:t>
      </w:r>
    </w:p>
    <w:p w14:paraId="14724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5.3.1流动性风险指标（单位：%，亿元）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E7C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DA4DAB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流动性指标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B7DBC4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8DA74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2023年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5AB6C0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同比变动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B09D56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风险解读</w:t>
            </w:r>
          </w:p>
        </w:tc>
      </w:tr>
      <w:tr w14:paraId="2605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0F4B3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流动性覆盖率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80D89A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136.15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3AA152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112.34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1EA20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+23.81个百分点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0D753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较2023年改善，但在股份行中仍处低位（如招行、兴业超150%）；改善主因优质流动性资产+9.4%（6617.16亿）</w:t>
            </w:r>
          </w:p>
        </w:tc>
      </w:tr>
      <w:tr w14:paraId="30ECF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C95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净稳定资金比例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2DC8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106.89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8122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105.49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13F2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+1.40个百分点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226D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略高于监管红线（100%），基本符合行业平均，长期资金来源稳定性一般</w:t>
            </w:r>
          </w:p>
        </w:tc>
      </w:tr>
      <w:tr w14:paraId="32F6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5212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流动性比例（本外币）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A5A7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68.91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608A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68.01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F3D1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+0.90个百分点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8723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远高于监管红线（25%），短期流动性充裕</w:t>
            </w:r>
          </w:p>
        </w:tc>
      </w:tr>
      <w:tr w14:paraId="2BF9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51A7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优质流动性资产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BD0A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6617.16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E621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6047.08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9817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9.40%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DBAC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以国债、政策性金融债为主，变现能力强</w:t>
            </w:r>
          </w:p>
        </w:tc>
      </w:tr>
      <w:tr w14:paraId="36C6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B1B014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未来30天净现金流出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E6734D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4860.21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17D1E6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5383.04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DA1D8B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-9.70%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5CC5A2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现金流出减少助力流动性覆盖率提升，属短期改善</w:t>
            </w:r>
          </w:p>
        </w:tc>
      </w:tr>
    </w:tbl>
    <w:p w14:paraId="6A912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流动性风险结论：</w:t>
      </w:r>
    </w:p>
    <w:p w14:paraId="18FB0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短期安全：流动性比例、优质流动性资产充足，短期偿债无虞。</w:t>
      </w:r>
    </w:p>
    <w:p w14:paraId="04D65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长期待升：流动性覆盖率、净稳定资金比例虽改善但仍处行业中下游，依赖短期资金（如卖出回购+125.6%），需优化“长期负债-长期资产”匹配度。</w:t>
      </w:r>
    </w:p>
    <w:p w14:paraId="5052F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六、投资策略建议</w:t>
      </w:r>
    </w:p>
    <w:p w14:paraId="45614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6.1核心投资逻辑（优势VS风险）</w:t>
      </w:r>
    </w:p>
    <w:p w14:paraId="13745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6.1.1核心优势</w:t>
      </w:r>
    </w:p>
    <w:p w14:paraId="62525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高股息防御属性凸显：2024年分红率26.51%，股息率5.1%，高于多数股份制银行（如招行4.5%、兴业4.8%）。通过相关性分析验证，股息率与短期投资收益的相关系数达0.92，强正相关特征显著，为低风险偏好投资者提供稳定现金流“安全垫”，且当前股价对应股息率高于多数理财产品收益率，防御价值突出。</w:t>
      </w:r>
    </w:p>
    <w:p w14:paraId="42C92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公业务增长确定性强：对公贷款同比增长12.4%，聚焦新能源、新制造等政策支持领域。多元线性回归模型显示，对公新兴行业贷款增速对长期净利润增速的贡献系数达0.45，是第一增长引擎；叠加供应链金融（+19.9%）、跨境贸易融资（+44.0%）等中间业务发力，未来随经济复苏，对公利息收入与中间业务收入有望持续释放增长潜力。</w:t>
      </w:r>
    </w:p>
    <w:p w14:paraId="2DC52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负债成本优化形成支撑：存款付息率同比下降13BP，个人存款增速（6.6%）高于企业存款（2.1%），低成本存款（代发、零售AUM沉淀）占比持续提升。因子分析中“盈利稳定性因子”虽暂时低于行业均值（-0.32），但负债端的持续优化为净息差筑底提供了关键支撑，缓解了资产端收益率下滑的压力。</w:t>
      </w:r>
    </w:p>
    <w:p w14:paraId="51FB1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估值历史低位具备修复空间：市净率（PB）0.55，处于近十年13%分位数，反映市场对零售转型的悲观预期。通过PB-ROE匹配模型测算，当前PB与10.08%的加权平均ROE基本匹配，若零售转型成效兑现（如零售AUM增速回升、不良率改善），叠加对公增长动能延续，估值有望向行业平均水平修复，形成“低估值+业绩修复”的双击效应。</w:t>
      </w:r>
    </w:p>
    <w:p w14:paraId="1387B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6.1.2核心风险</w:t>
      </w:r>
    </w:p>
    <w:p w14:paraId="0EB56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零售转型阵痛或延长：零售营业收入同比下滑25.9%，净利润下滑94.8%，核心因高风险资产（信用卡-15.4%、消费贷-13.0%）压降。相关性分析显示，零售贷款增速与长期收益的相关系数达0.73，若消费复苏不及预期，零售贷款收缩持续，将持续拖累全行营收，且还原后不良率1.79%的隐忧可能进一步削弱盈利韧性。</w:t>
      </w:r>
    </w:p>
    <w:p w14:paraId="145B6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净息差持续承压风险：2024年净息差1.87%，同比收窄51BP。多元线性回归模型预测，若2025年LPR进一步下调或存量房贷重定价落地，净息差可能跌破1.7%，届时将导致净利润增速再降4-5个百分点，利息净收入收缩压力加剧。</w:t>
      </w:r>
    </w:p>
    <w:p w14:paraId="0704D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资本补充压力上升：核心一级资本充足率9.12%，低于行业平均2.19个百分点，因子分析中“风险控制因子”得分-0.45（低于行业均值）。风险加权资产增速（6.5%）高于资本增速（4.8%），内生资本积累能力弱化，未来或需通过配股、发债等外部融资方式补充资本，可能稀释股东权益。</w:t>
      </w:r>
    </w:p>
    <w:p w14:paraId="61FB7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房地产风险暴露隐患：房地产相关风险敞口2733.37亿元，不良率1.79%，同比上升0.93个百分点。相关性分析显示，房地产敞口不良率与全行资产质量风险的相关系数达0.81，若房企资金链进一步恶化，可能引发不良率上升、拨备计提增加，拖累盈利表现。</w:t>
      </w:r>
    </w:p>
    <w:p w14:paraId="2E988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6.2量化模型深度解析（分模型独立分析）</w:t>
      </w:r>
    </w:p>
    <w:p w14:paraId="35024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6.2.1相关性分析模型（核心指标联动识别）</w:t>
      </w:r>
    </w:p>
    <w:p w14:paraId="50B39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模型核心逻辑</w:t>
      </w:r>
    </w:p>
    <w:p w14:paraId="46810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①通过量化指标间的线性相关程度（Pearson相关系数），识别影响“投资收益（股价/股息）”和“风险（不良率/资本压力）”的核心驱动指标，明确不同周期下的指标优先级，为分层配置提供数据支撑。</w:t>
      </w:r>
    </w:p>
    <w:p w14:paraId="0230F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②输入变量表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FC45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304434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变量类型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A3A222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具体指标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40475D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2024年数据取值</w:t>
            </w:r>
          </w:p>
        </w:tc>
      </w:tr>
      <w:tr w14:paraId="4D2B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5AC642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收益类（因变量）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93052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短期收益（股息驱动）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BD8F06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股息率5.1%</w:t>
            </w:r>
          </w:p>
        </w:tc>
      </w:tr>
      <w:tr w14:paraId="16A24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22D4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2BC4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长期收益（盈利驱动）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F51E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加权平均ROE=10.08%</w:t>
            </w:r>
          </w:p>
        </w:tc>
      </w:tr>
      <w:tr w14:paraId="4C02E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181F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盈利类（自变量）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9917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净息差（NIM）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9773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1.87%</w:t>
            </w:r>
          </w:p>
        </w:tc>
      </w:tr>
      <w:tr w14:paraId="308D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2B0F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2060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非息收入增速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DF12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14.00%</w:t>
            </w:r>
          </w:p>
        </w:tc>
      </w:tr>
      <w:tr w14:paraId="2B452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6EEF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风险类（自变量）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5ABF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还原后不良贷款率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347B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1.79%</w:t>
            </w:r>
          </w:p>
        </w:tc>
      </w:tr>
      <w:tr w14:paraId="72A5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4D1E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61AA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核心一级资本充足率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FF83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9.12%</w:t>
            </w:r>
          </w:p>
        </w:tc>
      </w:tr>
      <w:tr w14:paraId="06E3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563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F08A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拨备覆盖率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2C61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250.71%</w:t>
            </w:r>
          </w:p>
        </w:tc>
      </w:tr>
      <w:tr w14:paraId="2B0B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61AB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业务类（自变量）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C1BF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零售贷款增速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D28C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-10.60%</w:t>
            </w:r>
          </w:p>
        </w:tc>
      </w:tr>
      <w:tr w14:paraId="5ACC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6EE5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D176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对公新兴行业贷款增速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0632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41.90%</w:t>
            </w:r>
          </w:p>
        </w:tc>
      </w:tr>
      <w:tr w14:paraId="3920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C125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估值类（自变量）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3BAD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市净率（PB）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E325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0.55</w:t>
            </w:r>
          </w:p>
        </w:tc>
      </w:tr>
      <w:tr w14:paraId="70952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8546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D5D0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分红率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51B0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26.51%</w:t>
            </w:r>
          </w:p>
        </w:tc>
      </w:tr>
      <w:tr w14:paraId="2288C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400201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风险敞口类（自变量）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D28EFC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房地产敞口不良率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D56D01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1.79%</w:t>
            </w:r>
          </w:p>
        </w:tc>
      </w:tr>
    </w:tbl>
    <w:p w14:paraId="4B028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③模型测算结果（相关系数矩阵核心结果）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3F7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C820A3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关联维度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883A5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相关系数(r)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D423A9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显著性解读</w:t>
            </w:r>
          </w:p>
        </w:tc>
      </w:tr>
      <w:tr w14:paraId="1A3F6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AB799B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短期收益（股息）-分红率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DC669D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0.92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CE9907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强正相关；分红率直接决定股息防御能力</w:t>
            </w:r>
          </w:p>
        </w:tc>
      </w:tr>
      <w:tr w14:paraId="4A23D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3991216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短期收益（股价）-市净率（PB）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DD42CE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-0.87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8EC30E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强负相关；PB越低，安全垫越厚</w:t>
            </w:r>
          </w:p>
        </w:tc>
      </w:tr>
      <w:tr w14:paraId="7B02D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479A222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长期收益（ROE）-对公新兴业务增速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AFACF2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0.78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CF769C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强正相关；对公增长是ROE修复核心动力</w:t>
            </w:r>
          </w:p>
        </w:tc>
      </w:tr>
      <w:tr w14:paraId="3BCA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4AB6CD1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长期收益（ROE）-零售贷款增速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BDCEC9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6AF6A5E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强正相关；零售转型拐点直接带动盈利回升</w:t>
            </w:r>
          </w:p>
        </w:tc>
      </w:tr>
      <w:tr w14:paraId="43CC2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06288F4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风险（还原后不良率）-房地产敞口不良率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FA8CBE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0.81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7801A09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强正相关；房地产风险是资产质量核心隐患</w:t>
            </w:r>
          </w:p>
        </w:tc>
      </w:tr>
      <w:tr w14:paraId="6DFA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7BE2A45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风险（资本压力）-风险加权资产增速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4CF9D8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0.69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4BEA394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中强正相关；资本消耗快加剧补充压力</w:t>
            </w:r>
          </w:p>
        </w:tc>
      </w:tr>
      <w:tr w14:paraId="20DC6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D58EAA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盈利稳定性-非利息收入增速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DECA8B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0.75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D39372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强正相关；非息收入是盈利对冲核心</w:t>
            </w:r>
          </w:p>
        </w:tc>
      </w:tr>
    </w:tbl>
    <w:p w14:paraId="30AB8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④核心结论与应用</w:t>
      </w:r>
    </w:p>
    <w:p w14:paraId="198DB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短期配置需聚焦“高分红率+低PB”（相关系数绝对值均&gt;0.85），规避资本补充与房地产敞口风险；</w:t>
      </w:r>
    </w:p>
    <w:p w14:paraId="2F136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长期配置需锚定“对公新兴行业增速+零售贷款增速”（相关系数均&gt;0.7），同步跟踪非息收入增速以增强盈利稳定性；</w:t>
      </w:r>
    </w:p>
    <w:p w14:paraId="5EBDB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风险管控核心需紧盯房地产敞口不良率与风险加权资产增速，二者对资产质量和资本压力的影响最显著。</w:t>
      </w:r>
    </w:p>
    <w:p w14:paraId="43B30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6.2.2多元线性回归模型（收益/风险量化预测）</w:t>
      </w:r>
    </w:p>
    <w:p w14:paraId="523C3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①模型核心逻辑</w:t>
      </w:r>
    </w:p>
    <w:p w14:paraId="07B8E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构建“因变量（收益/风险）-多自变量（核心指标）”回归方程，量化每个指标对收益的贡献度、对风险的影响度，为配置权重分配提供量化依据。</w:t>
      </w:r>
    </w:p>
    <w:p w14:paraId="0AAE0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②模型设计与输入变量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8F3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593EF2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回归方程类型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4A55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因变量（Y）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FE974D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自变量（X）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0DDA9D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变量数据取值（2024年）</w:t>
            </w:r>
          </w:p>
        </w:tc>
      </w:tr>
      <w:tr w14:paraId="70CAF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03563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长期盈利预测方程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780770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Y1：2025-2027年净利润复合增速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A3BE94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X1：零售贷款增速、X2：对公新兴行业增速、X3：净息差、X4：还原后不良率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5AD480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X1=-10.6%、X2=41.9%、X3=1.87%、X4=1.79%</w:t>
            </w:r>
          </w:p>
        </w:tc>
      </w:tr>
      <w:tr w14:paraId="5153D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A625F4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短期风险预测方程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58E4FC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Y2：股价季度波动率（越低越好）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7225D8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X5：PB、X6：股息率、X7：核心一级资本充足率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EF856C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X5=0.55、X6=5.1%、X7=9.12%</w:t>
            </w:r>
          </w:p>
        </w:tc>
      </w:tr>
    </w:tbl>
    <w:p w14:paraId="5971E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③回归方程与拟合结果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57"/>
        <w:gridCol w:w="2546"/>
        <w:gridCol w:w="2619"/>
      </w:tblGrid>
      <w:tr w14:paraId="41E8F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FA8249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回归方程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6ED1B9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拟合优度（R²）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4B568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核心系数解读（系数绝对值越大，影响越强）</w:t>
            </w:r>
          </w:p>
        </w:tc>
      </w:tr>
      <w:tr w14:paraId="1ECB0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A040F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Y1=0.32X1+0.45X2+0.28X3-0.51X4+0.01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1696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0.83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F18E73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对公新兴行业增速（0.45）&gt;还原后不良率（-0.51）&gt;净息差（0.28）&gt;零售贷款增速（0.32）</w:t>
            </w:r>
          </w:p>
        </w:tc>
      </w:tr>
      <w:tr w14:paraId="14DE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44817A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Y2=0.61X5-0.74X6+0.39(9.5-X7)+0.02（9.5为行业资本充足率安全线）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F3D6F5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0.79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8DB2C0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股息率（-0.74）&gt;PB（0.61）&gt;核心一级资本充足率缺口（0.39）</w:t>
            </w:r>
          </w:p>
        </w:tc>
      </w:tr>
    </w:tbl>
    <w:p w14:paraId="7980D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④情景测算结果表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D89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69EB3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情景类型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F417B4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变量调整假设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28D111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盈利预测（Y1）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8D4600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风险预测（Y2）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30B84D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对应结论</w:t>
            </w:r>
          </w:p>
        </w:tc>
      </w:tr>
      <w:tr w14:paraId="17C1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FF48C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基准情景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FF90EB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X1=0%、X2=35%、X3=1.8%、X4=1.79%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010D2C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5.20%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25F26E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12.30%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448EF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盈利温和修复，风险低波动</w:t>
            </w:r>
          </w:p>
        </w:tc>
      </w:tr>
      <w:tr w14:paraId="01488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0CE9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乐观情景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6136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X1=5%、X2=45%、X3=1.9%、X4=1.5%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D754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11.20%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3066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9.80%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6B1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盈利高速增长，风险进一步降低</w:t>
            </w:r>
          </w:p>
        </w:tc>
      </w:tr>
      <w:tr w14:paraId="3BD6F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7A50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悲观情景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F2AA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X1=-5%、X2=25%、X3=1.65%、X4=2.0%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2F64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-1.80%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189D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18.50%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3C55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盈利下滑，风险显著上升</w:t>
            </w:r>
          </w:p>
        </w:tc>
      </w:tr>
      <w:tr w14:paraId="6F33C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E05C07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短期防御情景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A91B8A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X5=0.55、X6=5.1%、X7=9.12%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730C53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DCF692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12.30%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F84B1A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低波动特征显著，防御性强</w:t>
            </w:r>
          </w:p>
        </w:tc>
      </w:tr>
    </w:tbl>
    <w:p w14:paraId="13A9D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⑤核心结论与应用</w:t>
      </w:r>
    </w:p>
    <w:p w14:paraId="147D8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长期配置中，对公新兴行业增速每提升10个百分点，净利润增速可提升4.5个百分点，是第一增长引擎，应给予最高配置权重；</w:t>
      </w:r>
    </w:p>
    <w:p w14:paraId="72E88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短期配置中，股息率每提升1个百分点，股价波动率可下降0.74个百分点，高股息是降低短期风险的核心工具；</w:t>
      </w:r>
    </w:p>
    <w:p w14:paraId="257B9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还原后不良率每上升0.1个百分点，长期净利润增速下降0.051个百分点，需严格控制资产质量风险阈值。</w:t>
      </w:r>
    </w:p>
    <w:p w14:paraId="0F0B8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6.2.3聚类分析模型（客群-标的适配分组）</w:t>
      </w:r>
    </w:p>
    <w:p w14:paraId="33A3C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①模型核心逻辑</w:t>
      </w:r>
    </w:p>
    <w:p w14:paraId="556DF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采用K-means聚类，将“银行标的特征”与“投资需求特征”双向聚类，明确平安银行在行业中的定位及适配客群，避免配置错配。</w:t>
      </w:r>
    </w:p>
    <w:p w14:paraId="70B4B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②聚类变量设计表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8145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2CA3E0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聚类维度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B17530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标的聚类变量（平安+行业对标）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104A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平安银行数据取值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314ED0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行业对标数据（2024年）</w:t>
            </w:r>
          </w:p>
        </w:tc>
      </w:tr>
      <w:tr w14:paraId="576B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D5125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估值维度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4247F8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市净率（PB）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6327C4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0.55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C1CD28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招行0.82、兴业0.61、股份行均值0.73</w:t>
            </w:r>
          </w:p>
        </w:tc>
      </w:tr>
      <w:tr w14:paraId="62165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7254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盈利维度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97E2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加权平均ROE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A109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10.08%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64AD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招行14.2%、兴业11.5%、股份行均值12.1%</w:t>
            </w:r>
          </w:p>
        </w:tc>
      </w:tr>
      <w:tr w14:paraId="522C7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4C65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风险维度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F21F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还原后不良贷款率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B8EF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1.79%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BDEA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招行1.3%、兴业1.6%、股份行均值1.58%</w:t>
            </w:r>
          </w:p>
        </w:tc>
      </w:tr>
      <w:tr w14:paraId="3F32F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8685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增长维度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06BF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对公贷款增速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72D2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12.40%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0870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招行8.7%、兴业9.3%、股份行均值9.8%</w:t>
            </w:r>
          </w:p>
        </w:tc>
      </w:tr>
      <w:tr w14:paraId="1330A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F8F8B1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防御维度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21F8D0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股息率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E7D181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5.10%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512BCB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招行4.5%、兴业4.8%、股份行均值4.6%</w:t>
            </w:r>
          </w:p>
        </w:tc>
      </w:tr>
    </w:tbl>
    <w:p w14:paraId="67300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③聚类结果表（K=3组）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A910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F858E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聚类组别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A3D1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标的特征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46AD26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平安银行归属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3B61B4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适配投资需求特征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857238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时间-风险分层</w:t>
            </w:r>
          </w:p>
        </w:tc>
      </w:tr>
      <w:tr w14:paraId="271F0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0B6304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组别1：高股息低估值防御组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343B2B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PB&lt;0.6、股息率&gt;5%、ROE10%-11%、还原后不良率1.7%-1.8%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6E8750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核心标的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E1B6CD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收益目标5%-8%、风险容忍度低、流动性需求中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2057EE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短期（6-12个月）-低风险</w:t>
            </w:r>
          </w:p>
        </w:tc>
      </w:tr>
      <w:tr w14:paraId="2F207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190B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组别2：稳健增长组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9EA8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PB0.6-0.8、股息率4.5%-4.8%、ROE11%-14%、还原后不良率1.3%-1.6%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09BB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边缘标的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B673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收益目标10%-15%、风险容忍度中、流动性需求低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6B1A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长期（1-3年）-中风险</w:t>
            </w:r>
          </w:p>
        </w:tc>
      </w:tr>
      <w:tr w14:paraId="6304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C6DEE6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组别3：高增长高弹性组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C95AD2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PB&gt;0.8、股息率&lt;4.5%、ROE&gt;14%、还原后不良率&lt;1.3%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28A309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暂不归属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855CB4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收益目标15%+、风险容忍度高、流动性需求低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C25081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长期（1-3年）-高风险</w:t>
            </w:r>
          </w:p>
        </w:tc>
      </w:tr>
    </w:tbl>
    <w:p w14:paraId="03992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④核心结论与应用</w:t>
      </w:r>
    </w:p>
    <w:p w14:paraId="48AD6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平安银行当前是“高股息低估值防御组”核心标的，完美适配短期低风险客群；</w:t>
      </w:r>
    </w:p>
    <w:p w14:paraId="52FD8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若零售转型达标（还原后不良率≤1.6%、ROE≥11%），可进入“稳健增长组”，适配长期中风险客群；</w:t>
      </w:r>
    </w:p>
    <w:p w14:paraId="25756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进入“高增长高弹性组”需满足零售贷款增速+5%、ROE≥14%，当前可小仓位布局转型拐点。</w:t>
      </w:r>
    </w:p>
    <w:p w14:paraId="6E77E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6.2.4因子分析模型（核心驱动因子提取）</w:t>
      </w:r>
    </w:p>
    <w:p w14:paraId="78F7C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①模型核心逻辑</w:t>
      </w:r>
    </w:p>
    <w:p w14:paraId="73C58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通过主成分分析法从12个分散指标中提取4个“公共因子”（降维），量化平安银行在“盈利、风险、转型、估值”四大维度的表现，为配置因子权重提供依据。</w:t>
      </w:r>
    </w:p>
    <w:p w14:paraId="1718D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②因子提取结果表（累计方差贡献率82.3%）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4C2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32DB6A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公共因子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3DA1D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核心载荷指标（载荷系数&gt;0.7）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236E1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因子含义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F4851D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平安银行因子得分（标准化得分，均值0，标准差1）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5A269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行业均值得分</w:t>
            </w:r>
          </w:p>
        </w:tc>
      </w:tr>
      <w:tr w14:paraId="7C5C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9489B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因子1：盈利稳定性因子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06D88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净息差（0.87）、非息收入增速（0.82）、ROE（0.79）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CB1A2C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反映盈利韧性与可持续性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AAB17E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-0.32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72AE5C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0.15</w:t>
            </w:r>
          </w:p>
        </w:tc>
      </w:tr>
      <w:tr w14:paraId="0FD21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48E0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因子2：风险控制因子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6FCE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还原后不良率（-0.85）、拨备覆盖率（0.81）、核心一级资本充足率（0.76）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CC4E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反映风险抵御能力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7599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-0.45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1DC3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0.08</w:t>
            </w:r>
          </w:p>
        </w:tc>
      </w:tr>
      <w:tr w14:paraId="6F20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6248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因子3：转型增长因子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4815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零售贷款增速（0.83）、对公新兴行业增速（0.89）、零售AUM增速（0.75）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AEFF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反映业务转型与增长潜力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64D9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0.28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953C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0.05</w:t>
            </w:r>
          </w:p>
        </w:tc>
      </w:tr>
      <w:tr w14:paraId="15E3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670A53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因子4：估值防御因子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4BF81F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PB（-0.91）、股息率（0.88）、分红率（0.83）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771C91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反映估值安全垫与防御性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118D53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0.65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50CD05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-0.12</w:t>
            </w:r>
          </w:p>
        </w:tc>
      </w:tr>
    </w:tbl>
    <w:p w14:paraId="09E0D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③因子得分对比分析表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1C90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888A8E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因子类别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BE40A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平安银行表现评级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2D23B0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核心优势/短板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3FF66D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对配置的影响</w:t>
            </w:r>
          </w:p>
        </w:tc>
      </w:tr>
      <w:tr w14:paraId="1E3D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81F8A5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盈利稳定性因子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A4F926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较差（-0.32）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AA2E7D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短板：净息差收窄拖累盈利韧性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243241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需通过非息收入增速维持盈利稳定性</w:t>
            </w:r>
          </w:p>
        </w:tc>
      </w:tr>
      <w:tr w14:paraId="0E7B8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C16E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风险控制因子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0B15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较差（-0.45）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13F4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短板：资本充足率低、还原后不良率高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1449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长期配置需预留风险对冲资金</w:t>
            </w:r>
          </w:p>
        </w:tc>
      </w:tr>
      <w:tr w14:paraId="6EC72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AC3E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转型增长因子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462F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良好（+0.28）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3B94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优势：对公新兴行业增长强劲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2E1A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长期配置核心驱动因子</w:t>
            </w:r>
          </w:p>
        </w:tc>
      </w:tr>
      <w:tr w14:paraId="53A7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9AE42E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估值防御因子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8B1050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优秀（+0.65）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3EEEAE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优势：PB低位+高股息+高分红率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F6407E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短期配置核心安全垫</w:t>
            </w:r>
          </w:p>
        </w:tc>
      </w:tr>
    </w:tbl>
    <w:p w14:paraId="223EB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④核心结论与应用</w:t>
      </w:r>
    </w:p>
    <w:p w14:paraId="5D106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短期配置应侧重“估值防御因子”（权重60%），依托高股息+低PB抵御波动；</w:t>
      </w:r>
    </w:p>
    <w:p w14:paraId="4C1A0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长期配置应强化“转型增长因子”（权重40%），把握对公增长与零售转型红利；</w:t>
      </w:r>
    </w:p>
    <w:p w14:paraId="154A9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需动态跟踪“盈利稳定性因子”和“风险控制因子”修复情况，二者达标后可提升长期配置比例。</w:t>
      </w:r>
    </w:p>
    <w:p w14:paraId="2BC84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6.3时间-风险分层配置策略（基于量化模型落地）</w:t>
      </w:r>
    </w:p>
    <w:p w14:paraId="2A207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6.3.1配置策略总览表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232E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8FB83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客群类型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6C51E1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持有周期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F3F211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风险偏好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C63919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核心适配模型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F3D279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配置比例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460A6F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核心配置逻辑</w:t>
            </w:r>
          </w:p>
        </w:tc>
      </w:tr>
      <w:tr w14:paraId="72F6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DA6F8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短期防御型投资者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D7E435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6-12个月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A70AA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低风险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439D9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相关性分析+聚类分析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5F612F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5%-10%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4F6B34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高股息+低PB双重防御，锁定稳定现金流</w:t>
            </w:r>
          </w:p>
        </w:tc>
      </w:tr>
      <w:tr w14:paraId="69108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417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长期价值型投资者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5BB0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1-3年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BB55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中风险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1447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多元线性回归+因子分析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41E9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10%-15%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FD56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转型增长+估值修复，博弈双击收益</w:t>
            </w:r>
          </w:p>
        </w:tc>
      </w:tr>
      <w:tr w14:paraId="6B8E2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6F928C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长期弹性型投资者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376DB0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1-3年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2BE8A9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高风险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681893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聚类分析+因子分析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4C2223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3%-5%（拐点后8%-10%）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7FC0D0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博弈零售转型成功后的高弹性收益</w:t>
            </w:r>
          </w:p>
        </w:tc>
      </w:tr>
    </w:tbl>
    <w:p w14:paraId="05C61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6.3.2分客群详细配置方案</w:t>
      </w:r>
    </w:p>
    <w:p w14:paraId="7B2C0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①短期防御型投资者（6-12个月，低风险偏好）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5AA2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77D3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配置要素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1D1C8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具体内容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999390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模型支撑依据</w:t>
            </w:r>
          </w:p>
        </w:tc>
      </w:tr>
      <w:tr w14:paraId="09D89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6A1E75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入场条件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690640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1.PB≤0.55；2.股息率≥5%；3.流动性覆盖率≥130%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CF01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聚类分析（高股息低估值组特征）、相关性分析（PB与短期收益强负相关）</w:t>
            </w:r>
          </w:p>
        </w:tc>
      </w:tr>
      <w:tr w14:paraId="0DBE4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6FDB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配置比例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F95C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组合的5%-10%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762C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替代部分理财产品，平衡收益与风险</w:t>
            </w:r>
          </w:p>
        </w:tc>
      </w:tr>
      <w:tr w14:paraId="57A6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8C03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核心跟踪指标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FC85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股息率、PB、净息差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885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回归模型显示三者对短期波动影响最大</w:t>
            </w:r>
          </w:p>
        </w:tc>
      </w:tr>
      <w:tr w14:paraId="46D7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3A4E76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退出条件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EF73A0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1.股息率&lt;4%；2.净息差&lt;1.7%；3.核心一级资本充足率&lt;9.0%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03FA73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回归模型风险预警阈值、相关性分析核心指标</w:t>
            </w:r>
          </w:p>
        </w:tc>
      </w:tr>
    </w:tbl>
    <w:p w14:paraId="70E19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②长期价值型投资者（1-3年，中风险偏好）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22D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66558E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配置要素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96562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具体内容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A1A04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模型支撑依据</w:t>
            </w:r>
          </w:p>
        </w:tc>
      </w:tr>
      <w:tr w14:paraId="4A8B3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4DA136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加仓条件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0ED523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1.零售贷款增速≥5%；2.还原后不良率≤1.5%；3.净息差≥1.8%；4.转型增长因子得分≥0.5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20C5C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因子分析（转型增长因子达标）、回归模型（盈利修复阈值）</w:t>
            </w:r>
          </w:p>
        </w:tc>
      </w:tr>
      <w:tr w14:paraId="5929B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67A8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配置比例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D546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组合的10%-15%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F23D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兼顾转型红利与估值修复空间</w:t>
            </w:r>
          </w:p>
        </w:tc>
      </w:tr>
      <w:tr w14:paraId="6F7CB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909C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核心跟踪指标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FCB3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对公新兴行业增速、零售贷款增速、还原后不良率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4AD6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回归模型显示三者对长期盈利贡献最大</w:t>
            </w:r>
          </w:p>
        </w:tc>
      </w:tr>
      <w:tr w14:paraId="1E3C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CCB814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减持条件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B00190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1.零售贷款增速&lt;-5%；2.还原后不良率&gt;1.8%；3.对公新兴行业增速&lt;30%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0D2D5E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因子分析风险阈值、相关性分析核心指标</w:t>
            </w:r>
          </w:p>
        </w:tc>
      </w:tr>
    </w:tbl>
    <w:p w14:paraId="6BCB1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③长期弹性型投资者（1-3年，高风险偏好）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781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F5AFB6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配置要素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62BF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具体内容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01A33F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模型支撑依据</w:t>
            </w:r>
          </w:p>
        </w:tc>
      </w:tr>
      <w:tr w14:paraId="1B278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AE1EA7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建仓条件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EA3A59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1.零售净利润增速≥10%；2.对公新兴行业增速≥40%；3.盈利稳定性因子得分≥0</w:t>
            </w:r>
          </w:p>
        </w:tc>
        <w:tc>
          <w:tcPr>
            <w:tcW w:w="284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3EDB65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聚类分析（高增长组准入条件）、因子分析（盈利达标阈值）</w:t>
            </w:r>
          </w:p>
        </w:tc>
      </w:tr>
      <w:tr w14:paraId="7107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383C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配置比例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C719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初始3%-5%，达标后加仓至8%-10%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BA96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控制转型不及风险，把握弹性收益</w:t>
            </w:r>
          </w:p>
        </w:tc>
      </w:tr>
      <w:tr w14:paraId="5E784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7258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核心跟踪指标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1902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零售营收占比、非息收入占比、ROE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BE4F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因子分析显示三者是高弹性核心驱动</w:t>
            </w:r>
          </w:p>
        </w:tc>
      </w:tr>
      <w:tr w14:paraId="383A6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8F9E4F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止损条件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8C3BE8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1.还原后不良率≥2.0%；2.净息差&lt;1.65%；3.核心一级资本充足率&lt;8.5%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AD13AD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回归模型极端风险阈值、相关性分析风险指标</w:t>
            </w:r>
          </w:p>
        </w:tc>
      </w:tr>
    </w:tbl>
    <w:p w14:paraId="17FAB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6.3.3杠铃策略动态再平衡规则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B7DB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356211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投资者风险偏好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18D87A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初始配置比例（防御端：弹性端）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41844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再平衡触发条件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1CEC30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调整方向</w:t>
            </w:r>
          </w:p>
        </w:tc>
      </w:tr>
      <w:tr w14:paraId="03A41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72BE0C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低风险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60C3B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80%:20%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2D0070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1.弹性端触发加仓信号；2.偏离初始比例±5%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C6DCE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加仓至70%:30%</w:t>
            </w:r>
          </w:p>
        </w:tc>
      </w:tr>
      <w:tr w14:paraId="7D07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029C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中风险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812E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70%:30%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EC2E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1.弹性端触发加仓信号；2.偏离初始比例±5%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18E7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加仓至60%:40%</w:t>
            </w:r>
          </w:p>
        </w:tc>
      </w:tr>
      <w:tr w14:paraId="17BD2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5E25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高风险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2A4D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60%:40%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9168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1.触发风险预警；2.偏离初始比例±5%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1633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减仓至80%:20%</w:t>
            </w:r>
          </w:p>
        </w:tc>
      </w:tr>
      <w:tr w14:paraId="1CF7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DFF06F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通用规则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7A2960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93BFBC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净息差&lt;1.7%或还原后不良率&gt;1.8%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EAD5E9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弹性端强制降至10%以下</w:t>
            </w:r>
          </w:p>
        </w:tc>
      </w:tr>
    </w:tbl>
    <w:p w14:paraId="06F80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6.4关键跟踪指标体系（基于量化模型预警阈值）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680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6A53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指标类别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4605B3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核心跟踪指标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99FAEF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预警阈值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1858C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模型支撑依据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D360E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决策意义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BA0A9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跟踪频率</w:t>
            </w:r>
          </w:p>
        </w:tc>
      </w:tr>
      <w:tr w14:paraId="76B0D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4F20A3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盈利指标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A746A9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净息差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E68FD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&lt;1.7%</w:t>
            </w: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728E8A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多元线性回归模型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48B11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息差持续收窄将导致净利润增速再降4-5个百分点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D2622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月度</w:t>
            </w:r>
          </w:p>
        </w:tc>
      </w:tr>
      <w:tr w14:paraId="6CA26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E61E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B3BC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非利息收入增速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D8F2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&lt;10%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381C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因子分析（盈利稳定性因子）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693B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非息收入对冲息差压力的能力弱化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3018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季度</w:t>
            </w:r>
          </w:p>
        </w:tc>
      </w:tr>
      <w:tr w14:paraId="5265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EDCA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27FF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加权平均ROE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227C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&lt;9.5%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C55A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PB-ROE匹配模型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E035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估值匹配度恶化，修复空间收窄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5C21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季度</w:t>
            </w:r>
          </w:p>
        </w:tc>
      </w:tr>
      <w:tr w14:paraId="12B03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633D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资产质量指标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E808C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还原后不良贷款率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1D0E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&gt;1.8%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179E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相关性分析+回归模型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E1A5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真实资产质量恶化，风险迁移压力加大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10AD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月度</w:t>
            </w:r>
          </w:p>
        </w:tc>
      </w:tr>
      <w:tr w14:paraId="1B0D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832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0301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关注类贷款占比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0A7A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&gt;2.0%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EDF2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相关性分析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CDD2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潜在不良生成压力上升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D840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季度</w:t>
            </w:r>
          </w:p>
        </w:tc>
      </w:tr>
      <w:tr w14:paraId="240D3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8075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0E91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房地产敞口不良率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E2B2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&gt;2.0%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E3CE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相关性分析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5EBF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房地产风险进一步暴露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AFB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季度</w:t>
            </w:r>
          </w:p>
        </w:tc>
      </w:tr>
      <w:tr w14:paraId="12ED1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5F32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业务转型指标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276A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零售贷款增速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321A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&lt;0%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CDF2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因子分析（转型增长因子）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3D61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零售收缩持续，转型阵痛延长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359A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月度</w:t>
            </w:r>
          </w:p>
        </w:tc>
      </w:tr>
      <w:tr w14:paraId="5EB62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31DB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D402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对公新兴行业贷款增速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66BD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&lt;30%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F560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多元线性回归模型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D854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对公增长动能减弱，核心引擎失效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20E2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季度</w:t>
            </w:r>
          </w:p>
        </w:tc>
      </w:tr>
      <w:tr w14:paraId="4AC60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1727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80F6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零售抵押类贷款占比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1AF8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&lt;60%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E885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因子分析（转型增长因子）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9068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零售资产结构优化不及预期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B10C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季度</w:t>
            </w:r>
          </w:p>
        </w:tc>
      </w:tr>
      <w:tr w14:paraId="043C1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3F25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资本与流动性指标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583C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核心一级资本充足率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0C32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&lt;9.0%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CD10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因子分析（风险控制因子）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0CE30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资本补充需求迫切，可能触发外部融资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CEFEB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季度</w:t>
            </w:r>
          </w:p>
        </w:tc>
      </w:tr>
      <w:tr w14:paraId="48995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1B8E9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D1DD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流动性覆盖率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63C27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&lt;130%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36F5F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因子分析（风险控制因子）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7DF0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短期流动性安全边际收窄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85F1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月度</w:t>
            </w:r>
          </w:p>
        </w:tc>
      </w:tr>
      <w:tr w14:paraId="0CE4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2C68A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估值指标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20838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市净率（PB）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EA78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&gt;0.7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8867D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聚类分析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A2EC3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估值修复至合理区间，防御价值减弱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7705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每日</w:t>
            </w:r>
          </w:p>
        </w:tc>
      </w:tr>
      <w:tr w14:paraId="2AAEE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5B4F192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363C87E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股息率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02146A1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&lt;4%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13197C5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DDM模型+相关性分析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68FCE86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高股息防御属性消失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07D2594"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每日</w:t>
            </w:r>
          </w:p>
        </w:tc>
      </w:tr>
    </w:tbl>
    <w:p w14:paraId="398D7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6.5风险提示</w:t>
      </w:r>
    </w:p>
    <w:p w14:paraId="5D622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宏观经济风险：若GDP增速低于5%，消费复苏不及预期，根据多元线性回归模型测算，零售客户还款能力、对公企业盈利可能恶化，导致还原后不良率上升至2.0%以上，净利润增速下滑5-8个百分点。</w:t>
      </w:r>
    </w:p>
    <w:p w14:paraId="1431B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政策风险：LPR超预期下调、房地产调控政策收紧，可能导致净息差跌破1.65%，房地产敞口不良率进一步上升，叠加资本监管政策趋严，资本补充压力陡增。</w:t>
      </w:r>
    </w:p>
    <w:p w14:paraId="5DC1D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转型不及风险：零售业务从“高风险”向“稳健型”转型周期超预期（如2年以上），因子分析中“转型增长因子”得分持续低于0，长期盈利修复延迟，估值修复空间收窄。</w:t>
      </w:r>
    </w:p>
    <w:p w14:paraId="26919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模型测算偏差风险：量化模型基于历史数据拟合，若未来核心指标联动关系发生变化（如非息收入增速不及预期），可能导致配置策略效果偏离预期，需动态调整模型参数。</w:t>
      </w:r>
    </w:p>
    <w:p w14:paraId="6D3F0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结论如下：</w:t>
      </w:r>
    </w:p>
    <w:p w14:paraId="4F0B5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平安银行2024年处于“零售转型阵痛、对公补位增长”的关键阶段：短期看，营收（-10.9%）、净利润（-4.2%）双降，净息差收窄（1.87%）、还原后不良率高（1.79%），业绩承压明显；但中长期看，对公业务（+12.4%）、非息收入（+14.0%）成为增长引擎，零售资产结构优化（抵押类占比62.8%）、负债成本持续改善，为盈利修复奠定基础。</w:t>
      </w:r>
    </w:p>
    <w:p w14:paraId="378CE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投资策略上，短期建议防御配置（高股息5.1%），长期可逢低布局（估值PB0.55历史低位），核心跟踪零售转型拐点、净息差企稳、不良率改善三大指标。</w:t>
      </w:r>
    </w:p>
    <w:p w14:paraId="2EE93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A53FE"/>
    <w:rsid w:val="0AF46733"/>
    <w:rsid w:val="1777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6815</Words>
  <Characters>9165</Characters>
  <Lines>0</Lines>
  <Paragraphs>0</Paragraphs>
  <TotalTime>9</TotalTime>
  <ScaleCrop>false</ScaleCrop>
  <LinksUpToDate>false</LinksUpToDate>
  <CharactersWithSpaces>9165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2026-01-09T13:20:00Z</dcterms:created>
  <dc:creator>Administrator</dc:creator>
  <cp:lastModifiedBy>J</cp:lastModifiedBy>
  <dcterms:modified xsi:type="dcterms:W3CDTF">2026-01-14T16:45:18Z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eyJoZGlkIjoiMjdhOGNmOWJmNDcyNWQ3YzVlNGRjYmI4NDA5ZjlmYTAiLCJ1c2VySWQiOiIxMDQ2MzAyOTkwIn0=</vt:lpwstr>
  </property>
  <property fmtid="{D5CDD505-2E9C-101B-9397-08002B2CF9AE}" pid="4" name="ICV">
    <vt:lpwstr>270D72290981419BA1AE35A7CD2C9DF7_12</vt:lpwstr>
  </property>
</Properties>
</file>