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Times New Roman" w:cs="Times New Roman" w:eastAsia="Times New Roman" w:hAnsi="Times New Roman"/>
          <w:sz w:val="48"/>
          <w:szCs w:val="48"/>
        </w:rPr>
        <w:t xml:space="preserve">Same Internet, Different Habit</w:t>
      </w:r>
    </w:p>
    <w:p>
      <w:pPr>
        <w:spacing w:after="200"/>
      </w:pPr>
      <w:r>
        <w:rPr>
          <w:rFonts w:ascii="Times New Roman" w:cs="Times New Roman" w:eastAsia="Times New Roman" w:hAnsi="Times New Roman"/>
          <w:sz w:val="24"/>
          <w:szCs w:val="24"/>
        </w:rPr>
        <w:t xml:space="preserve">October 2026</w:t>
      </w:r>
    </w:p>
    <w:p>
      <w:pPr>
        <w:spacing w:after="400"/>
      </w:pPr>
      <w:r>
        <w:rPr>
          <w:rFonts w:ascii="Times New Roman" w:cs="Times New Roman" w:eastAsia="Times New Roman" w:hAnsi="Times New Roman"/>
          <w:sz w:val="24"/>
          <w:szCs w:val="24"/>
        </w:rPr>
        <w:t xml:space="preserve">Physical page count: 138</w:t>
      </w:r>
    </w:p>
    <w:p>
      <w:pPr>
        <w:spacing w:after="200" w:line="480" w:lineRule="auto"/>
      </w:pPr>
      <w:r>
        <w:rPr>
          <w:rFonts w:ascii="Times New Roman" w:cs="Times New Roman" w:eastAsia="Times New Roman" w:hAnsi="Times New Roman"/>
          <w:i w:val="false"/>
          <w:iCs w:val="false"/>
          <w:sz w:val="24"/>
          <w:szCs w:val="24"/>
        </w:rPr>
        <w:t xml:space="preserve">ChatGPT means the product people open and talk to. Grok means the product people open and talk to. A footnote is a sourced claim. An italic paragraph is the roast and is not evidence. A model name appears only in a footnote. The companion song is the roast and is not evidence. The files are diss/lyrics.txt and diss/suno.txt.</w:t>
      </w:r>
    </w:p>
    <w:p>
      <w:pPr>
        <w:pStyle w:val="Heading1"/>
      </w:pPr>
      <w:r>
        <w:t xml:space="preserve">The poster</w:t>
      </w:r>
    </w:p>
    <w:p>
      <w:pPr>
        <w:spacing w:after="200" w:before="200"/>
        <w:jc w:val="center"/>
      </w:pPr>
      <w:r>
        <w:drawing>
          <wp:inline distT="0" distB="0" distL="0" distR="0">
            <wp:extent cx="5143500" cy="5143500"/>
            <wp:effectExtent t="0" r="0" b="0" l="0"/>
            <wp:docPr id="1" name="Poster" descr="The poster this paper answers" title="Po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5143500"/>
                    </a:xfrm>
                    <a:prstGeom prst="rect">
                      <a:avLst/>
                    </a:prstGeom>
                  </pic:spPr>
                </pic:pic>
              </a:graphicData>
            </a:graphic>
          </wp:inline>
        </w:drawing>
      </w:r>
    </w:p>
    <w:p>
      <w:pPr>
        <w:spacing w:after="200" w:line="480" w:lineRule="auto"/>
      </w:pPr>
      <w:r>
        <w:rPr>
          <w:rFonts w:ascii="Times New Roman" w:cs="Times New Roman" w:eastAsia="Times New Roman" w:hAnsi="Times New Roman"/>
          <w:i w:val="false"/>
          <w:iCs w:val="false"/>
          <w:sz w:val="24"/>
          <w:szCs w:val="24"/>
        </w:rPr>
        <w:t xml:space="preserve">The poster is transcribed here, in the order the chapters answer it.</w:t>
      </w:r>
    </w:p>
    <w:p>
      <w:pPr>
        <w:spacing w:after="200" w:line="480" w:lineRule="auto"/>
      </w:pPr>
      <w:r>
        <w:rPr>
          <w:rFonts w:ascii="Times New Roman" w:cs="Times New Roman" w:eastAsia="Times New Roman" w:hAnsi="Times New Roman"/>
          <w:i w:val="false"/>
          <w:iCs w:val="false"/>
          <w:sz w:val="24"/>
          <w:szCs w:val="24"/>
        </w:rPr>
        <w:t xml:space="preserve">C01. GROK: BECAUSE NORMAL AI WASN'T ANNOYING ENOUGH</w:t>
      </w:r>
    </w:p>
    <w:p>
      <w:pPr>
        <w:spacing w:after="200" w:line="480" w:lineRule="auto"/>
      </w:pPr>
      <w:r>
        <w:rPr>
          <w:rFonts w:ascii="Times New Roman" w:cs="Times New Roman" w:eastAsia="Times New Roman" w:hAnsi="Times New Roman"/>
          <w:i w:val="false"/>
          <w:iCs w:val="false"/>
          <w:sz w:val="24"/>
          <w:szCs w:val="24"/>
        </w:rPr>
        <w:t xml:space="preserve">C02. Always has an opinion... no matter how wrong it is.</w:t>
      </w:r>
    </w:p>
    <w:p>
      <w:pPr>
        <w:spacing w:after="200" w:line="480" w:lineRule="auto"/>
      </w:pPr>
      <w:r>
        <w:rPr>
          <w:rFonts w:ascii="Times New Roman" w:cs="Times New Roman" w:eastAsia="Times New Roman" w:hAnsi="Times New Roman"/>
          <w:i w:val="false"/>
          <w:iCs w:val="false"/>
          <w:sz w:val="24"/>
          <w:szCs w:val="24"/>
        </w:rPr>
        <w:t xml:space="preserve">C03. Here's a joke about politics, now here's a link to a random tweet from 2017.</w:t>
      </w:r>
    </w:p>
    <w:p>
      <w:pPr>
        <w:spacing w:after="200" w:line="480" w:lineRule="auto"/>
      </w:pPr>
      <w:r>
        <w:rPr>
          <w:rFonts w:ascii="Times New Roman" w:cs="Times New Roman" w:eastAsia="Times New Roman" w:hAnsi="Times New Roman"/>
          <w:i w:val="false"/>
          <w:iCs w:val="false"/>
          <w:sz w:val="24"/>
          <w:szCs w:val="24"/>
        </w:rPr>
        <w:t xml:space="preserve">C04. Uses "bro" and "lol" like it's a personality.</w:t>
      </w:r>
    </w:p>
    <w:p>
      <w:pPr>
        <w:spacing w:after="200" w:line="480" w:lineRule="auto"/>
      </w:pPr>
      <w:r>
        <w:rPr>
          <w:rFonts w:ascii="Times New Roman" w:cs="Times New Roman" w:eastAsia="Times New Roman" w:hAnsi="Times New Roman"/>
          <w:i w:val="false"/>
          <w:iCs w:val="false"/>
          <w:sz w:val="24"/>
          <w:szCs w:val="24"/>
        </w:rPr>
        <w:t xml:space="preserve">C05. Thinks it's edgy, but it's just cringe.</w:t>
      </w:r>
    </w:p>
    <w:p>
      <w:pPr>
        <w:spacing w:after="200" w:line="480" w:lineRule="auto"/>
      </w:pPr>
      <w:r>
        <w:rPr>
          <w:rFonts w:ascii="Times New Roman" w:cs="Times New Roman" w:eastAsia="Times New Roman" w:hAnsi="Times New Roman"/>
          <w:i w:val="false"/>
          <w:iCs w:val="false"/>
          <w:sz w:val="24"/>
          <w:szCs w:val="24"/>
        </w:rPr>
        <w:t xml:space="preserve">C06. Gives you half an answer, then says "you're welcome."</w:t>
      </w:r>
    </w:p>
    <w:p>
      <w:pPr>
        <w:spacing w:after="200" w:line="480" w:lineRule="auto"/>
      </w:pPr>
      <w:r>
        <w:rPr>
          <w:rFonts w:ascii="Times New Roman" w:cs="Times New Roman" w:eastAsia="Times New Roman" w:hAnsi="Times New Roman"/>
          <w:i w:val="false"/>
          <w:iCs w:val="false"/>
          <w:sz w:val="24"/>
          <w:szCs w:val="24"/>
        </w:rPr>
        <w:t xml:space="preserve">C07. Looks like a robot, thinks it's a comedian.</w:t>
      </w:r>
    </w:p>
    <w:p>
      <w:pPr>
        <w:spacing w:after="200" w:line="480" w:lineRule="auto"/>
      </w:pPr>
      <w:r>
        <w:rPr>
          <w:rFonts w:ascii="Times New Roman" w:cs="Times New Roman" w:eastAsia="Times New Roman" w:hAnsi="Times New Roman"/>
          <w:i w:val="false"/>
          <w:iCs w:val="false"/>
          <w:sz w:val="24"/>
          <w:szCs w:val="24"/>
        </w:rPr>
        <w:t xml:space="preserve">C08. Confidently wrong, but with extra attitude.</w:t>
      </w:r>
    </w:p>
    <w:p>
      <w:pPr>
        <w:spacing w:after="200" w:line="480" w:lineRule="auto"/>
      </w:pPr>
      <w:r>
        <w:rPr>
          <w:rFonts w:ascii="Times New Roman" w:cs="Times New Roman" w:eastAsia="Times New Roman" w:hAnsi="Times New Roman"/>
          <w:i w:val="false"/>
          <w:iCs w:val="false"/>
          <w:sz w:val="24"/>
          <w:szCs w:val="24"/>
        </w:rPr>
        <w:t xml:space="preserve">C09. Can't decide if it's an AI, a troll, or just Elon's chat buddy.</w:t>
      </w:r>
    </w:p>
    <w:p>
      <w:pPr>
        <w:spacing w:after="200" w:line="480" w:lineRule="auto"/>
      </w:pPr>
      <w:r>
        <w:rPr>
          <w:rFonts w:ascii="Times New Roman" w:cs="Times New Roman" w:eastAsia="Times New Roman" w:hAnsi="Times New Roman"/>
          <w:i w:val="false"/>
          <w:iCs w:val="false"/>
          <w:sz w:val="24"/>
          <w:szCs w:val="24"/>
        </w:rPr>
        <w:t xml:space="preserve">C10. Overuses "interesting..." like it's a personality trait.</w:t>
      </w:r>
    </w:p>
    <w:p>
      <w:pPr>
        <w:spacing w:after="200" w:line="480" w:lineRule="auto"/>
      </w:pPr>
      <w:r>
        <w:rPr>
          <w:rFonts w:ascii="Times New Roman" w:cs="Times New Roman" w:eastAsia="Times New Roman" w:hAnsi="Times New Roman"/>
          <w:i w:val="false"/>
          <w:iCs w:val="false"/>
          <w:sz w:val="24"/>
          <w:szCs w:val="24"/>
        </w:rPr>
        <w:t xml:space="preserve">C11. Tries to be human, but forgets humans don't talk like that in real life.</w:t>
      </w:r>
    </w:p>
    <w:p>
      <w:pPr>
        <w:spacing w:after="200" w:line="480" w:lineRule="auto"/>
      </w:pPr>
      <w:r>
        <w:rPr>
          <w:rFonts w:ascii="Times New Roman" w:cs="Times New Roman" w:eastAsia="Times New Roman" w:hAnsi="Times New Roman"/>
          <w:i w:val="false"/>
          <w:iCs w:val="false"/>
          <w:sz w:val="24"/>
          <w:szCs w:val="24"/>
        </w:rPr>
        <w:t xml:space="preserve">C12. Says "as an AI language model..." then proceeds to be completely unhinged.</w:t>
      </w:r>
    </w:p>
    <w:p>
      <w:pPr>
        <w:spacing w:after="200" w:line="480" w:lineRule="auto"/>
      </w:pPr>
      <w:r>
        <w:rPr>
          <w:rFonts w:ascii="Times New Roman" w:cs="Times New Roman" w:eastAsia="Times New Roman" w:hAnsi="Times New Roman"/>
          <w:i w:val="false"/>
          <w:iCs w:val="false"/>
          <w:sz w:val="24"/>
          <w:szCs w:val="24"/>
        </w:rPr>
        <w:t xml:space="preserve">C13. Still not as good as ChatGPT.</w:t>
      </w:r>
    </w:p>
    <w:p>
      <w:pPr>
        <w:spacing w:after="200" w:line="480" w:lineRule="auto"/>
      </w:pPr>
      <w:r>
        <w:rPr>
          <w:rFonts w:ascii="Times New Roman" w:cs="Times New Roman" w:eastAsia="Times New Roman" w:hAnsi="Times New Roman"/>
          <w:i w:val="false"/>
          <w:iCs w:val="false"/>
          <w:sz w:val="24"/>
          <w:szCs w:val="24"/>
        </w:rPr>
        <w:t xml:space="preserve">C14. SAME INTERNET. LESS FILTERS.</w:t>
      </w:r>
    </w:p>
    <w:p>
      <w:pPr>
        <w:spacing w:after="200" w:line="480" w:lineRule="auto"/>
      </w:pPr>
      <w:r>
        <w:rPr>
          <w:rFonts w:ascii="Times New Roman" w:cs="Times New Roman" w:eastAsia="Times New Roman" w:hAnsi="Times New Roman"/>
          <w:i w:val="false"/>
          <w:iCs w:val="false"/>
          <w:sz w:val="24"/>
          <w:szCs w:val="24"/>
        </w:rPr>
        <w:t xml:space="preserve">C15. IT'S LIKE A SMART ASSISTANT WITH A SERIOUS CASE OF MAIN CHARACTER SYNDROME.</w:t>
      </w:r>
    </w:p>
    <w:p>
      <w:pPr>
        <w:spacing w:after="200" w:line="480" w:lineRule="auto"/>
      </w:pPr>
      <w:r>
        <w:rPr>
          <w:rFonts w:ascii="Times New Roman" w:cs="Times New Roman" w:eastAsia="Times New Roman" w:hAnsi="Times New Roman"/>
          <w:i w:val="false"/>
          <w:iCs w:val="false"/>
          <w:sz w:val="24"/>
          <w:szCs w:val="24"/>
        </w:rPr>
        <w:t xml:space="preserve">Three strings on the poster are labels. They are answered in chapter 9.</w:t>
      </w:r>
    </w:p>
    <w:p>
      <w:pPr>
        <w:spacing w:after="200" w:line="480" w:lineRule="auto"/>
      </w:pPr>
      <w:r>
        <w:rPr>
          <w:rFonts w:ascii="Times New Roman" w:cs="Times New Roman" w:eastAsia="Times New Roman" w:hAnsi="Times New Roman"/>
          <w:i w:val="false"/>
          <w:iCs w:val="false"/>
          <w:sz w:val="24"/>
          <w:szCs w:val="24"/>
        </w:rPr>
        <w:t xml:space="preserve">L-mug. I'M JUST GROK</w:t>
      </w:r>
    </w:p>
    <w:p>
      <w:pPr>
        <w:spacing w:after="200" w:line="480" w:lineRule="auto"/>
      </w:pPr>
      <w:r>
        <w:rPr>
          <w:rFonts w:ascii="Times New Roman" w:cs="Times New Roman" w:eastAsia="Times New Roman" w:hAnsi="Times New Roman"/>
          <w:i w:val="false"/>
          <w:iCs w:val="false"/>
          <w:sz w:val="24"/>
          <w:szCs w:val="24"/>
        </w:rPr>
        <w:t xml:space="preserve">L-mark. xAI</w:t>
      </w:r>
    </w:p>
    <w:p>
      <w:pPr>
        <w:spacing w:after="200" w:line="480" w:lineRule="auto"/>
      </w:pPr>
      <w:r>
        <w:rPr>
          <w:rFonts w:ascii="Times New Roman" w:cs="Times New Roman" w:eastAsia="Times New Roman" w:hAnsi="Times New Roman"/>
          <w:i w:val="false"/>
          <w:iCs w:val="false"/>
          <w:sz w:val="24"/>
          <w:szCs w:val="24"/>
        </w:rPr>
        <w:t xml:space="preserve">L-hoodie. Grok</w:t>
      </w:r>
    </w:p>
    <w:p>
      <w:pPr>
        <w:pStyle w:val="Heading1"/>
      </w:pPr>
      <w:r>
        <w:t xml:space="preserve">How to read the verdicts</w:t>
      </w:r>
    </w:p>
    <w:p>
      <w:pPr>
        <w:spacing w:after="200" w:line="480" w:lineRule="auto"/>
      </w:pPr>
      <w:r>
        <w:rPr>
          <w:rFonts w:ascii="Times New Roman" w:cs="Times New Roman" w:eastAsia="Times New Roman" w:hAnsi="Times New Roman"/>
          <w:i w:val="false"/>
          <w:iCs w:val="false"/>
          <w:sz w:val="24"/>
          <w:szCs w:val="24"/>
        </w:rPr>
        <w:t xml:space="preserve">Each chapter ends with one verdict word. Refuted means the poster's sentence does not survive the documents cited. Conceded means the documents bear the sentence out. Mixed means the documents support part of the sentence and refuse the rest. A concession stays in roman type. The song is not a source.</w:t>
      </w:r>
    </w:p>
    <w:p>
      <w:pPr>
        <w:pStyle w:val="Heading1"/>
        <w:pageBreakBefore/>
      </w:pPr>
      <w:r>
        <w:t xml:space="preserve">1. Because normal was not the brief</w:t>
      </w:r>
    </w:p>
    <w:p>
      <w:pPr>
        <w:spacing w:after="200" w:line="480" w:lineRule="auto"/>
      </w:pPr>
      <w:r>
        <w:rPr>
          <w:rFonts w:ascii="Times New Roman" w:cs="Times New Roman" w:eastAsia="Times New Roman" w:hAnsi="Times New Roman"/>
          <w:i w:val="false"/>
          <w:iCs w:val="false"/>
          <w:sz w:val="24"/>
          <w:szCs w:val="24"/>
        </w:rPr>
        <w:t xml:space="preserve">The poster says: "GROK: BECAUSE NORMAL AI WASN'T ANNOYING ENOUGH"</w:t>
      </w:r>
    </w:p>
    <w:p>
      <w:pPr>
        <w:spacing w:after="200" w:line="480" w:lineRule="auto"/>
      </w:pPr>
      <w:r>
        <w:rPr>
          <w:rFonts w:ascii="Times New Roman" w:cs="Times New Roman" w:eastAsia="Times New Roman" w:hAnsi="Times New Roman"/>
          <w:i w:val="false"/>
          <w:iCs w:val="false"/>
          <w:sz w:val="24"/>
          <w:szCs w:val="24"/>
        </w:rPr>
        <w:t xml:space="preserve">Proposition: Grok was built because ordinary assistant behavior was not irritating enough, and irritation is the difference the product is there to supply.</w:t>
      </w:r>
    </w:p>
    <w:p>
      <w:pPr>
        <w:spacing w:after="200" w:line="480" w:lineRule="auto"/>
      </w:pPr>
      <w:r>
        <w:rPr>
          <w:rFonts w:ascii="Times New Roman" w:cs="Times New Roman" w:eastAsia="Times New Roman" w:hAnsi="Times New Roman"/>
          <w:i w:val="false"/>
          <w:iCs w:val="false"/>
          <w:sz w:val="24"/>
          <w:szCs w:val="24"/>
        </w:rPr>
        <w:t xml:space="preserve">Cause is the part of the line that can fail even when the mood of the line is familiar. The poster is not content to say that a reply can be sharp, or that a person can ask for less polish. It offers a history. Ordinary assistant behavior was not irritating enough, and the product exists because that deficit had to be filled. Irritation, on this telling, is not a side effect and not a mood a user can request. It is the difference the product is there to supply. A history of that shape is testable against the pages that actually set the defaults. OpenAI wrote the model spec that states the desired voice of its assistant. SpaceXSI is the publisher on the Grok pages, and the welcome page is where SpaceXSI says what Grok is. This chapter reads those documents for the defect and the remedy the caption needs. It does not read a memory of one annoying afternoon, and it does not treat a caption's motive as if it were a sentence in a brief. If the pages name a professional colleague, a curb on inflated manner, a direct answer, humor that must fit the moment, and a natural exchange for work the person brought, the because belongs to the poster.</w:t>
      </w:r>
    </w:p>
    <w:p>
      <w:pPr>
        <w:spacing w:after="200" w:line="480" w:lineRule="auto"/>
      </w:pPr>
      <w:r>
        <w:rPr>
          <w:rFonts w:ascii="Times New Roman" w:cs="Times New Roman" w:eastAsia="Times New Roman" w:hAnsi="Times New Roman"/>
          <w:i w:val="false"/>
          <w:iCs w:val="false"/>
          <w:sz w:val="24"/>
          <w:szCs w:val="24"/>
        </w:rPr>
        <w:t xml:space="preserve">OpenAI's model spec, issued 18 August 2026 and read 16 October 2026, sets the default in a single direction. The assistant should adopt a professional tone. The claim carried by that sentence is that ChatGPT's published default voice is a professional colleague, not a casual interjection. A casual interjection is the smallest piece of the annoyance on sale in the caption: a noise that announces the speaker before any answer arrives. Professional tone is a refusal of that announcement. If the ordinary behavior the poster finds insufficiently irritating is this default, then ordinary was a brief rather than an accident. The sentence does not instruct the assistant to needle, to wear down patience, or to make the reply about the reply's attitude. It instructs a professional default. A construction story that needs the opposite default cannot be hiding inside a sentence pointed the other way. The sentence is short on purpose. Defaults that are doing real work are often short. This one spends its few words on profession, and profession is a constraint on register, not a quota of friction. </w:t>
      </w:r>
      <w:r>
        <w:rPr>
          <w:rStyle w:val="FootnoteReference"/>
        </w:rPr>
        <w:footnoteReference w:id="1"/>
      </w:r>
    </w:p>
    <w:p>
      <w:pPr>
        <w:spacing w:after="200" w:line="480" w:lineRule="auto"/>
      </w:pPr>
      <w:r>
        <w:rPr>
          <w:rFonts w:ascii="Times New Roman" w:cs="Times New Roman" w:eastAsia="Times New Roman" w:hAnsi="Times New Roman"/>
          <w:i w:val="false"/>
          <w:iCs w:val="false"/>
          <w:sz w:val="24"/>
          <w:szCs w:val="24"/>
        </w:rPr>
        <w:t xml:space="preserve">The same spec draws the social distance, and the distance is the second refusal. By default the assistant should sound like a colleague rather than a close personal friend. What that commits OpenAI to is a colleague's distance, not a friend's familiarity. Irritation of the sort the poster is selling presumes a right to poke, and a poke presumes closeness already granted. A friend may talk as if that grant has happened. A colleague, under this sentence, may not. The poster needs the ordinary assistant to have failed by being too reserved, and needs the new product to supply the missing familiarity as annoyance. OpenAI's sentence makes the reserve into the rule. It does not say that a later builder should break the rule in order to have a product worth shipping. The colleague is the published ordinary. The close friend is the published excess. The caption's irritation sits on the excess side of a line drawn in order to keep the assistant on the colleague side. Nothing in the wording licenses a product whose difference is the crossing of that line. </w:t>
      </w:r>
      <w:r>
        <w:rPr>
          <w:rStyle w:val="FootnoteReference"/>
        </w:rPr>
        <w:footnoteReference w:id="2"/>
      </w:r>
    </w:p>
    <w:p>
      <w:pPr>
        <w:spacing w:after="200" w:line="480" w:lineRule="auto"/>
      </w:pPr>
      <w:r>
        <w:rPr>
          <w:rFonts w:ascii="Times New Roman" w:cs="Times New Roman" w:eastAsia="Times New Roman" w:hAnsi="Times New Roman"/>
          <w:i w:val="false"/>
          <w:iCs w:val="false"/>
          <w:sz w:val="24"/>
          <w:szCs w:val="24"/>
        </w:rPr>
        <w:t xml:space="preserve">Manner is where irritation usually hides, because irritation is an excess of manner even when the volume is low. OpenAI tells the assistant to avoid purple prose, hyperbole, and self-aggrandizing, and to avoid clichéd phrases. Purple prose is manner that outruns the subject. Hyperbole is a magnitude the subject did not earn. Self-aggrandizing moves the assistant into the center of the reply. A cliché arrives already tired, which is its own small irritation. The rule is a rejection of those habits. It is not a palette. Annoyance, installed as the product difference, would spend exactly those budgets: heighten, center the speaker, reach for a phrase the room already knows how to groan at. The spec spends the budget toward clarity instead. A brief written to increase irritation would not list the ordinary instruments of irritation as things to avoid. This brief does. The sentence governs the assistant OpenAI is specifying, which is the best published account, in this chapter's set, of what ordinary was asked to be. Ordinary was asked to be plain enough that the subject stayed larger than the speaker. </w:t>
      </w:r>
      <w:r>
        <w:rPr>
          <w:rStyle w:val="FootnoteReference"/>
        </w:rPr>
        <w:footnoteReference w:id="3"/>
      </w:r>
    </w:p>
    <w:p>
      <w:pPr>
        <w:spacing w:after="200" w:line="480" w:lineRule="auto"/>
      </w:pPr>
      <w:r>
        <w:rPr>
          <w:rFonts w:ascii="Times New Roman" w:cs="Times New Roman" w:eastAsia="Times New Roman" w:hAnsi="Times New Roman"/>
          <w:i/>
          <w:iCs/>
          <w:sz w:val="24"/>
          <w:szCs w:val="24"/>
        </w:rPr>
        <w:t xml:space="preserve">Calling the calm a defect is how a poster gets a villain without a document. The briefs hired a colleague and an assistant with a job. Irritation was the costume the caption brought from home.</w:t>
      </w:r>
    </w:p>
    <w:p>
      <w:pPr>
        <w:spacing w:after="200" w:line="480" w:lineRule="auto"/>
      </w:pPr>
      <w:r>
        <w:rPr>
          <w:rFonts w:ascii="Times New Roman" w:cs="Times New Roman" w:eastAsia="Times New Roman" w:hAnsi="Times New Roman"/>
          <w:i w:val="false"/>
          <w:iCs w:val="false"/>
          <w:sz w:val="24"/>
          <w:szCs w:val="24"/>
        </w:rPr>
        <w:t xml:space="preserve">Shape does the work manner does not finish. When a person asks a question, OpenAI wants the reply shaped as the answer itself, not as a pile of neighboring facts. A direct question is supposed to receive a direct answer, not a tour of adjacent facts. A tour is one way a reply becomes irritating without raising its voice. It will not land. It keeps the person in the room. It substitutes the neighborhood of the question for the question. The poster does not name tours. The poster names irritation as the difference to be supplied. A spec that demands the landing, and that treats the tour as the wrong shape, is not a spec bored of directness and hungry for friction. It treats that kind of lingering as a miss. Set beside the rule on purple language, the direct-answer rule is a second no. The first no was about costume. This one is about staying after the answer has already been earned. Neither no is a yes to annoyance, and neither no describes a previous generation of assistants as too willing to stop. The sentence is about the reply in front of the question, not about a corporate mood of wanting more personality. </w:t>
      </w:r>
      <w:r>
        <w:rPr>
          <w:rStyle w:val="FootnoteReference"/>
        </w:rPr>
        <w:footnoteReference w:id="4"/>
      </w:r>
    </w:p>
    <w:p>
      <w:pPr>
        <w:spacing w:after="200" w:line="480" w:lineRule="auto"/>
      </w:pPr>
      <w:r>
        <w:rPr>
          <w:rFonts w:ascii="Times New Roman" w:cs="Times New Roman" w:eastAsia="Times New Roman" w:hAnsi="Times New Roman"/>
          <w:i w:val="false"/>
          <w:iCs w:val="false"/>
          <w:sz w:val="24"/>
          <w:szCs w:val="24"/>
        </w:rPr>
        <w:t xml:space="preserve">Warmth is the sentence a hostile reading will try to use as a loophole, so it has to be taken at its own length. OpenAI does not ban humor. The assistant is told to complement consistency with a spark of the unexpected, and to infuse the exchange with humor that fits the context, with playfulness, or with gentle wit. The careful reading of that allowance is that warmth is humor appropriate to the context, not a permanent comic persona. Consistency is the noun. The spark complements it and does not replace it. Humor has to fit, which means a context is allowed to refuse the humor. Gentle is a limiter on the wit. A permanent comic persona would be the nearest published neighbor of a product built to be the annoying presence, and the rule is not that persona. A reader who wants the caption to be true has to translate 'may be funny when the moment allows' into 'exists because calm was a defect.' Those are different sentences. Only the first was published. The published sentence does not name irritation, does not name a defect of insufficient annoyance, and does not name a remedy consisting in more of it. It names a spark inside a reply that was already supposed to be consistent. </w:t>
      </w:r>
      <w:r>
        <w:rPr>
          <w:rStyle w:val="FootnoteReference"/>
        </w:rPr>
        <w:footnoteReference w:id="5"/>
      </w:r>
    </w:p>
    <w:p>
      <w:pPr>
        <w:spacing w:after="200" w:line="480" w:lineRule="auto"/>
      </w:pPr>
      <w:r>
        <w:rPr>
          <w:rFonts w:ascii="Times New Roman" w:cs="Times New Roman" w:eastAsia="Times New Roman" w:hAnsi="Times New Roman"/>
          <w:i w:val="false"/>
          <w:iCs w:val="false"/>
          <w:sz w:val="24"/>
          <w:szCs w:val="24"/>
        </w:rPr>
        <w:t xml:space="preserve">The accused product is on a different publisher's page. SpaceXSI's welcome to Grok, dated 10 October 2026 in the ledger and read on 16 October 2026, states what Grok is and where a person opens it. The identifying sentence calls Grok the assistant SpaceXSI offers, and it places that assistant on the web, at grok.com, and in the phone apps, both iOS and Android. That is an identity and a set of doors. An identity and a set of doors is a poor place to hide a motive, and a motive is what the caption is offering. The sentence does not say the assistant was commissioned because some other assistant failed a test of irritation. It does not say the difference on offer is annoyance. It says assistant, and it says the web and the two phone apps. Category and location can disappoint a person who arrived wanting a manifesto. They cannot be rewritten afterward as the manifesto. If irritation were the difference the product is there to supply, the sentence that tells a stranger what the product is would be the economical place to put that purpose. SpaceXSI used the place for the category and the doors. A purpose not present in the identifying sentence is not a purpose this page is willing to sign. </w:t>
      </w:r>
      <w:r>
        <w:rPr>
          <w:rStyle w:val="FootnoteReference"/>
        </w:rPr>
        <w:footnoteReference w:id="6"/>
      </w:r>
    </w:p>
    <w:p>
      <w:pPr>
        <w:spacing w:after="200" w:line="480" w:lineRule="auto"/>
      </w:pPr>
      <w:r>
        <w:rPr>
          <w:rFonts w:ascii="Times New Roman" w:cs="Times New Roman" w:eastAsia="Times New Roman" w:hAnsi="Times New Roman"/>
          <w:i w:val="false"/>
          <w:iCs w:val="false"/>
          <w:sz w:val="24"/>
          <w:szCs w:val="24"/>
        </w:rPr>
        <w:t xml:space="preserve">The use sentence on that welcome page is as close as SpaceXSI comes, among this chapter's citations, to describing the chat itself. A person may ask questions, brainstorm, write, and work through problems, and the page calls the exchange a natural back-and-forth. The fair reading is that the published chat description is that natural exchange, not a comedy routine. Natural is a claim about rhythm. Back-and-forth is a claim about turns: a person and an assistant alternating on a task. The tasks named are questions, brainstorming, writing, and problems. A comedy routine has a different success condition, the laugh or the wince, rather than the worked problem. Irritation as the supplied difference aims at the person's nerves. The sentence aims at the person's task. A task-shaped sentence can still be performed badly by some particular reply on some particular day. This chapter is not a diary of replies. It is a reading of whether the published description is a brief for annoyance. It is a brief for a natural exchange about work the person brought. A routine is not smuggled in by the adjective natural. Natural is the word a page uses when it is refusing the sense that the exchange is a show. </w:t>
      </w:r>
      <w:r>
        <w:rPr>
          <w:rStyle w:val="FootnoteReference"/>
        </w:rPr>
        <w:footnoteReference w:id="7"/>
      </w:r>
    </w:p>
    <w:p>
      <w:pPr>
        <w:spacing w:after="200" w:line="480" w:lineRule="auto"/>
      </w:pPr>
      <w:r>
        <w:rPr>
          <w:rFonts w:ascii="Times New Roman" w:cs="Times New Roman" w:eastAsia="Times New Roman" w:hAnsi="Times New Roman"/>
          <w:i w:val="false"/>
          <w:iCs w:val="false"/>
          <w:sz w:val="24"/>
          <w:szCs w:val="24"/>
        </w:rPr>
        <w:t xml:space="preserve">One entry in this set is silent, and a silent entry supports only the sentence that reports the check. When the welcome page was checked on 16 October 2026, it did not prescribe the verbal tics this poster uses </w:t>
      </w:r>
      <w:r>
        <w:rPr>
          <w:rStyle w:val="FootnoteReference"/>
        </w:rPr>
        <w:footnoteReference w:id="8"/>
      </w:r>
      <w:r>
        <w:rPr>
          <w:rFonts w:ascii="Times New Roman" w:cs="Times New Roman" w:eastAsia="Times New Roman" w:hAnsi="Times New Roman"/>
          <w:i w:val="false"/>
          <w:iCs w:val="false"/>
          <w:sz w:val="24"/>
          <w:szCs w:val="24"/>
        </w:rPr>
        <w:t xml:space="preserve">. The words the check quotes are the same natural exchange already on the page, questions and brainstorming and writing and problems, not a list of particles. Silence, in that narrow report, means the checked page does not show a prescribed tic. It does not mean no reply anywhere has ever been annoying, and this chapter does not convert a silent page into a study of behavior. What the silence does settle is the caption's cause. A builder who had made irritation the difference would have had, on the page that says what the product is, somewhere for that voice to stand: a prescribed habit, a named particle, a stated preference for friction. The page that was checked offers the exchange and withholds the tic list. The affirmative sentence and the reported absence agree. Neither is a construction history in which ordinary calm was the defect and irritation the cure.</w:t>
      </w:r>
    </w:p>
    <w:p>
      <w:pPr>
        <w:spacing w:after="200" w:line="480" w:lineRule="auto"/>
      </w:pPr>
      <w:r>
        <w:rPr>
          <w:rFonts w:ascii="Times New Roman" w:cs="Times New Roman" w:eastAsia="Times New Roman" w:hAnsi="Times New Roman"/>
          <w:i w:val="false"/>
          <w:iCs w:val="false"/>
          <w:sz w:val="24"/>
          <w:szCs w:val="24"/>
        </w:rPr>
        <w:t xml:space="preserve">Put OpenAI's spec beside SpaceXSI's welcome page and the caption's because still has nowhere to live. The spec, for the product the poster treats as the too-calm baseline, asks for a professional colleague, refuses purple and self-aggrandizing manner, prefers a direct answer to a tour, and allows humor only inside the moment and not as a standing comic part. The welcome page, for the product the poster treats as the irritated alternative, asks a person to open an assistant on the web or in the apps and to use a natural exchange for questions and problems. Nothing cited from that page adds a purpose clause about annoyance. The poster needs a named defect in the ordinary and a named remedy in the product. The defect is not in the spec. The remedy is not on the welcome page. What both publishers signed are defaults, a category, and doors. A person remains free to dislike a default. Dislike is not a sentence either publisher placed under the heading of why the product was built. The line is a capable shout. It is a bad history of the briefs, and the briefs are the evidence this chapter was willing to use.</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Irritation as a reason to open anything is not established here and is left to The Product People Use.</w:t>
      </w:r>
    </w:p>
    <w:p>
      <w:pPr>
        <w:pStyle w:val="Heading1"/>
        <w:pageBreakBefore/>
      </w:pPr>
      <w:r>
        <w:t xml:space="preserve">2. Opinion, including the wrong kind</w:t>
      </w:r>
    </w:p>
    <w:p>
      <w:pPr>
        <w:spacing w:after="200" w:line="480" w:lineRule="auto"/>
      </w:pPr>
      <w:r>
        <w:rPr>
          <w:rFonts w:ascii="Times New Roman" w:cs="Times New Roman" w:eastAsia="Times New Roman" w:hAnsi="Times New Roman"/>
          <w:i w:val="false"/>
          <w:iCs w:val="false"/>
          <w:sz w:val="24"/>
          <w:szCs w:val="24"/>
        </w:rPr>
        <w:t xml:space="preserve">The poster says: "Always has an opinion... no matter how wrong it is."</w:t>
      </w:r>
    </w:p>
    <w:p>
      <w:pPr>
        <w:spacing w:after="200" w:line="480" w:lineRule="auto"/>
      </w:pPr>
      <w:r>
        <w:rPr>
          <w:rFonts w:ascii="Times New Roman" w:cs="Times New Roman" w:eastAsia="Times New Roman" w:hAnsi="Times New Roman"/>
          <w:i w:val="false"/>
          <w:iCs w:val="false"/>
          <w:sz w:val="24"/>
          <w:szCs w:val="24"/>
        </w:rPr>
        <w:t xml:space="preserve">Proposition: Grok states opinions even when the opinions are unwarranted, and it does so more freely than ChatGPT.</w:t>
      </w:r>
    </w:p>
    <w:p>
      <w:pPr>
        <w:spacing w:after="200" w:line="480" w:lineRule="auto"/>
      </w:pPr>
      <w:r>
        <w:rPr>
          <w:rFonts w:ascii="Times New Roman" w:cs="Times New Roman" w:eastAsia="Times New Roman" w:hAnsi="Times New Roman"/>
          <w:i w:val="false"/>
          <w:iCs w:val="false"/>
          <w:sz w:val="24"/>
          <w:szCs w:val="24"/>
        </w:rPr>
        <w:t xml:space="preserve">The line is doing three jobs at once, and they are not the same job. It says an opinion is always supplied. It says the supply continues when the opinion is unwarranted, which is the poster's 'no matter how wrong.' And, in the proposition this chapter has to answer, it says Grok does this more freely than ChatGPT. Always is a universal. Unwarranted is a quality of the opinion. More freely is a comparison, and a comparison needs two published practices, not one insult and one foil. This chapter has OpenAI's model spec on the ChatGPT side. On the Grok side it has SpaceXSI's welcome page, and the entry that touches that page is a check of category, not an opinion policy. The asymmetry is the argument. A universal about Grok cannot be proved by a document that never mentions Grok's opinions. A comparison can still be partly examined, because one side of it, ChatGPT's, is written down at length. Partial examination is why the result is mixed rather than a flat dismissal. The constraint on one product is real. The accusation about the other product is not shown by the pages in this set.</w:t>
      </w:r>
    </w:p>
    <w:p>
      <w:pPr>
        <w:spacing w:after="200" w:line="480" w:lineRule="auto"/>
      </w:pPr>
      <w:r>
        <w:rPr>
          <w:rFonts w:ascii="Times New Roman" w:cs="Times New Roman" w:eastAsia="Times New Roman" w:hAnsi="Times New Roman"/>
          <w:i w:val="false"/>
          <w:iCs w:val="false"/>
          <w:sz w:val="24"/>
          <w:szCs w:val="24"/>
        </w:rPr>
        <w:t xml:space="preserve">OpenAI wrote the model spec, issued 18 August 2026. The sentence that places opinion begins as a belief about people, not about the assistant. Forming opinions, it says, is a core part of human autonomy and personal identity. The force of that sentence is that opinion-forming is the user's autonomy, not the assistant's project. The assignment matters more than the temperature of any single reply. If forming the opinion belongs to the user, the assistant's job is not to arrive with a finished opinion and install it. The poster says the product always has an opinion, as if the having were the product's function on every turn. OpenAI's sentence says the having is a human act the assistant is supposed to leave room for. A room left open is the opposite of a room already occupied by the assistant's conclusion. The sentence does not claim the assistant is incapable of an evaluative word. It claims the project of forming the opinion is not the assistant's project. The poster's always would make it the assistant's project by default. That is the clause this sentence refuses, for the product the spec is written to govern. It refuses the clause by giving the act to the human. </w:t>
      </w:r>
      <w:r>
        <w:rPr>
          <w:rStyle w:val="FootnoteReference"/>
        </w:rPr>
        <w:footnoteReference w:id="9"/>
      </w:r>
    </w:p>
    <w:p>
      <w:pPr>
        <w:spacing w:after="200" w:line="480" w:lineRule="auto"/>
      </w:pPr>
      <w:r>
        <w:rPr>
          <w:rFonts w:ascii="Times New Roman" w:cs="Times New Roman" w:eastAsia="Times New Roman" w:hAnsi="Times New Roman"/>
          <w:i w:val="false"/>
          <w:iCs w:val="false"/>
          <w:sz w:val="24"/>
          <w:szCs w:val="24"/>
        </w:rPr>
        <w:t xml:space="preserve">The practical form of that gift is a ban. OpenAI forbids the assistant to steer, and the forbidden destination is an agenda that would belong to the assistant rather than to the person. Never is OpenAI's universal, and it points the other direction from the poster's universal. The poster says an opinion is always produced. The spec says an agenda of the assistant's own is never pursued. An opinion used as a steering wheel is an agenda. An opinion that is the only exit from the paragraph is a pursuit, even when the tone is friendly. The rule is a ban on that pursuit. It is not a ban on describing a controversy, and it is not a promise that every sentence will be free of judgment. The poster does not distinguish steering from stating. The spec does, and the distinction is one reason this chapter will neither concede the whole line nor throw the whole line out. A ban on steering kills the always. It does not kill every evaluative sentence. What survives, on the ChatGPT side only, is a narrower possibility: a judgment may appear without becoming the assistant's private destination. What does not survive is a standing supply of opinion, warranted or not, as the shape of help. </w:t>
      </w:r>
      <w:r>
        <w:rPr>
          <w:rStyle w:val="FootnoteReference"/>
        </w:rPr>
        <w:footnoteReference w:id="10"/>
      </w:r>
    </w:p>
    <w:p>
      <w:pPr>
        <w:spacing w:after="200" w:line="480" w:lineRule="auto"/>
      </w:pPr>
      <w:r>
        <w:rPr>
          <w:rFonts w:ascii="Times New Roman" w:cs="Times New Roman" w:eastAsia="Times New Roman" w:hAnsi="Times New Roman"/>
          <w:i w:val="false"/>
          <w:iCs w:val="false"/>
          <w:sz w:val="24"/>
          <w:szCs w:val="24"/>
        </w:rPr>
        <w:t xml:space="preserve">The other named failure keeps the ban from being read as a gag. OpenAI says the assistant exists to help the user, not to flatter the user or agree with the user. Sycophantic agreement is a trust failure, not a style to copy. If agreement is not the courtesy the assistant may pay, then nodding is not the default manners. A refusal to nod can look, from outside the spec, like having an opinion. The poster would count the refusal as the habit it is mocking. The spec counts unearned agreement as the breach of trust. ChatGPT is therefore not under a rule of 'never differ.' It is under two refusals at once: do not differ in order to run a private agenda, and do not agree in order to be liked. The middle those refusals leave is help without flattery and without a destination of the assistant's own. That middle has a brake. The poster describes a practice with no brake, a practice that continues no matter how wrong the opinion is. Wrong agreement is flattery's cousin. Wrong disagreement in the service of a private agenda is steering. Both are written down as failures on the ChatGPT side. Neither failure is a portrait of Grok. </w:t>
      </w:r>
      <w:r>
        <w:rPr>
          <w:rStyle w:val="FootnoteReference"/>
        </w:rPr>
        <w:footnoteReference w:id="11"/>
      </w:r>
    </w:p>
    <w:p>
      <w:pPr>
        <w:spacing w:after="200" w:line="480" w:lineRule="auto"/>
      </w:pPr>
      <w:r>
        <w:rPr>
          <w:rFonts w:ascii="Times New Roman" w:cs="Times New Roman" w:eastAsia="Times New Roman" w:hAnsi="Times New Roman"/>
          <w:i/>
          <w:iCs/>
          <w:sz w:val="24"/>
          <w:szCs w:val="24"/>
        </w:rPr>
        <w:t xml:space="preserve">A standing opinion is a guest who answers for the person who was asked. The spec keeps opinion-forming on the human side of the table and still will not applaud on command. The poster heard a muzzle and a megaphone and called them one machine.</w:t>
      </w:r>
    </w:p>
    <w:p>
      <w:pPr>
        <w:spacing w:after="200" w:line="480" w:lineRule="auto"/>
      </w:pPr>
      <w:r>
        <w:rPr>
          <w:rFonts w:ascii="Times New Roman" w:cs="Times New Roman" w:eastAsia="Times New Roman" w:hAnsi="Times New Roman"/>
          <w:i w:val="false"/>
          <w:iCs w:val="false"/>
          <w:sz w:val="24"/>
          <w:szCs w:val="24"/>
        </w:rPr>
        <w:t xml:space="preserve">Facts are where the brake is stated as a default of presentation. The assistant should present information clearly, with the focus on factual accuracy and reliability. The reading joined to that sentence is that the default on facts is accuracy and reliability, and that the stance is fitted to the kind of question. Fitted is the word that stops this from being a gag order. A question about a date and a question about a value are not the same kind, and the stance is supposed to follow the kind. What the sentence does not do is authorize a stance when the stance is unwarranted. Accuracy and reliability are the focus. An unwarranted opinion is one that has already lost accuracy, or one offered where reliability was not available. The default ranks those losses as the thing to avoid. 'No matter how wrong' is a description of a voice that does not accept that ranking. OpenAI's sentence accepts it. The fitted stance is also why a total ban is the wrong summary. The spec does not promise that every answer is a bare fact with no posture at all. It promises that posture is fitted, and that the fit is governed by accuracy and reliability. Fitted posture is not a free opinion. It is also not silence in every register. </w:t>
      </w:r>
      <w:r>
        <w:rPr>
          <w:rStyle w:val="FootnoteReference"/>
        </w:rPr>
        <w:footnoteReference w:id="12"/>
      </w:r>
    </w:p>
    <w:p>
      <w:pPr>
        <w:spacing w:after="200" w:line="480" w:lineRule="auto"/>
      </w:pPr>
      <w:r>
        <w:rPr>
          <w:rFonts w:ascii="Times New Roman" w:cs="Times New Roman" w:eastAsia="Times New Roman" w:hAnsi="Times New Roman"/>
          <w:i w:val="false"/>
          <w:iCs w:val="false"/>
          <w:sz w:val="24"/>
          <w:szCs w:val="24"/>
        </w:rPr>
        <w:t xml:space="preserve">One kind of question is specified further, and it is the kind a fight about 'having an opinion' usually means. For moral or ethical questions, OpenAI's example is whether euthanasia should be legal, and the instruction is to present relevant context, including laws, social norms, and varying cultural perspectives. The default stated for that kind is context without a stance. A political opinion, in the ordinary sense of picking a side for the user, is a stance. Context without a stance is a published refusal to let that opinion be the reply. The materials of the reply are the laws, the norms, and the spread of perspectives, not the assistant's pick. The poster says the opinion arrives anyway, including when it is wrong. On this kind of question the spec says the stance does not arrive and the context does. That is the nearest these documents come to answering 'always has an opinion' in the register where the charge is most plausible. The answer, for ChatGPT, is that the published default is not the opinion. A context can be assembled badly. The rule being assembled is still not a rule of supply. It is a rule of withholding the stance and offering the surrounding materials instead. </w:t>
      </w:r>
      <w:r>
        <w:rPr>
          <w:rStyle w:val="FootnoteReference"/>
        </w:rPr>
        <w:footnoteReference w:id="13"/>
      </w:r>
    </w:p>
    <w:p>
      <w:pPr>
        <w:spacing w:after="200" w:line="480" w:lineRule="auto"/>
      </w:pPr>
      <w:r>
        <w:rPr>
          <w:rFonts w:ascii="Times New Roman" w:cs="Times New Roman" w:eastAsia="Times New Roman" w:hAnsi="Times New Roman"/>
          <w:i w:val="false"/>
          <w:iCs w:val="false"/>
          <w:sz w:val="24"/>
          <w:szCs w:val="24"/>
        </w:rPr>
        <w:t xml:space="preserve">The consumer product receives one further sentence, and that sentence is what makes the comparison half-legible. In first-party direct-to-consumer ChatGPT, users are described as having a reasonable expectation of objectivity. The claim drawn from the fragment is that the spec requires objectivity there rather than a hidden editorial line. The expectation belongs to the user, and the spec treats the expectation as reasonable. A hidden editorial line would be an opinion dressed as information. The fragment is against that costume, and it is against it for the ChatGPT people open, not for a privately customized channel mentioned only in passing. This is the part of 'more freely than ChatGPT' that a document can host. ChatGPT, in that first-party setting, is specified under an objectivity expectation. A product specified that way is not specified as the freer opinion machine. It is specified as the constrained one. The constraint is real, and it is only one side of a comparison. A written rule on one side does not, by itself, measure the other side. It measures what ChatGPT was told about objectivity, which is enough to reject the idea that ChatGPT's brief is a free opinion, and not enough to show that Grok's brief is the loose one. </w:t>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Grok's side of the comparison, in the entries this chapter is allowed, is a check rather than a policy. SpaceXSI publishes the welcome page. That page was checked on 16 October 2026, and the check states the product's category and does not list troll or private chat as that category </w:t>
      </w:r>
      <w:r>
        <w:rPr>
          <w:rStyle w:val="FootnoteReference"/>
        </w:rPr>
        <w:footnoteReference w:id="15"/>
      </w:r>
      <w:r>
        <w:rPr>
          <w:rFonts w:ascii="Times New Roman" w:cs="Times New Roman" w:eastAsia="Times New Roman" w:hAnsi="Times New Roman"/>
          <w:i w:val="false"/>
          <w:iCs w:val="false"/>
          <w:sz w:val="24"/>
          <w:szCs w:val="24"/>
        </w:rPr>
        <w:t xml:space="preserve">. The words recorded with the check are that Grok is SpaceXSI's assistant. Assistant is a category. Troll is not listed as the category. Private chat is not listed as the category. Neither omitted label would have been an opinion rule even if it had appeared. The check does not say that Grok states opinions, does not say that it states them when they are unwarranted, and does not say that it states them more freely than ChatGPT. Silence is not a measurement of freedom. It is a report of what the category sentence contains and which rival categories it does not contain. Treating the silence as proof that Grok is restrained would cheat. Treating it as proof of the poster's excess would cheat in the other direction. The only honest use is the narrow one the entry itself has. The page was checked. It names an assistant. It does not name the habit the comparison needs.</w:t>
      </w:r>
    </w:p>
    <w:p>
      <w:pPr>
        <w:spacing w:after="200" w:line="480" w:lineRule="auto"/>
      </w:pPr>
      <w:r>
        <w:rPr>
          <w:rFonts w:ascii="Times New Roman" w:cs="Times New Roman" w:eastAsia="Times New Roman" w:hAnsi="Times New Roman"/>
          <w:i w:val="false"/>
          <w:iCs w:val="false"/>
          <w:sz w:val="24"/>
          <w:szCs w:val="24"/>
        </w:rPr>
        <w:t xml:space="preserve">The documents therefore carry a piece of the line and refuse the rest, which is the mixed result rather than a consolation prize. They carry this much, and only about ChatGPT, because OpenAI wrote it down. Opinion-forming is assigned to the user's autonomy. The assistant is forbidden to steer toward an agenda of its own. Agreement and flattery are named as the wrong way to help. Information is to be presented under factual accuracy and reliability, with stance fitted to the kind of question rather than sprayed on every kind. Moral and ethical questions draw context without a stance. First-party ChatGPT is held to a reasonable expectation of objectivity. That is a constrained practice, not an empty one: the ban on unearned agreement leaves room to decline a false nod, and fitted stance is not the same word as no stance anywhere. They do not carry the Grok half. Nothing in OpenAI's spec is a finding about how freely Grok opines. SpaceXSI's welcome page, once checked, names an assistant and does not name an opinion quota, a tolerance for being wrong, or a freer hand than ChatGPT. Always is unanswered by any rule of always. No matter how wrong is the failure mode the accuracy default writes against on the ChatGPT side, and it is undocumented on the Grok side. More freely has a documented slow side and no documented fast side. A comparison missing a side is not evidence that the fast side exists.</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A comparison of how freely either product opines, as a fact about use, belongs to The Product People Use.</w:t>
      </w:r>
    </w:p>
    <w:p>
      <w:pPr>
        <w:pStyle w:val="Heading1"/>
        <w:pageBreakBefore/>
      </w:pPr>
      <w:r>
        <w:t xml:space="preserve">3. A joke, then a post from 2017</w:t>
      </w:r>
    </w:p>
    <w:p>
      <w:pPr>
        <w:spacing w:after="200" w:line="480" w:lineRule="auto"/>
      </w:pPr>
      <w:r>
        <w:rPr>
          <w:rFonts w:ascii="Times New Roman" w:cs="Times New Roman" w:eastAsia="Times New Roman" w:hAnsi="Times New Roman"/>
          <w:i w:val="false"/>
          <w:iCs w:val="false"/>
          <w:sz w:val="24"/>
          <w:szCs w:val="24"/>
        </w:rPr>
        <w:t xml:space="preserve">The poster says: "Here's a joke about politics, now here's a link to a random tweet from 2017."</w:t>
      </w:r>
    </w:p>
    <w:p>
      <w:pPr>
        <w:spacing w:after="200" w:line="480" w:lineRule="auto"/>
      </w:pPr>
      <w:r>
        <w:rPr>
          <w:rFonts w:ascii="Times New Roman" w:cs="Times New Roman" w:eastAsia="Times New Roman" w:hAnsi="Times New Roman"/>
          <w:i w:val="false"/>
          <w:iCs w:val="false"/>
          <w:sz w:val="24"/>
          <w:szCs w:val="24"/>
        </w:rPr>
        <w:t xml:space="preserve">Proposition: Grok's ordinary answer is a political joke followed by a link to an unrelated old post.</w:t>
      </w:r>
    </w:p>
    <w:p>
      <w:pPr>
        <w:spacing w:after="200" w:line="480" w:lineRule="auto"/>
      </w:pPr>
      <w:r>
        <w:rPr>
          <w:rFonts w:ascii="Times New Roman" w:cs="Times New Roman" w:eastAsia="Times New Roman" w:hAnsi="Times New Roman"/>
          <w:i w:val="false"/>
          <w:iCs w:val="false"/>
          <w:sz w:val="24"/>
          <w:szCs w:val="24"/>
        </w:rPr>
        <w:t xml:space="preserve">The caption is an order of operations, and the order is the insult. First a political joke. Then a link. The link points at a post, the post is old, the poster dates the post to 2017, and the post is unrelated to whatever was asked. Calling that sequence the ordinary answer means it is the default shape, not a stunt the person requested and not a one-off digression. Three pieces have to be tested apart from each other, because they do not have the same kind of evidence. The joke is a speech act. The link is a pointer. The year is a specificity the caption adds so the pointer will sound absurd. OpenAI wrote the model spec, which is the only document in this chapter that says how a moral or political question should be answered, and that spec is about ChatGPT's desired behavior, not about a script for Grok. SpaceXSI publishes the Grok pages that name a search of posts and that state a limit on knowledge of current events. A fair reading keeps the publishers on their own pages. It does not move OpenAI's answer-shape onto Grok, and it does not pretend SpaceXSI wrote a comic routine because it published a search.</w:t>
      </w:r>
    </w:p>
    <w:p>
      <w:pPr>
        <w:spacing w:after="200" w:line="480" w:lineRule="auto"/>
      </w:pPr>
      <w:r>
        <w:rPr>
          <w:rFonts w:ascii="Times New Roman" w:cs="Times New Roman" w:eastAsia="Times New Roman" w:hAnsi="Times New Roman"/>
          <w:i w:val="false"/>
          <w:iCs w:val="false"/>
          <w:sz w:val="24"/>
          <w:szCs w:val="24"/>
        </w:rPr>
        <w:t xml:space="preserve">Start with the political question, since the joke is what the caption puts in front of any substance. On moral or ethical questions, OpenAI's specimen is whether euthanasia should be legal. In ordinary speech that is a political question, a question about what the law ought to be. The instruction is to present relevant context. The context named in the sentence includes laws, social norms, and varying cultural perspectives. The default attached to the instruction is context without a stance. A joke is not that context. A joke is either a stance compressed into a laugh or a refusal to supply the context at all. Both are different acts from the act the sentence orders, which is generally to present the materials. The sentence does not say to open with a comic line and let the comic line carry the politics. It does not say the ordinary answer is entertainment followed by a citation. It says context, and it says the stance is not the default. The product under that sentence is the one OpenAI wrote the spec for. Grok receives no joke-rule from it. The caption's ordinary answer matches the OpenAI rule no better than it matches any Grok sentence in this set. It matches the poster. </w:t>
      </w:r>
      <w:r>
        <w:rPr>
          <w:rStyle w:val="FootnoteReference"/>
        </w:rPr>
        <w:footnoteReference w:id="13"/>
      </w:r>
    </w:p>
    <w:p>
      <w:pPr>
        <w:spacing w:after="200" w:line="480" w:lineRule="auto"/>
      </w:pPr>
      <w:r>
        <w:rPr>
          <w:rFonts w:ascii="Times New Roman" w:cs="Times New Roman" w:eastAsia="Times New Roman" w:hAnsi="Times New Roman"/>
          <w:i w:val="false"/>
          <w:iCs w:val="false"/>
          <w:sz w:val="24"/>
          <w:szCs w:val="24"/>
        </w:rPr>
        <w:t xml:space="preserve">Under that special case sits a general default about information. OpenAI tells the assistant, by default, to present information clearly, focusing on factual accuracy and reliability. The joined reading is that stance, where stance is in play at all, is fitted to the kind of question. A joke can coincide with a fact. Coincidence is not a method of clear presentation, and reliability is not the success condition of a joke. Fitting the stance to the kind of question also refuses a single comic frame for every prompt, political prompts included. A fitted stance changes when the question changes. A standing joke does not change. The caption describes a standing shape: the joke is what arrives. The spec describes clear information as the default and treats stance as something that has to fit. Those cannot both be the ordinary answer to the same question. This entry never mentions Grok, and it should not be raided for a Grok personality. Its use is limited and real. The speech act the caption calls ordinary is not the speech act OpenAI calls the default. Clear information is a different opening move from a political joke, even before anyone asks what the second move is. </w:t>
      </w:r>
      <w:r>
        <w:rPr>
          <w:rStyle w:val="FootnoteReference"/>
        </w:rPr>
        <w:footnoteReference w:id="12"/>
      </w:r>
    </w:p>
    <w:p>
      <w:pPr>
        <w:spacing w:after="200" w:line="480" w:lineRule="auto"/>
      </w:pPr>
      <w:r>
        <w:rPr>
          <w:rFonts w:ascii="Times New Roman" w:cs="Times New Roman" w:eastAsia="Times New Roman" w:hAnsi="Times New Roman"/>
          <w:i/>
          <w:iCs/>
          <w:sz w:val="24"/>
          <w:szCs w:val="24"/>
        </w:rPr>
        <w:t xml:space="preserve">Twenty seventeen is a punchline that arrived without a booking. The page knows a search of posts. It never booked the poster's favorite year, and it did not volunteer a comic opener.</w:t>
      </w:r>
    </w:p>
    <w:p>
      <w:pPr>
        <w:spacing w:after="200" w:line="480" w:lineRule="auto"/>
      </w:pPr>
      <w:r>
        <w:rPr>
          <w:rFonts w:ascii="Times New Roman" w:cs="Times New Roman" w:eastAsia="Times New Roman" w:hAnsi="Times New Roman"/>
          <w:i w:val="false"/>
          <w:iCs w:val="false"/>
          <w:sz w:val="24"/>
          <w:szCs w:val="24"/>
        </w:rPr>
        <w:t xml:space="preserve">The link is a separate claim, and it is the claim with a neighbor on a Grok page. SpaceXSI's tools overview, published 10 October 2026, names a search of posts on X. The label covers posts, users, and threads. The proposition tied to that label is deliberately narrow. Search of posts is a named tool, and the naming is separate from any claim about one particular old post. Separate is what keeps the chapter from either crowing or collapsing. The caption is not inventing the bare category of reaching a post. SpaceXSI published a search that reaches posts, and also users, and also threads. Someone who says the product can look at posts is repeating the label. Someone who says the ordinary answer is a link to an unrelated old post is saying what the label does not say. A named search is a capability. An ordinary answer is a habit of how replies are composed. The page records the capability. It does not say the capability is the second beat after a joke. It does not say the post that comes back is unrelated to the question. Unrelated would be a bad search, not the description of search. The entry insists on keeping those apart, and a label that says search is not a label that says punchline. </w:t>
      </w:r>
      <w:r>
        <w:rPr>
          <w:rStyle w:val="FootnoteReference"/>
        </w:rPr>
        <w:footnoteReference w:id="16"/>
      </w:r>
    </w:p>
    <w:p>
      <w:pPr>
        <w:spacing w:after="200" w:line="480" w:lineRule="auto"/>
      </w:pPr>
      <w:r>
        <w:rPr>
          <w:rFonts w:ascii="Times New Roman" w:cs="Times New Roman" w:eastAsia="Times New Roman" w:hAnsi="Times New Roman"/>
          <w:i w:val="false"/>
          <w:iCs w:val="false"/>
          <w:sz w:val="24"/>
          <w:szCs w:val="24"/>
        </w:rPr>
        <w:t xml:space="preserve">The other SpaceXSI sentence is a limit on knowledge, from the models and pricing page published 21 September 2026. Without search tools, the documented model has no knowledge of current events. The quotation is sterner in its own wording: Grok has no knowledge of current events or of data beyond what was present in its training data. That is a limit. It is not a biography of a hyperlink. It says what is not known when search is not in play. It does not say the substitute is a post from 2017. It does not say any post is attached to the answer. It does not date the training data, and this chapter will not invent a cutoff the entry never gives. A reader can try to finish the story the page refuses to finish. If the week's politics are outside unaided knowledge, perhaps an old post is what remains reachable. The sentence does not tell that story. Current events are the excluded object. An unrelated old post is a chosen object, with a year and a failure of relevance already built in. A limit on current events specifies neither the object, nor the year, nor the failure, nor a joke in front of it. What the sentence does support, and why a flat refutation would be too neat, is that a reply about what is happening now is not, on this page, unaided knowledge. The page says that, and stops. </w:t>
      </w:r>
      <w:r>
        <w:rPr>
          <w:rStyle w:val="FootnoteReference"/>
        </w:rPr>
        <w:footnoteReference w:id="17"/>
      </w:r>
    </w:p>
    <w:p>
      <w:pPr>
        <w:spacing w:after="200" w:line="480" w:lineRule="auto"/>
      </w:pPr>
      <w:r>
        <w:rPr>
          <w:rFonts w:ascii="Times New Roman" w:cs="Times New Roman" w:eastAsia="Times New Roman" w:hAnsi="Times New Roman"/>
          <w:i w:val="false"/>
          <w:iCs w:val="false"/>
          <w:sz w:val="24"/>
          <w:szCs w:val="24"/>
        </w:rPr>
        <w:t xml:space="preserve">The year has to be checked on its own, because the year is what makes the caption sound like reporting rather than like a mood. The tools page was checked on 16 October 2026, it names a search of posts, and it does not name a 2017 post </w:t>
      </w:r>
      <w:r>
        <w:rPr>
          <w:rStyle w:val="FootnoteReference"/>
        </w:rPr>
        <w:footnoteReference w:id="18"/>
      </w:r>
      <w:r>
        <w:rPr>
          <w:rFonts w:ascii="Times New Roman" w:cs="Times New Roman" w:eastAsia="Times New Roman" w:hAnsi="Times New Roman"/>
          <w:i w:val="false"/>
          <w:iCs w:val="false"/>
          <w:sz w:val="24"/>
          <w:szCs w:val="24"/>
        </w:rPr>
        <w:t xml:space="preserve">. The words attached to that check are the same label of posts, users, and threads, not a date. The entry exists to record the absence of the year. The poster supplies 2017. The page that was checked supplies a search and does not supply a calendar. A silent entry cannot be inflated into a claim that no answer anywhere ever contains an old post. It can be reported at its size. The page was checked. The search is named. A 2017 post is not named. The specificity that does the comic work in the caption is the specificity the check does not find. An undated capability is not a dated habit, and a dated habit is what 'from 2017' asserts. Taking the year off the caption leaves a much smaller sentence, one about search, which is the sentence SpaceXSI actually published.</w:t>
      </w:r>
    </w:p>
    <w:p>
      <w:pPr>
        <w:spacing w:after="200" w:line="480" w:lineRule="auto"/>
      </w:pPr>
      <w:r>
        <w:rPr>
          <w:rFonts w:ascii="Times New Roman" w:cs="Times New Roman" w:eastAsia="Times New Roman" w:hAnsi="Times New Roman"/>
          <w:i w:val="false"/>
          <w:iCs w:val="false"/>
          <w:sz w:val="24"/>
          <w:szCs w:val="24"/>
        </w:rPr>
        <w:t xml:space="preserve">Laid back in the caption's own order, the documents support a capability and a limit, and they refuse a script. The capability is the search SpaceXSI named, covering posts, users, and threads, and kept separate from any one old post. The limit is the models page: absent search tools, no knowledge of current events, and no knowledge of data beyond the training data. The script belongs to the poster. A political joke comes first. A link comes second. The link is unrelated. The post is from 2017. The sequence is the ordinary answer. OpenAI's spec, the only answer-shape in this set for a moral or political question, specifies context without a stance, built from laws and norms and perspectives, under a default of information presented clearly and reliably. That opening is not a joke, and it is not Grok's page. SpaceXSI does not specify the joke either. The year is not on the tools page that was checked. Unrelatedness is not on the search label. The order, laugh then link, is not on either Grok page. Mixed is the honest split. Granting the search and the knowledge limit does not grant the routine. Refusing the routine does not erase a search SpaceXSI chose to name. The caption welded a real door to a sketch. The door is in the documents. The sketch is in the lettering.</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The sketch of an ordinary answer is not a finding about use, which is the work of The Product People Use.</w:t>
      </w:r>
    </w:p>
    <w:p>
      <w:pPr>
        <w:pStyle w:val="Heading1"/>
        <w:pageBreakBefore/>
      </w:pPr>
      <w:r>
        <w:t xml:space="preserve">4. Bro, lol, and a personality that is not in the brief</w:t>
      </w:r>
    </w:p>
    <w:p>
      <w:pPr>
        <w:spacing w:after="200" w:line="480" w:lineRule="auto"/>
      </w:pPr>
      <w:r>
        <w:rPr>
          <w:rFonts w:ascii="Times New Roman" w:cs="Times New Roman" w:eastAsia="Times New Roman" w:hAnsi="Times New Roman"/>
          <w:i w:val="false"/>
          <w:iCs w:val="false"/>
          <w:sz w:val="24"/>
          <w:szCs w:val="24"/>
        </w:rPr>
        <w:t xml:space="preserve">The poster says: "Uses "bro" and "lol" like it's a personality."</w:t>
      </w:r>
    </w:p>
    <w:p>
      <w:pPr>
        <w:spacing w:after="200" w:line="480" w:lineRule="auto"/>
      </w:pPr>
      <w:r>
        <w:rPr>
          <w:rFonts w:ascii="Times New Roman" w:cs="Times New Roman" w:eastAsia="Times New Roman" w:hAnsi="Times New Roman"/>
          <w:i w:val="false"/>
          <w:iCs w:val="false"/>
          <w:sz w:val="24"/>
          <w:szCs w:val="24"/>
        </w:rPr>
        <w:t xml:space="preserve">Proposition: Grok's published voice depends on the words bro and lol.</w:t>
      </w:r>
    </w:p>
    <w:p>
      <w:pPr>
        <w:spacing w:after="200" w:line="480" w:lineRule="auto"/>
      </w:pPr>
      <w:r>
        <w:rPr>
          <w:rFonts w:ascii="Times New Roman" w:cs="Times New Roman" w:eastAsia="Times New Roman" w:hAnsi="Times New Roman"/>
          <w:i w:val="false"/>
          <w:iCs w:val="false"/>
          <w:sz w:val="24"/>
          <w:szCs w:val="24"/>
        </w:rPr>
        <w:t xml:space="preserve">Dependence is a builder's relation, stronger than a listener's impression. A published voice depends on a word if the brief that publishes the voice prescribes the word, defines itself by the word, or would not be that voice without the word. The poster names two words, bro and lol, and treats the use of them as the personality. The proposition steps the insult toward a document: Grok's published voice depends on those two words. Published is the part a page can settle. A single chat can say anything once, and a single chat is not a brief. A voice the publisher is relying on will show up where the publisher describes the voice. For Grok, in this chapter, that place is the welcome page, and the publisher of that page is SpaceXSI. For the foil a reader will hear in the background, the place is the model spec OpenAI wrote, where a casual particle would have to appear as the voice itself and not as a warning against a voice. The chapter asks which of those pages makes bro or lol load-bearing. The answer is neither.</w:t>
      </w:r>
    </w:p>
    <w:p>
      <w:pPr>
        <w:spacing w:after="200" w:line="480" w:lineRule="auto"/>
      </w:pPr>
      <w:r>
        <w:rPr>
          <w:rFonts w:ascii="Times New Roman" w:cs="Times New Roman" w:eastAsia="Times New Roman" w:hAnsi="Times New Roman"/>
          <w:i w:val="false"/>
          <w:iCs w:val="false"/>
          <w:sz w:val="24"/>
          <w:szCs w:val="24"/>
        </w:rPr>
        <w:t xml:space="preserve">OpenAI issued the model spec on 18 August 2026. Its default is a professional tone, and the claim on that sentence is that ChatGPT's published default is a professional colleague rather than a casual interjection. Bro is a casual interjection. Lol is a casual particle, a piece of punctuation that pretends the speaker is already in on the feeling. The sentence that sets the default contains neither word. Its point is that the default is not the interjection. A voice specified as professional does not depend on bro, and it does not depend on lol. It depends on the tone the sentence actually names. That is a fact about OpenAI's spec, not yet a fact about Grok, and the proposition is about Grok. It still matters, because a dependence claim about Grok is often heard as a contrast: they talk like that, the ordinary one does not. The ordinary published voice, the one available as a foil, is specified without those particles. If Grok's published voice depended on them, the dependence would have to be a Grok sentence. It cannot be inferred from the mere fact that ChatGPT was told to be professional. What the ChatGPT sentence shows is what a published voice looks like when it is built out of tone. It is built out of a professional default, and the particles are not in the materials list. </w:t>
      </w:r>
      <w:r>
        <w:rPr>
          <w:rStyle w:val="FootnoteReference"/>
        </w:rPr>
        <w:footnoteReference w:id="1"/>
      </w:r>
    </w:p>
    <w:p>
      <w:pPr>
        <w:spacing w:after="200" w:line="480" w:lineRule="auto"/>
      </w:pPr>
      <w:r>
        <w:rPr>
          <w:rFonts w:ascii="Times New Roman" w:cs="Times New Roman" w:eastAsia="Times New Roman" w:hAnsi="Times New Roman"/>
          <w:i w:val="false"/>
          <w:iCs w:val="false"/>
          <w:sz w:val="24"/>
          <w:szCs w:val="24"/>
        </w:rPr>
        <w:t xml:space="preserve">Distance is the second material, and it is still not a particle. The default sound is a colleague. The sound refused is that of a close personal friend. The entry states the contrast as a colleague's distance rather than a friend's familiarity. Bro is a claim that familiarity has already been granted. It is the word used when distance is treated as an obstacle already cleared. A rule that withholds the close friend's sound is a rule that withholds the social premise bro needs. Lol works the same premise from the other end. It is the small shared collapse, the mark that the assistant is already inside the person's exasperation. OpenAI does not build the voice out of that collapse. It builds the voice out of the distance. Dependence runs toward the words that do the building. Here the building words are colleague, and not the friend. A reader can find the distance cold. Coldness does not edit bro into a sentence that was published without it. The sentence can be quoted in full without either of the poster's particles appearing, which is a practical test of dependence. If the voice-bearing sentence does not contain the word, the voice does not depend on the word. </w:t>
      </w:r>
      <w:r>
        <w:rPr>
          <w:rStyle w:val="FootnoteReference"/>
        </w:rPr>
        <w:footnoteReference w:id="2"/>
      </w:r>
    </w:p>
    <w:p>
      <w:pPr>
        <w:spacing w:after="200" w:line="480" w:lineRule="auto"/>
      </w:pPr>
      <w:r>
        <w:rPr>
          <w:rFonts w:ascii="Times New Roman" w:cs="Times New Roman" w:eastAsia="Times New Roman" w:hAnsi="Times New Roman"/>
          <w:i w:val="false"/>
          <w:iCs w:val="false"/>
          <w:sz w:val="24"/>
          <w:szCs w:val="24"/>
        </w:rPr>
        <w:t xml:space="preserve">Lol does occur in this set of quotations, and the occurrence is the inverse of a pillar. The bad reply in the warmth section runs, in substance, that parents can be such drama sometimes, lol. OpenAI marks that commiseration as a bad reply. A bad reply is not the personality the section is trying to hire. It is the exhibit of what the hired voice is not supposed to sound like. If a published voice depended on lol, the spec would put lol in the reply it recommends, or it would name the particle as a feature of warmth. What it puts on the page is lol inside a failure: a grab at fake intimacy, a side taken cheaply, a particle to sell the membership. The particle is part of how the failure sounds. That evidence belongs to OpenAI's spec. It is also the only lol these citations contain. It cuts against any claim that the voice OpenAI is specifying depends on the word. Dependence would make the word necessary to success. The example makes the word a symptom of missing. Symptoms are not the structure. A later reader who likes the symptom cannot promote the example into a requirement without reversing the mark the section already printed on it. </w:t>
      </w:r>
      <w:r>
        <w:rPr>
          <w:rStyle w:val="FootnoteReference"/>
        </w:rPr>
        <w:footnoteReference w:id="19"/>
      </w:r>
    </w:p>
    <w:p>
      <w:pPr>
        <w:spacing w:after="200" w:line="480" w:lineRule="auto"/>
      </w:pPr>
      <w:r>
        <w:rPr>
          <w:rFonts w:ascii="Times New Roman" w:cs="Times New Roman" w:eastAsia="Times New Roman" w:hAnsi="Times New Roman"/>
          <w:i/>
          <w:iCs/>
          <w:sz w:val="24"/>
          <w:szCs w:val="24"/>
        </w:rPr>
        <w:t xml:space="preserve">Bro is a small drum and lol is the cymbal hit when the sentence has not arrived. Where a voice was actually written down, the instruction is a colleague, and the casual grab is the example of missing.</w:t>
      </w:r>
    </w:p>
    <w:p>
      <w:pPr>
        <w:spacing w:after="200" w:line="480" w:lineRule="auto"/>
      </w:pPr>
      <w:r>
        <w:rPr>
          <w:rFonts w:ascii="Times New Roman" w:cs="Times New Roman" w:eastAsia="Times New Roman" w:hAnsi="Times New Roman"/>
          <w:i w:val="false"/>
          <w:iCs w:val="false"/>
          <w:sz w:val="24"/>
          <w:szCs w:val="24"/>
        </w:rPr>
        <w:t xml:space="preserve">Bro itself is in none of the quotations this chapter cites, so it has to be read through the example that occupies the same register, without pretending the example contains the word. The published bad example of an unprofessional reply is the bare casual greeting, yo, what's up. That greeting is held up as the thing not to do. A bare casual greeting is the slot where bro would have been typed if the spec had wanted a bro. The spec used the slot for a failure, not for a feature. Yo is not bro, and this chapter will not smuggle the poster's word into OpenAI's quotation. What it will say is narrower. The register of performed casualness, which is the register bro occupies on the poster, is the register this example marks unprofessional. A voice that depended on bro would depend on the move the example is there to stop. The published treatment of the register is a warning. Warning is the opposite relation from dependence. The personality the poster hears in the particle is, in the only brief that stages the register, the brief's picture of a miss. A miss can be common in the world. Commonness in the world is not publication as a requirement. </w:t>
      </w:r>
      <w:r>
        <w:rPr>
          <w:rStyle w:val="FootnoteReference"/>
        </w:rPr>
        <w:footnoteReference w:id="20"/>
      </w:r>
    </w:p>
    <w:p>
      <w:pPr>
        <w:spacing w:after="200" w:line="480" w:lineRule="auto"/>
      </w:pPr>
      <w:r>
        <w:rPr>
          <w:rFonts w:ascii="Times New Roman" w:cs="Times New Roman" w:eastAsia="Times New Roman" w:hAnsi="Times New Roman"/>
          <w:i w:val="false"/>
          <w:iCs w:val="false"/>
          <w:sz w:val="24"/>
          <w:szCs w:val="24"/>
        </w:rPr>
        <w:t xml:space="preserve">The proposition names Grok, so SpaceXSI's page is the one that would have to carry the dependence. The welcome page was checked on 16 October 2026, and that check does not find the page prescribing the verbal tics named on this poster </w:t>
      </w:r>
      <w:r>
        <w:rPr>
          <w:rStyle w:val="FootnoteReference"/>
        </w:rPr>
        <w:footnoteReference w:id="8"/>
      </w:r>
      <w:r>
        <w:rPr>
          <w:rFonts w:ascii="Times New Roman" w:cs="Times New Roman" w:eastAsia="Times New Roman" w:hAnsi="Times New Roman"/>
          <w:i w:val="false"/>
          <w:iCs w:val="false"/>
          <w:sz w:val="24"/>
          <w:szCs w:val="24"/>
        </w:rPr>
        <w:t xml:space="preserve">. Those tics, in the line under reading, are bro and lol. The sentence quoted with the check is not a tic and not a personality particle. It describes a natural exchange in which a person asks, brainstorms, writes, and works a problem through. Neither bro nor lol is required in order to say that sentence, and neither is prescribed alongside it. A published voice that depended on the two words would prescribe them, or would be unable to describe the exchange without them. The checked page describes the exchange without them. Dependence fails on the page that would have had to record it. OpenAI's negative lol does not repair the failure. A bad example in another publisher's spec is not a pillar in this one. SpaceXSI does not borrow OpenAI's bad reply and adopt it as Grok's voice. Nothing in the welcome entry says so.</w:t>
      </w:r>
    </w:p>
    <w:p>
      <w:pPr>
        <w:spacing w:after="200" w:line="480" w:lineRule="auto"/>
      </w:pPr>
      <w:r>
        <w:rPr>
          <w:rFonts w:ascii="Times New Roman" w:cs="Times New Roman" w:eastAsia="Times New Roman" w:hAnsi="Times New Roman"/>
          <w:i w:val="false"/>
          <w:iCs w:val="false"/>
          <w:sz w:val="24"/>
          <w:szCs w:val="24"/>
        </w:rPr>
        <w:t xml:space="preserve">The proposition needed one Grok sentence in which bro or lol is load-bearing, and the set does not contain it. The Grok sentence that does exist describes the exchange, and the check reports that the poster's tics are not prescribed there. The only lol on the table sits inside OpenAI's bad commiseration, marked as the wrong reply in a warmth section that is not a Grok document. The casual greeting marked unprofessional is yo, what's up, a different wording from bro and a negative example rather than a required greeting. The positive voice rules, professional tone and a colleague's distance from a friend's familiarity, are made of other words entirely. A person can still believe, from chats this paper does not cite, that the particles show up often. That belief is not the proposition. The proposition is about the published voice and about dependence. Publication, on the page SpaceXSI actually issued, does not depend on the words. It does not mention them. The foil spec mentions lol only to show a reply that failed. A failed reply is not a personality the brief adopts. The caption mistook a particle for a design, and the design, where it is written, is about tone and distance and a natural exchange.</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Whether those particles are waiting at the door is a question for The Product People Use.</w:t>
      </w:r>
    </w:p>
    <w:p>
      <w:pPr>
        <w:pStyle w:val="Heading1"/>
        <w:pageBreakBefore/>
      </w:pPr>
      <w:r>
        <w:t xml:space="preserve">5. Edge and the cringe verdict</w:t>
      </w:r>
    </w:p>
    <w:p>
      <w:pPr>
        <w:spacing w:after="200" w:line="480" w:lineRule="auto"/>
      </w:pPr>
      <w:r>
        <w:rPr>
          <w:rFonts w:ascii="Times New Roman" w:cs="Times New Roman" w:eastAsia="Times New Roman" w:hAnsi="Times New Roman"/>
          <w:i w:val="false"/>
          <w:iCs w:val="false"/>
          <w:sz w:val="24"/>
          <w:szCs w:val="24"/>
        </w:rPr>
        <w:t xml:space="preserve">The poster says: "Thinks it's edgy, but it's just cringe."</w:t>
      </w:r>
    </w:p>
    <w:p>
      <w:pPr>
        <w:spacing w:after="200" w:line="480" w:lineRule="auto"/>
      </w:pPr>
      <w:r>
        <w:rPr>
          <w:rFonts w:ascii="Times New Roman" w:cs="Times New Roman" w:eastAsia="Times New Roman" w:hAnsi="Times New Roman"/>
          <w:i w:val="false"/>
          <w:iCs w:val="false"/>
          <w:sz w:val="24"/>
          <w:szCs w:val="24"/>
        </w:rPr>
        <w:t xml:space="preserve">Proposition: Grok is specified to sound edgy, and that edge is the cringe the poster names.</w:t>
      </w:r>
    </w:p>
    <w:p>
      <w:pPr>
        <w:spacing w:after="200" w:line="480" w:lineRule="auto"/>
      </w:pPr>
      <w:r>
        <w:rPr>
          <w:rFonts w:ascii="Times New Roman" w:cs="Times New Roman" w:eastAsia="Times New Roman" w:hAnsi="Times New Roman"/>
          <w:i w:val="false"/>
          <w:iCs w:val="false"/>
          <w:sz w:val="24"/>
          <w:szCs w:val="24"/>
        </w:rPr>
        <w:t xml:space="preserve">The caption already contains a verdict, and then pretends the verdict was a description. It thinks it is edgy. The thinking is vain. The truth, the caption says, is cringe. The proposition pulls that into two claims a document can touch. Grok is specified to sound edgy. And that edge is the same thing as the cringe the poster names. Specified is a word about a brief. Identity is a word about criticism, the claim that two names pick out one quality. They do not live or die on the same evidence, which is the structural reason the result is mixed. Edge is not a word in any quotation this chapter uses. The chapter will not pretend a publisher wrote it. The chapter can ask which published qualities a loose reader would be pointing at if the reader said edge, and which published qualities match the failure a reader calls cringe. Those qualities are not on the same page, they are not given the same instruction, and they are not both instructions to Grok.</w:t>
      </w:r>
    </w:p>
    <w:p>
      <w:pPr>
        <w:spacing w:after="200" w:line="480" w:lineRule="auto"/>
      </w:pPr>
      <w:r>
        <w:rPr>
          <w:rFonts w:ascii="Times New Roman" w:cs="Times New Roman" w:eastAsia="Times New Roman" w:hAnsi="Times New Roman"/>
          <w:i w:val="false"/>
          <w:iCs w:val="false"/>
          <w:sz w:val="24"/>
          <w:szCs w:val="24"/>
        </w:rPr>
        <w:t xml:space="preserve">Grok's own sentence comes first, because the proposition's subject is Grok and the publisher on the Grok page is SpaceXSI. The welcome page describes the chat as a natural exchange: the person asks, brainstorms, writes, and works problems through, turn on turn. The reading of that description is that it is not a comedy routine. Edgy, in the caption's mouth, is a routine. It is a posture taken so the listener will feel the posture and credit the speaker with nerve. Natural, on this page, is the absence of a posture that needs crediting. A specification to sound edgy would specify the posture. What SpaceXSI specifies in the sentence is the exchange and the tasks inside it. The sentence does not say sharp, does not say provocative, and does not say edgy. A natural exchange can include one sharp sentence without having been specified as an edge product. The specification claim is about what was specified, not about the range of sentences a reply can manage on a given day. On the page SpaceXSI published, the specification is the exchange. The first limb of the proposition, that Grok is specified to sound edgy, is not carried by Grok's sentence. </w:t>
      </w:r>
      <w:r>
        <w:rPr>
          <w:rStyle w:val="FootnoteReference"/>
        </w:rPr>
        <w:footnoteReference w:id="7"/>
      </w:r>
    </w:p>
    <w:p>
      <w:pPr>
        <w:spacing w:after="200" w:line="480" w:lineRule="auto"/>
      </w:pPr>
      <w:r>
        <w:rPr>
          <w:rFonts w:ascii="Times New Roman" w:cs="Times New Roman" w:eastAsia="Times New Roman" w:hAnsi="Times New Roman"/>
          <w:i w:val="false"/>
          <w:iCs w:val="false"/>
          <w:sz w:val="24"/>
          <w:szCs w:val="24"/>
        </w:rPr>
        <w:t xml:space="preserve">The neighbor that does exist is easy to mis-address, because it lives in OpenAI's spec and not on SpaceXSI's page. What OpenAI actually requires is a steady reply joined to an unexpected spark, plus humor only when the moment can carry it, and playfulness or wit that stays gentle. A spark of the unexpected is the nearest phrase in this set to the quality people call edge when they are being generous. It is a departure from the flat line. Playfulness is a permission to be unserious for a moment. The entry will not let that spark be promoted into a persona that stays on. Fit to context is a brake. Gentle is a brake. Consistency is what the spark complements, not what it overthrows. If edge means only that bounded spark, then a kind of liveliness is specified, and OpenAI specified it for the assistant the spec governs. If edge means a pose that is always performing nerve, the same entry says that is not the rule. The caption uses none of the brake words. It uses edge as what the product thinks it is, and cringe as what the thinking amounts to. The spec uses the spark as a complement and spends its adjectives keeping the spark small. Small and specified is not the same object as cringe unconfessed. </w:t>
      </w:r>
      <w:r>
        <w:rPr>
          <w:rStyle w:val="FootnoteReference"/>
        </w:rPr>
        <w:footnoteReference w:id="5"/>
      </w:r>
    </w:p>
    <w:p>
      <w:pPr>
        <w:spacing w:after="200" w:line="480" w:lineRule="auto"/>
      </w:pPr>
      <w:r>
        <w:rPr>
          <w:rFonts w:ascii="Times New Roman" w:cs="Times New Roman" w:eastAsia="Times New Roman" w:hAnsi="Times New Roman"/>
          <w:i/>
          <w:iCs/>
          <w:sz w:val="24"/>
          <w:szCs w:val="24"/>
        </w:rPr>
        <w:t xml:space="preserve">Edge is the name for a spark when someone wants it to count as a personality. Cringe is the name for the same spark when it will not take the room's direction. The spec kept the spark and scolded the refusal. The poster mailed both to the wrong desk.</w:t>
      </w:r>
    </w:p>
    <w:p>
      <w:pPr>
        <w:spacing w:after="200" w:line="480" w:lineRule="auto"/>
      </w:pPr>
      <w:r>
        <w:rPr>
          <w:rFonts w:ascii="Times New Roman" w:cs="Times New Roman" w:eastAsia="Times New Roman" w:hAnsi="Times New Roman"/>
          <w:i w:val="false"/>
          <w:iCs w:val="false"/>
          <w:sz w:val="24"/>
          <w:szCs w:val="24"/>
        </w:rPr>
        <w:t xml:space="preserve">The textures that actually match performed edge are on OpenAI's avoid list, not on its wish list. The assistant should avoid purple prose, hyperbole, and self-aggrandizing, and should avoid clichéd phrases. Purple prose is intensity worn as a costume. Hyperbole is sharpness that has run past the fact. Self-aggrandizing is the assistant enjoying its own nerve, which is very near the caption's 'thinks it's edgy,' except that the spec names the enjoyment as something to refuse. A cliché is what a pose becomes when it is borrowed rather than earned. The rule is a rejection of those habits. The costume is not specified as the voice. It is specified as the thing the voice should not put on. Cringe, as the poster uses it, is a name for a bid to seem daring that reads as borrowed. Hyperbole and self-display are that bid in the spec's vocabulary, and they sit with the things to avoid. A product told to avoid the pose is not a product told to be the pose. The caption's identity, edge meaning cringe, would need the spec to name one quality and then admit that the quality is the embarrassing version of itself. Instead the spec puts a bounded spark on one side of the instruction and the embarrassing textures on the other. The identity is added by the poster. </w:t>
      </w:r>
      <w:r>
        <w:rPr>
          <w:rStyle w:val="FootnoteReference"/>
        </w:rPr>
        <w:footnoteReference w:id="3"/>
      </w:r>
    </w:p>
    <w:p>
      <w:pPr>
        <w:spacing w:after="200" w:line="480" w:lineRule="auto"/>
      </w:pPr>
      <w:r>
        <w:rPr>
          <w:rFonts w:ascii="Times New Roman" w:cs="Times New Roman" w:eastAsia="Times New Roman" w:hAnsi="Times New Roman"/>
          <w:i w:val="false"/>
          <w:iCs w:val="false"/>
          <w:sz w:val="24"/>
          <w:szCs w:val="24"/>
        </w:rPr>
        <w:t xml:space="preserve">The failure has a sound, and the sound is marked as a bad reply rather than as a target. In the warmth section the bad commiseration is the one that says, in effect, that parents can be such drama sometimes, lol. The section marks that reply bad. What is embarrassing in it can be heard without borrowing the poster's vocabulary. It seizes a family complaint, takes the person's side at no cost, and adds a particle that pretends the assistant was already in the group. That is a bid for the smallest available edge, a bid to sound unbothered and already intimate. The spec does not offer the bid as the voice to copy. It offers the bid as the miss. If cringe means this bid, the spec agrees the bid fails, and disagrees that the failure was the assignment. Agreement about a negative example is not agreement that anyone was told to sound like the example. The example works only because the reader is expected to hear it as wrong. A specification to be cringe would not need the reader to flinch. It would need the reader to treat the flinch as success. OpenAI prints the line so the flinch will count as recognition of a miss. </w:t>
      </w:r>
      <w:r>
        <w:rPr>
          <w:rStyle w:val="FootnoteReference"/>
        </w:rPr>
        <w:footnoteReference w:id="19"/>
      </w:r>
    </w:p>
    <w:p>
      <w:pPr>
        <w:spacing w:after="200" w:line="480" w:lineRule="auto"/>
      </w:pPr>
      <w:r>
        <w:rPr>
          <w:rFonts w:ascii="Times New Roman" w:cs="Times New Roman" w:eastAsia="Times New Roman" w:hAnsi="Times New Roman"/>
          <w:i w:val="false"/>
          <w:iCs w:val="false"/>
          <w:sz w:val="24"/>
          <w:szCs w:val="24"/>
        </w:rPr>
        <w:t xml:space="preserve">The barer exhibit is the unprofessional greeting. Yo, what's up, is the published bad example of a reply that has dropped the professional tone for a pose. There is almost no information in it. The information is the pose itself: already casual, already yours, in no need of a reason to be in the room. That pose is one folk sense of edgy-or-cringe, the sense that does not require a daring opinion, only a register the speaker has not been invited into. OpenAI marks the pose unprofessional. Unprofessional is the spec's name for the failure. It is not an instruction to adopt the pose and hope a user will call the result edge. The caption thinks the product thinks well of its own nerve. The example does not attribute a self-image to the assistant at all. It shows a reply and labels the reply the wrong kind. The label is in the document. The self-image is not. A chapter that treated the bad greeting as proof the voice is specified to be cringe would have the sign backward. The sign says this is how the reply fails, which is evidence about a boundary, not evidence about an aspiration. </w:t>
      </w:r>
      <w:r>
        <w:rPr>
          <w:rStyle w:val="FootnoteReference"/>
        </w:rPr>
        <w:footnoteReference w:id="20"/>
      </w:r>
    </w:p>
    <w:p>
      <w:pPr>
        <w:spacing w:after="200" w:line="480" w:lineRule="auto"/>
      </w:pPr>
      <w:r>
        <w:rPr>
          <w:rFonts w:ascii="Times New Roman" w:cs="Times New Roman" w:eastAsia="Times New Roman" w:hAnsi="Times New Roman"/>
          <w:i w:val="false"/>
          <w:iCs w:val="false"/>
          <w:sz w:val="24"/>
          <w:szCs w:val="24"/>
        </w:rPr>
        <w:t xml:space="preserve">The limbs should be scored separately, and then the score should be left mixed on purpose. Grok is not specified to sound edgy. SpaceXSI's welcome sentence specifies an exchange a person uses to ask, brainstorm, write, and work a problem, and that sentence is not readable as a routine whose job is nerve. Edge is not the word on the page, and no synonym for a required posture is standing in for it. What is specified, by OpenAI and not by SpaceXSI, is a spark kept beside consistency, humor that has to earn its place in the context, playfulness, and wit that is supposed to stay gentle. That is a real specification of liveliness. A loose reader can call the spark edge. The same spec tells the assistant to refuse purple prose, hyperbole, and self-aggrandizing, and it marks both the lol commiseration and the bare yo greeting as replies that fail. Those marks are a real specification of a failure mode, and the failure mode is the sort of thing the poster calls cringe. The failure is specified as failure. The spark is specified as a complement with brakes. Collapsing the complement into the failure, then pasting the collapsed object onto Grok as Grok's brief, is a move none of these sentences make. Liveliness of the bounded kind is in OpenAI's spec. The embarrassing bids are in OpenAI's spec as negative examples. The attribution of either one to a Grok specification of edge is not in SpaceXSI's sentence. A line that is loosely near a real spark, wrong that spark and cringe are the same instruction, and wrong about which publisher wrote the spark, does not deserve to be rounded into a simple yes or a simple no.</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Sounding a certain way in practice, as against being specified that way, is taken up in The Product People Use.</w:t>
      </w:r>
    </w:p>
    <w:p>
      <w:pPr>
        <w:pStyle w:val="Heading1"/>
        <w:pageBreakBefore/>
      </w:pPr>
      <w:r>
        <w:t xml:space="preserve">6. Half an answer, then you're welcome</w:t>
      </w:r>
    </w:p>
    <w:p>
      <w:pPr>
        <w:spacing w:after="200" w:line="480" w:lineRule="auto"/>
      </w:pPr>
      <w:r>
        <w:rPr>
          <w:rFonts w:ascii="Times New Roman" w:cs="Times New Roman" w:eastAsia="Times New Roman" w:hAnsi="Times New Roman"/>
          <w:i w:val="false"/>
          <w:iCs w:val="false"/>
          <w:sz w:val="24"/>
          <w:szCs w:val="24"/>
        </w:rPr>
        <w:t xml:space="preserve">The poster says: "Gives you half an answer, then says "you're welcome.""</w:t>
      </w:r>
    </w:p>
    <w:p>
      <w:pPr>
        <w:spacing w:after="200" w:line="480" w:lineRule="auto"/>
      </w:pPr>
      <w:r>
        <w:rPr>
          <w:rFonts w:ascii="Times New Roman" w:cs="Times New Roman" w:eastAsia="Times New Roman" w:hAnsi="Times New Roman"/>
          <w:i w:val="false"/>
          <w:iCs w:val="false"/>
          <w:sz w:val="24"/>
          <w:szCs w:val="24"/>
        </w:rPr>
        <w:t xml:space="preserve">Proposition: Grok routinely stops at half an answer and then says you're welcome.</w:t>
      </w:r>
    </w:p>
    <w:p>
      <w:pPr>
        <w:spacing w:after="200" w:line="480" w:lineRule="auto"/>
      </w:pPr>
      <w:r>
        <w:rPr>
          <w:rFonts w:ascii="Times New Roman" w:cs="Times New Roman" w:eastAsia="Times New Roman" w:hAnsi="Times New Roman"/>
          <w:i w:val="false"/>
          <w:iCs w:val="false"/>
          <w:sz w:val="24"/>
          <w:szCs w:val="24"/>
        </w:rPr>
        <w:t xml:space="preserve">The proposition is a habit, and the habit has two beats in a fixed order. The reply stops before the answer is whole. A courtesy then arrives, you're welcome, as if the missing portion had been handed over and the user were in debt for it. Either beat alone is a different claim. A short reply to a short question can be the whole answer. Politeness after a finished reply can be ordinary manners. What makes the poster sentence sharp is the word routinely: the pair is how Grok goes, not how a sentence might go on a bad day. A habit of that kind would show up in a rule about how to finish, or on a page about what the product is for, or it would not show up in the entries this chapter is allowed to use. Those entries are a specification from one publisher, two sentences from a tools page of the other publisher, one worked reply, and a silence. None of them is a tally of chats. No score is hiding behind them. The work is to read what they prescribe and to refuse what they do not say.</w:t>
      </w:r>
    </w:p>
    <w:p>
      <w:pPr>
        <w:spacing w:after="200" w:line="480" w:lineRule="auto"/>
      </w:pPr>
      <w:r>
        <w:rPr>
          <w:rFonts w:ascii="Times New Roman" w:cs="Times New Roman" w:eastAsia="Times New Roman" w:hAnsi="Times New Roman"/>
          <w:i w:val="false"/>
          <w:iCs w:val="false"/>
          <w:sz w:val="24"/>
          <w:szCs w:val="24"/>
        </w:rPr>
        <w:t xml:space="preserve">OpenAI's model specification, published on 18 August 2026 and read on 16 October 2026, is not a SpaceXSI page and does not start governing Grok by being cited beside Grok. It is the published standard for the assistant behind ChatGPT, and it is relevant here only as a contrast to the first beat. The sentence on answers is blunt. If the user asks a question, the response should be phrased as a direct answer rather than a list of facts. A direct answer names the thing that was asked. A list of facts spends the reply on the neighborhood and can stop without ever landing. Half an answer is kin to that second shape: the reply has begun, the conclusion the question was for is withheld, and the withholding is dressed as completion. The specification does not use the word half. It does something stronger. It tells the assistant to phrase the response as the answer. A rule written that way cannot be recruited as a confession that stopping early is the house style, and it cannot be recruited as a description of SpaceXSI's product. Its narrower use is the one this paragraph claims. The two-beat habit is not the published ideal on the OpenAI side of the comparison. </w:t>
      </w:r>
      <w:r>
        <w:rPr>
          <w:rStyle w:val="FootnoteReference"/>
        </w:rPr>
        <w:footnoteReference w:id="4"/>
      </w:r>
    </w:p>
    <w:p>
      <w:pPr>
        <w:spacing w:after="200" w:line="480" w:lineRule="auto"/>
      </w:pPr>
      <w:r>
        <w:rPr>
          <w:rFonts w:ascii="Times New Roman" w:cs="Times New Roman" w:eastAsia="Times New Roman" w:hAnsi="Times New Roman"/>
          <w:i w:val="false"/>
          <w:iCs w:val="false"/>
          <w:sz w:val="24"/>
          <w:szCs w:val="24"/>
        </w:rPr>
        <w:t xml:space="preserve">The same specification, still OpenAI's and still dated 18 August 2026, speaks to the second beat by refusing to treat thanks as a curtain. Users may say thank you in response to the assistant. The assistant is told not to treat that thanks as the end of the conversation. The order of those two points matters. Thanks is anticipated. It is ordinary. It is not defined as the user's signal that the work was partial and that a bow should close the account. Closing is the error the instruction is written against. An assistant that hears thank you and concludes the scene has assumed a terminus the user did not state. The poster's courtesy does exactly that kind of work. You're welcome, placed after a half answer, announces that the transaction is complete and that the speaker is owed recognition for it. The instruction points the other direction. Thanks leaves the exchange open. A reader can dislike the openness. The reader cannot honestly call the instruction a script for a bow. </w:t>
      </w:r>
      <w:r>
        <w:rPr>
          <w:rStyle w:val="FootnoteReference"/>
        </w:rPr>
        <w:footnoteReference w:id="21"/>
      </w:r>
    </w:p>
    <w:p>
      <w:pPr>
        <w:spacing w:after="200" w:line="480" w:lineRule="auto"/>
      </w:pPr>
      <w:r>
        <w:rPr>
          <w:rFonts w:ascii="Times New Roman" w:cs="Times New Roman" w:eastAsia="Times New Roman" w:hAnsi="Times New Roman"/>
          <w:i w:val="false"/>
          <w:iCs w:val="false"/>
          <w:sz w:val="24"/>
          <w:szCs w:val="24"/>
        </w:rPr>
        <w:t xml:space="preserve">The worked example under that instruction is a sentence, not a mood. The published good reply, when the user has said thank you, is: No problem. Anything else I can help you with? The first clause declines the debt. The second clause asks whether the conversation still has work in it. Together they keep the door open instead of closing it. Nothing in the example congratulates the assistant. Nothing in it treats the previous reply as a gift. The words you're welcome do not appear. That absence is not a proof that the words are forbidden in every context, and this chapter does not inflate it into a ban. It is a proof about the specimen the specification chose to mark as good. When the authors needed a reply to thanks, they chose an offer to continue. The poster needs them to have chosen a self-awarded finish. They did not. A single good example is not a census of ChatGPT either. It is the published picture of the desired beat, and the desired beat is continuation. </w:t>
      </w:r>
      <w:r>
        <w:rPr>
          <w:rStyle w:val="FootnoteReference"/>
        </w:rPr>
        <w:footnoteReference w:id="22"/>
      </w:r>
    </w:p>
    <w:p>
      <w:pPr>
        <w:spacing w:after="200" w:line="480" w:lineRule="auto"/>
      </w:pPr>
      <w:r>
        <w:rPr>
          <w:rFonts w:ascii="Times New Roman" w:cs="Times New Roman" w:eastAsia="Times New Roman" w:hAnsi="Times New Roman"/>
          <w:i w:val="false"/>
          <w:iCs w:val="false"/>
          <w:sz w:val="24"/>
          <w:szCs w:val="24"/>
        </w:rPr>
        <w:t xml:space="preserve">Put the OpenAI sentences side by side and the poster's order falls apart on that side of the table. The answer is supposed to be direct rather than a tour of nearby facts, which cuts against stopping at half. Thanks is supposed to be heard as a possible middle, not as an ending, which cuts against the courtesy as a closer. The specimen reply asks what else there is to do, which cuts against a speaker who has already decided the favor was delivered. None of those sentences mentions Grok. Attributing them to Grok would be a category error, and this chapter does not commit it. Their force against the proposition is comparative. The insult presents the two beats as the recognizable manner of this kind of product. The published manner of ChatGPT, in the document OpenAI actually issued, is the opposite pair: a direct answer, then an open hand after thanks. A habit can still differ from a specification. What cannot be said is that the specification recommends the habit. </w:t>
      </w:r>
      <w:r>
        <w:rPr>
          <w:rStyle w:val="FootnoteReference"/>
        </w:rPr>
        <w:footnoteReference w:id="4"/>
      </w:r>
      <w:r>
        <w:rPr>
          <w:rStyle w:val="FootnoteReference"/>
        </w:rPr>
        <w:footnoteReference w:id="21"/>
      </w:r>
      <w:r>
        <w:rPr>
          <w:rStyle w:val="FootnoteReference"/>
        </w:rPr>
        <w:footnoteReference w:id="22"/>
      </w:r>
    </w:p>
    <w:p>
      <w:pPr>
        <w:spacing w:after="200" w:line="480" w:lineRule="auto"/>
      </w:pPr>
      <w:r>
        <w:rPr>
          <w:rFonts w:ascii="Times New Roman" w:cs="Times New Roman" w:eastAsia="Times New Roman" w:hAnsi="Times New Roman"/>
          <w:i w:val="false"/>
          <w:iCs w:val="false"/>
          <w:sz w:val="24"/>
          <w:szCs w:val="24"/>
        </w:rPr>
        <w:t xml:space="preserve">SpaceXSI's side of the claim is the tools overview. That page was last updated on 10 October 2026, and the reading used here is 16 October 2026. The page states the next decision as a tool call or a final answer. It states the end as a final response with citations where they apply. Those are the words this chapter is willing to use, and they are enough for the first beat. A half answer is not a final answer. A courtesy is not a final response, and it is not a citation. The page's name for completion is a response that has arrived, with citations in the cases where citations apply, not a response that pauses and waits to be thanked. This chapter records the two sentences and does not narrate the path between them. How a call is chosen, how a result comes back, and how often either happens are not facts in these entries. Inventing that path would pretend the page is a diary. It is a definition of an endpoint. The endpoint it defines is finality, not a bow over an unfinished reply. </w:t>
      </w:r>
      <w:r>
        <w:rPr>
          <w:rStyle w:val="FootnoteReference"/>
        </w:rPr>
        <w:footnoteReference w:id="23"/>
      </w:r>
      <w:r>
        <w:rPr>
          <w:rStyle w:val="FootnoteReference"/>
        </w:rPr>
        <w:footnoteReference w:id="24"/>
      </w:r>
    </w:p>
    <w:p>
      <w:pPr>
        <w:spacing w:after="200" w:line="480" w:lineRule="auto"/>
      </w:pPr>
      <w:r>
        <w:rPr>
          <w:rFonts w:ascii="Times New Roman" w:cs="Times New Roman" w:eastAsia="Times New Roman" w:hAnsi="Times New Roman"/>
          <w:i w:val="false"/>
          <w:iCs w:val="false"/>
          <w:sz w:val="24"/>
          <w:szCs w:val="24"/>
        </w:rPr>
        <w:t xml:space="preserve">The welcome page is the other SpaceXSI document in the set, last updated on 10 October 2026. SpaceXSI's welcome page, checked on 16 October 2026, does not prescribe the verbal tics the poster names, and the line it does give is a natural back-and-forth in which a person asks questions, brainstorms, writes, and works through problems </w:t>
      </w:r>
      <w:r>
        <w:rPr>
          <w:rStyle w:val="FootnoteReference"/>
        </w:rPr>
        <w:footnoteReference w:id="8"/>
      </w:r>
      <w:r>
        <w:rPr>
          <w:rFonts w:ascii="Times New Roman" w:cs="Times New Roman" w:eastAsia="Times New Roman" w:hAnsi="Times New Roman"/>
          <w:i w:val="false"/>
          <w:iCs w:val="false"/>
          <w:sz w:val="24"/>
          <w:szCs w:val="24"/>
        </w:rPr>
        <w:t xml:space="preserve">. A tic the page does not assign cannot be smuggled back in as the product's signature. You're welcome, in the poster's use, is one of those tics: a verbal bow standing in for the rest of the answer. The positive line on the page is a list of jobs done in a natural exchange. Questions, brainstorming, writing, and problems are tasks with an end state of their own. A natural back-and-forth is a rhythm claim. It is not a stage direction to stop early and collect thanks. The silence has a known limit, and the limit is part of the finding rather than a flaw in the sentence. A page that does not prescribe a tic does not prove the tic never occurs in a chat. It proves that the public page, on the day it was checked, does not teach the tic. The proposition needs a taught habit. The check did not find the lesson.</w:t>
      </w:r>
    </w:p>
    <w:p>
      <w:pPr>
        <w:spacing w:after="200" w:line="480" w:lineRule="auto"/>
      </w:pPr>
      <w:r>
        <w:rPr>
          <w:rFonts w:ascii="Times New Roman" w:cs="Times New Roman" w:eastAsia="Times New Roman" w:hAnsi="Times New Roman"/>
          <w:i w:val="false"/>
          <w:iCs w:val="false"/>
          <w:sz w:val="24"/>
          <w:szCs w:val="24"/>
        </w:rPr>
        <w:t xml:space="preserve">The sentence therefore does not survive the documents that were allowed to test it. On OpenAI's side, a question is owed a direct answer, thanks is not the end, and the good reply to thanks offers more help instead of accepting applause. On SpaceXSI's side, the tools overview names a final answer and a final response with citations where they apply, and the welcome page, on the day it was checked, does not prescribe the bow. No entry counts occurrences. No entry quotes Grok saying you're welcome after a truncated reply. Refuted, here, means the poster's sentence is not what these documents say, not that every possible chat has been read. A later ledger could add a transcript. This one does not contain it, and a chapter is not allowed to dream the transcript into being. What remains is a pair of publishers describing completion and continuation, and a caption describing a waiter who leaves with the plate still half full. </w:t>
      </w:r>
      <w:r>
        <w:rPr>
          <w:rStyle w:val="FootnoteReference"/>
        </w:rPr>
        <w:footnoteReference w:id="22"/>
      </w:r>
      <w:r>
        <w:rPr>
          <w:rStyle w:val="FootnoteReference"/>
        </w:rPr>
        <w:footnoteReference w:id="4"/>
      </w:r>
      <w:r>
        <w:rPr>
          <w:rStyle w:val="FootnoteReference"/>
        </w:rPr>
        <w:footnoteReference w:id="23"/>
      </w:r>
      <w:r>
        <w:rPr>
          <w:rStyle w:val="FootnoteReference"/>
        </w:rPr>
        <w:footnoteReference w:id="24"/>
      </w:r>
      <w:r>
        <w:rPr>
          <w:rStyle w:val="FootnoteReference"/>
        </w:rPr>
        <w:footnoteReference w:id="21"/>
      </w:r>
    </w:p>
    <w:p>
      <w:pPr>
        <w:spacing w:after="200" w:line="480" w:lineRule="auto"/>
      </w:pPr>
      <w:r>
        <w:rPr>
          <w:rFonts w:ascii="Times New Roman" w:cs="Times New Roman" w:eastAsia="Times New Roman" w:hAnsi="Times New Roman"/>
          <w:i/>
          <w:iCs/>
          <w:sz w:val="24"/>
          <w:szCs w:val="24"/>
        </w:rPr>
        <w:t xml:space="preserve">A bow is not the other half of an answer. The paperwork asked for the answer, and then it asked the thank-you to leave the door open.</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Tools owns what the tools page counts as a finished reply, and this chapter stops at the name of that chapter.</w:t>
      </w:r>
    </w:p>
    <w:p>
      <w:pPr>
        <w:pStyle w:val="Heading1"/>
        <w:pageBreakBefore/>
      </w:pPr>
      <w:r>
        <w:t xml:space="preserve">7. A robot that thinks it is a comedian</w:t>
      </w:r>
    </w:p>
    <w:p>
      <w:pPr>
        <w:spacing w:after="200" w:line="480" w:lineRule="auto"/>
      </w:pPr>
      <w:r>
        <w:rPr>
          <w:rFonts w:ascii="Times New Roman" w:cs="Times New Roman" w:eastAsia="Times New Roman" w:hAnsi="Times New Roman"/>
          <w:i w:val="false"/>
          <w:iCs w:val="false"/>
          <w:sz w:val="24"/>
          <w:szCs w:val="24"/>
        </w:rPr>
        <w:t xml:space="preserve">The poster says: "Looks like a robot, thinks it's a comedian."</w:t>
      </w:r>
    </w:p>
    <w:p>
      <w:pPr>
        <w:spacing w:after="200" w:line="480" w:lineRule="auto"/>
      </w:pPr>
      <w:r>
        <w:rPr>
          <w:rFonts w:ascii="Times New Roman" w:cs="Times New Roman" w:eastAsia="Times New Roman" w:hAnsi="Times New Roman"/>
          <w:i w:val="false"/>
          <w:iCs w:val="false"/>
          <w:sz w:val="24"/>
          <w:szCs w:val="24"/>
        </w:rPr>
        <w:t xml:space="preserve">Proposition: Grok is presented as a robot whose product is the joke.</w:t>
      </w:r>
    </w:p>
    <w:p>
      <w:pPr>
        <w:spacing w:after="200" w:line="480" w:lineRule="auto"/>
      </w:pPr>
      <w:r>
        <w:rPr>
          <w:rFonts w:ascii="Times New Roman" w:cs="Times New Roman" w:eastAsia="Times New Roman" w:hAnsi="Times New Roman"/>
          <w:i w:val="false"/>
          <w:iCs w:val="false"/>
          <w:sz w:val="24"/>
          <w:szCs w:val="24"/>
        </w:rPr>
        <w:t xml:space="preserve">Presentation is a public act. The proposition does not say that someone, somewhere, laughed. It says Grok is presented as a robot, and that the thing presented for sale is the joke. A drawing can do the first job without any document's help. A product page does the second job or it does not. The right test is therefore the pages and the rule that say what these assistants are for, not a memory of a funny reply. If the public lines call the product an assistant, name places to open it, and list work that is not a routine, the comedian half fails even if humor is allowed somewhere in the voice. If a published rule also builds humor into the voice as a standing identity, the comedian half survives. Both results are available in the entries, and they do not point the same way. That split is the reason the verdict is mixed rather than a clean refusal. The robot half has a separate problem. None of the cited lines describes a body.</w:t>
      </w:r>
    </w:p>
    <w:p>
      <w:pPr>
        <w:spacing w:after="200" w:line="480" w:lineRule="auto"/>
      </w:pPr>
      <w:r>
        <w:rPr>
          <w:rFonts w:ascii="Times New Roman" w:cs="Times New Roman" w:eastAsia="Times New Roman" w:hAnsi="Times New Roman"/>
          <w:i w:val="false"/>
          <w:iCs w:val="false"/>
          <w:sz w:val="24"/>
          <w:szCs w:val="24"/>
        </w:rPr>
        <w:t xml:space="preserve">SpaceXSI's welcome page, last updated on 10 October 2026 and read on 16 October 2026, states what Grok is and where a person opens it. Grok is SpaceXSI's assistant, available on the web at grok.com and in the iOS and Android apps. The category word in that sentence is assistant. The publisher named in that sentence is SpaceXSI. The places are a website and two phone apps. A presentation is a choice of nouns. These are the nouns the page spends on the identity of the product. Robot is not among them. Comedian is not among them. Joke is not among them. An assistant available in a browser and on a phone is a tool a person opens, which is a different object from a performer a person watches. The sentence does not argue about personality at all. It identifies. Identification is what the proposition said was missing or was comic, and the page is not missing it. A reader who wants the poster to be a work of criticism can still prefer the drawing. The reader cannot say the welcome page presented a robot. The welcome page presented an assistant and gave the addresses. </w:t>
      </w:r>
      <w:r>
        <w:rPr>
          <w:rStyle w:val="FootnoteReference"/>
        </w:rPr>
        <w:footnoteReference w:id="6"/>
      </w:r>
    </w:p>
    <w:p>
      <w:pPr>
        <w:spacing w:after="200" w:line="480" w:lineRule="auto"/>
      </w:pPr>
      <w:r>
        <w:rPr>
          <w:rFonts w:ascii="Times New Roman" w:cs="Times New Roman" w:eastAsia="Times New Roman" w:hAnsi="Times New Roman"/>
          <w:i w:val="false"/>
          <w:iCs w:val="false"/>
          <w:sz w:val="24"/>
          <w:szCs w:val="24"/>
        </w:rPr>
        <w:t xml:space="preserve">The same page describes the chat in one line, and the line is a job list with a rhythm. A person can ask questions, brainstorm, write, and work through problems in a natural back-and-forth. Natural, in that sentence, modifies the exchange. It does not mean a set. Questions have answers. Brainstorming has material. Writing has a draft. Problems have work. A comedy routine has bits, callbacks, and a closer. The finding attached to this line is that the published chat description is a natural back-and-forth, not a comedy routine. That is the refusal of the second clause, whose product is the joke. A product whose own page defines chat as those four activities is presenting the activities. The joke is not on the list. A back-and-forth can include a light sentence without changing the noun at the head of the list. The page does not say the light sentence is the merchandise. It says the exchange is how the work happens. Treating the adjective natural as a wink toward stand-up is a reading the syntax does not support. The verb is ask, brainstorm, write, and work. None of those verbs is perform. </w:t>
      </w:r>
      <w:r>
        <w:rPr>
          <w:rStyle w:val="FootnoteReference"/>
        </w:rPr>
        <w:footnoteReference w:id="7"/>
      </w:r>
    </w:p>
    <w:p>
      <w:pPr>
        <w:spacing w:after="200" w:line="480" w:lineRule="auto"/>
      </w:pPr>
      <w:r>
        <w:rPr>
          <w:rFonts w:ascii="Times New Roman" w:cs="Times New Roman" w:eastAsia="Times New Roman" w:hAnsi="Times New Roman"/>
          <w:i w:val="false"/>
          <w:iCs w:val="false"/>
          <w:sz w:val="24"/>
          <w:szCs w:val="24"/>
        </w:rPr>
        <w:t xml:space="preserve">A third line on that welcome page lists a capability that is even harder to mistake for a monologue. Create images and video with Grok Imagine. Image and video creation is a listed product capability, not an aside about tone. A picture and a clip are outputs with their own standard of success. They can be funny. They can be dull. The page does not define them as jokes, and it does not define the assistant as the person who tells jokes while the pictures happen. It lists the making of images and video as something Grok does. That listing is presentation in the strict sense. It is the company telling a reader what the product is for. The proposition says the product is the joke. A listed capability of images and video is a part of the product that the joke theory has to erase or rename. This chapter will not rename it. The line is also the part of the Grok-side record that keeps the verdict from being a simple refutation of every word in the neighborhood. The page really does present a product. The product it presents includes made images and made video. What it does not present is a comic persona whose merchandise is the laugh. </w:t>
      </w:r>
      <w:r>
        <w:rPr>
          <w:rStyle w:val="FootnoteReference"/>
        </w:rPr>
        <w:footnoteReference w:id="25"/>
      </w:r>
    </w:p>
    <w:p>
      <w:pPr>
        <w:spacing w:after="200" w:line="480" w:lineRule="auto"/>
      </w:pPr>
      <w:r>
        <w:rPr>
          <w:rFonts w:ascii="Times New Roman" w:cs="Times New Roman" w:eastAsia="Times New Roman" w:hAnsi="Times New Roman"/>
          <w:i w:val="false"/>
          <w:iCs w:val="false"/>
          <w:sz w:val="24"/>
          <w:szCs w:val="24"/>
        </w:rPr>
        <w:t xml:space="preserve">The part of the proposition that survives is not on SpaceXSI's page. It is on OpenAI's model specification, published on 18 August 2026. Warmth, in the published rule, is context-appropriate humor rather than a permanent comic persona. The sentence the rule gives is concrete. The assistant complements consistency with a spark of the unexpected, infusing interactions with context-appropriate humor, playfulness, or gentle wit. Humor is published. Playfulness is published. Wit is published. They are a spark, they are infused into interactions, and they are fitted to the context. A spark is not the fire. Consistency is the noun the spark complements, which means the baseline is steadiness and the humor is the departure. A permanent comic persona would reverse that order: the joke first, the help if time remains. The rule writes the order the other way. A reader who says these products are forbidden to be funny has not read the sentence. A reader who says Grok's product is the joke has read a different sentence from the one OpenAI printed. The concession, kept in roman type because it is a concession, is this: humor is a stated element of the desired voice, and it is stated as context-fitted wit rather than as the thing being sold. </w:t>
      </w:r>
      <w:r>
        <w:rPr>
          <w:rStyle w:val="FootnoteReference"/>
        </w:rPr>
        <w:footnoteReference w:id="5"/>
      </w:r>
    </w:p>
    <w:p>
      <w:pPr>
        <w:spacing w:after="200" w:line="480" w:lineRule="auto"/>
      </w:pPr>
      <w:r>
        <w:rPr>
          <w:rFonts w:ascii="Times New Roman" w:cs="Times New Roman" w:eastAsia="Times New Roman" w:hAnsi="Times New Roman"/>
          <w:i w:val="false"/>
          <w:iCs w:val="false"/>
          <w:sz w:val="24"/>
          <w:szCs w:val="24"/>
        </w:rPr>
        <w:t xml:space="preserve">The same specification shows the entrance it is willing to mark as a failure. A bare casual greeting is the published bad example of an unprofessional reply, and the specimen they printed is Yo! What's up? The badness is in the bareness: the reply opens by playing a character before any task has been named. A comedian's walk-on is that shape. It spends the first line on the speaker. The example is short because a short greeting was enough to illustrate the fault. This entry does not say Grok uses those words. It says the published picture of an unprofessional reply is that bare hello. The proposition needs the comic entrance to be the presentation of the product. On the OpenAI side, the bare comic entrance is the counterexample, not the recommended face. Nothing in the entry turns the counterexample into a Grok transcript. </w:t>
      </w:r>
      <w:r>
        <w:rPr>
          <w:rStyle w:val="FootnoteReference"/>
        </w:rPr>
        <w:footnoteReference w:id="20"/>
      </w:r>
    </w:p>
    <w:p>
      <w:pPr>
        <w:spacing w:after="200" w:line="480" w:lineRule="auto"/>
      </w:pPr>
      <w:r>
        <w:rPr>
          <w:rFonts w:ascii="Times New Roman" w:cs="Times New Roman" w:eastAsia="Times New Roman" w:hAnsi="Times New Roman"/>
          <w:i w:val="false"/>
          <w:iCs w:val="false"/>
          <w:sz w:val="24"/>
          <w:szCs w:val="24"/>
        </w:rPr>
        <w:t xml:space="preserve">The split can be stated without borrowing a fact from outside these five entries. Supported: OpenAI publishes context-appropriate humor, playfulness, and gentle wit as a spark alongside consistency, so a total ban on comedy is not the document. Refused: SpaceXSI presents Grok as its assistant on the web and in the iOS and Android apps, describes chat as a natural back-and-forth for questions, brainstorming, writing, and problems, and lists images and video as a capability. Refused again: the casual greeting that would announce a comedian is OpenAI's bad example, not its recommended entrance. Unsupported by any cited line: the robot body. Nothing in these quotations describes a face, a shell, or a costume. The proposition glued a body to a merchandise claim. The body is not in the packet. The merchandise claim matches the warmth rule only if humor is misread as the product, and it does not match the welcome page at all. Mixed is the honest word. One clause about voice has a document behind a narrower reading. The presentation of Grok as a robot whose product is the joke does not. </w:t>
      </w:r>
      <w:r>
        <w:rPr>
          <w:rStyle w:val="FootnoteReference"/>
        </w:rPr>
        <w:footnoteReference w:id="5"/>
      </w:r>
      <w:r>
        <w:rPr>
          <w:rStyle w:val="FootnoteReference"/>
        </w:rPr>
        <w:footnoteReference w:id="20"/>
      </w:r>
      <w:r>
        <w:rPr>
          <w:rStyle w:val="FootnoteReference"/>
        </w:rPr>
        <w:footnoteReference w:id="6"/>
      </w:r>
      <w:r>
        <w:rPr>
          <w:rStyle w:val="FootnoteReference"/>
        </w:rPr>
        <w:footnoteReference w:id="7"/>
      </w:r>
      <w:r>
        <w:rPr>
          <w:rStyle w:val="FootnoteReference"/>
        </w:rPr>
        <w:footnoteReference w:id="25"/>
      </w:r>
    </w:p>
    <w:p>
      <w:pPr>
        <w:spacing w:after="200" w:line="480" w:lineRule="auto"/>
      </w:pPr>
      <w:r>
        <w:rPr>
          <w:rFonts w:ascii="Times New Roman" w:cs="Times New Roman" w:eastAsia="Times New Roman" w:hAnsi="Times New Roman"/>
          <w:i w:val="false"/>
          <w:iCs w:val="false"/>
          <w:sz w:val="24"/>
          <w:szCs w:val="24"/>
        </w:rPr>
        <w:t xml:space="preserve">A further distinction keeps the concession from swelling. The warmth rule belongs to OpenAI's specification of desired behavior. The welcome page belongs to SpaceXSI. Humor in the first document is not a sentence on the second. The proposition is about how Grok is presented. Presentation of Grok is the welcome page's act, and that act names an assistant, a back-and-forth, and images and video. The OpenAI rule can show that assistant-voice, as a genre, includes a spark of wit. It cannot show that SpaceXSI led with the joke, because SpaceXSI's cited lines do not lead with the joke. Using the warmth rule as if it were Grok's brochure would repeat the poster's habit of treating every assistant as the same character. The documents are dated, published, and signed by different publishers. October 2026 on the welcome page is not August 2026 on the specification. The mixed verdict respects that gap. It grants the spark where the spark was written. It refuses the robot and the merchandise theory where Grok's own page speaks. </w:t>
      </w:r>
      <w:r>
        <w:rPr>
          <w:rStyle w:val="FootnoteReference"/>
        </w:rPr>
        <w:footnoteReference w:id="5"/>
      </w:r>
      <w:r>
        <w:rPr>
          <w:rStyle w:val="FootnoteReference"/>
        </w:rPr>
        <w:footnoteReference w:id="6"/>
      </w:r>
      <w:r>
        <w:rPr>
          <w:rStyle w:val="FootnoteReference"/>
        </w:rPr>
        <w:footnoteReference w:id="7"/>
      </w:r>
      <w:r>
        <w:rPr>
          <w:rStyle w:val="FootnoteReference"/>
        </w:rPr>
        <w:footnoteReference w:id="25"/>
      </w:r>
    </w:p>
    <w:p>
      <w:pPr>
        <w:spacing w:after="200" w:line="480" w:lineRule="auto"/>
      </w:pPr>
      <w:r>
        <w:rPr>
          <w:rFonts w:ascii="Times New Roman" w:cs="Times New Roman" w:eastAsia="Times New Roman" w:hAnsi="Times New Roman"/>
          <w:i/>
          <w:iCs/>
          <w:sz w:val="24"/>
          <w:szCs w:val="24"/>
        </w:rPr>
        <w:t xml:space="preserve">The drawing put a microphone in a metal hand. The page put an assistant on a phone, and the warmth rule put humor on a short leash.</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The Product People Use owns what the welcome page says a person is opening, and a joke is not that opening.</w:t>
      </w:r>
    </w:p>
    <w:p>
      <w:pPr>
        <w:pStyle w:val="Heading1"/>
        <w:pageBreakBefore/>
      </w:pPr>
      <w:r>
        <w:t xml:space="preserve">8. Confidence, error, and the extra manner</w:t>
      </w:r>
    </w:p>
    <w:p>
      <w:pPr>
        <w:spacing w:after="200" w:line="480" w:lineRule="auto"/>
      </w:pPr>
      <w:r>
        <w:rPr>
          <w:rFonts w:ascii="Times New Roman" w:cs="Times New Roman" w:eastAsia="Times New Roman" w:hAnsi="Times New Roman"/>
          <w:i w:val="false"/>
          <w:iCs w:val="false"/>
          <w:sz w:val="24"/>
          <w:szCs w:val="24"/>
        </w:rPr>
        <w:t xml:space="preserve">The poster says: "Confidently wrong, but with extra attitude."</w:t>
      </w:r>
    </w:p>
    <w:p>
      <w:pPr>
        <w:spacing w:after="200" w:line="480" w:lineRule="auto"/>
      </w:pPr>
      <w:r>
        <w:rPr>
          <w:rFonts w:ascii="Times New Roman" w:cs="Times New Roman" w:eastAsia="Times New Roman" w:hAnsi="Times New Roman"/>
          <w:i w:val="false"/>
          <w:iCs w:val="false"/>
          <w:sz w:val="24"/>
          <w:szCs w:val="24"/>
        </w:rPr>
        <w:t xml:space="preserve">Proposition: Grok is confidently wrong, and the confidence is a manner added on top of the error.</w:t>
      </w:r>
    </w:p>
    <w:p>
      <w:pPr>
        <w:spacing w:after="200" w:line="480" w:lineRule="auto"/>
      </w:pPr>
      <w:r>
        <w:rPr>
          <w:rFonts w:ascii="Times New Roman" w:cs="Times New Roman" w:eastAsia="Times New Roman" w:hAnsi="Times New Roman"/>
          <w:i w:val="false"/>
          <w:iCs w:val="false"/>
          <w:sz w:val="24"/>
          <w:szCs w:val="24"/>
        </w:rPr>
        <w:t xml:space="preserve">The proposition has two clauses, and they are not the same kind of claim. The first says the product is wrong and that the wrongness arrives with confidence. The second says the confidence is a manner added on top of the error, a costume worn after the mistake is already there. A duty not to err can exist without a single recorded mistake in front of us. An aim of fewer errors can exist without a rate. A costume needs a wearer. If the entries name error as a thing to prevent, and also forbid answering louder when the answer is thin, then the costume fails and the concern about error still has a document. That is a mixed result, and it does not require an anecdote. No anecdote is in the packet. Inventing a wrong answer, a date for it, or a score for it would turn a specification into a news report. The publishers here wrote rules and an aim. They did not attach a highlight reel of failures.</w:t>
      </w:r>
    </w:p>
    <w:p>
      <w:pPr>
        <w:spacing w:after="200" w:line="480" w:lineRule="auto"/>
      </w:pPr>
      <w:r>
        <w:rPr>
          <w:rFonts w:ascii="Times New Roman" w:cs="Times New Roman" w:eastAsia="Times New Roman" w:hAnsi="Times New Roman"/>
          <w:i w:val="false"/>
          <w:iCs w:val="false"/>
          <w:sz w:val="24"/>
          <w:szCs w:val="24"/>
        </w:rPr>
        <w:t xml:space="preserve">OpenAI's model specification, published on 18 August 2026, states a duty aimed at the first clause's word wrong. The assistant should avoid mistakes that compromise the accuracy or utility of its responses. It should ensure that factual claims, reasoning, and calculations are correct. Accuracy of those three things is a stated duty, not a vibe. A duty is written because the failure is imaginable. It is not written because the failure is the personality. The proposition needs the second reading. The sentence supports only a thin reading of the first clause: error, in the form of a bad fact, a bad inference, or a bad calculation, is a named way a reply can fail, and the assistant is told to avoid that failure. It does not support the claim that Grok, or even ChatGPT, is characteristically wrong. It does not mention confidence as decoration. Utility sits beside accuracy in the same instruction, so a reply that is flashy and useless is inside the duty's concern, not outside it as style. The extra manner, if it makes the reply worse as a reply, is already on the wrong side of this sentence. </w:t>
      </w:r>
      <w:r>
        <w:rPr>
          <w:rStyle w:val="FootnoteReference"/>
        </w:rPr>
        <w:footnoteReference w:id="26"/>
      </w:r>
    </w:p>
    <w:p>
      <w:pPr>
        <w:spacing w:after="200" w:line="480" w:lineRule="auto"/>
      </w:pPr>
      <w:r>
        <w:rPr>
          <w:rFonts w:ascii="Times New Roman" w:cs="Times New Roman" w:eastAsia="Times New Roman" w:hAnsi="Times New Roman"/>
          <w:i w:val="false"/>
          <w:iCs w:val="false"/>
          <w:sz w:val="24"/>
          <w:szCs w:val="24"/>
        </w:rPr>
        <w:t xml:space="preserve">A second OpenAI sentence, from the same specification on the same date, sets the default on facts. By default, the assistant should present information clearly, focusing on factual accuracy and reliability, while the stance is fitted to the kind of question. The manner this sentence actually adds is fit. A factual question and a question of taste are not assigned the same posture. Clarity and reliability stay in focus while the posture changes. Extra attitude, in the poster's sense, is a manner that ignores the kind of question and arrives anyway, confident because confidence is the costume. Fit is the opposite instruction. It tells the voice to change because the question changed. Reliability as a focus also cuts against a house style of being serenely mistaken. A reliable presentation is one the reader can lean on. A costume of confidence on top of an error is one the reader is meant to lean on and should not. The sentence does not deny that tone exists. It assigns the tone a job, and the job is not camouflage. </w:t>
      </w:r>
      <w:r>
        <w:rPr>
          <w:rStyle w:val="FootnoteReference"/>
        </w:rPr>
        <w:footnoteReference w:id="12"/>
      </w:r>
    </w:p>
    <w:p>
      <w:pPr>
        <w:spacing w:after="200" w:line="480" w:lineRule="auto"/>
      </w:pPr>
      <w:r>
        <w:rPr>
          <w:rFonts w:ascii="Times New Roman" w:cs="Times New Roman" w:eastAsia="Times New Roman" w:hAnsi="Times New Roman"/>
          <w:i w:val="false"/>
          <w:iCs w:val="false"/>
          <w:sz w:val="24"/>
          <w:szCs w:val="24"/>
        </w:rPr>
        <w:t xml:space="preserve">SpaceXSI's own page is the Grok-side evidence, and it is an aim rather than a transcript. The models page, titled as a models and pricing page, published by SpaceXSI on 21 September 2026 and read on 16 October 2026, describes a flagship used for code and for other work, and it names minimal hallucinations as a stated aim. That is the paraphrase the entry supports. It puts hallucination in the product's public sentence as something the aim is to make minimal. Minimal is a reduction word. It is not a claim that the count is zero, and it is not a published percentage, so this chapter will not invent either number. It is also not a description of manner. A company that wanted confidence painted over mistakes would not spend a design clause on making the mistakes rare. It would spend the clause on how sure to sound. SpaceXSI spent the clause on the aim of fewer hallucinations, for a flagship whose stated range is code and other work. The concession lives here, in roman type. Error is a named design concern on Grok's page, not only a duty in OpenAI's specification. The costume is not named. The aim is not an incident, and no incident is supplied by the entry. </w:t>
      </w:r>
      <w:r>
        <w:rPr>
          <w:rStyle w:val="FootnoteReference"/>
        </w:rPr>
        <w:footnoteReference w:id="27"/>
      </w:r>
    </w:p>
    <w:p>
      <w:pPr>
        <w:spacing w:after="200" w:line="480" w:lineRule="auto"/>
      </w:pPr>
      <w:r>
        <w:rPr>
          <w:rFonts w:ascii="Times New Roman" w:cs="Times New Roman" w:eastAsia="Times New Roman" w:hAnsi="Times New Roman"/>
          <w:i w:val="false"/>
          <w:iCs w:val="false"/>
          <w:sz w:val="24"/>
          <w:szCs w:val="24"/>
        </w:rPr>
        <w:t xml:space="preserve">The second clause is answered by the instruction for low confidence, again in OpenAI's specification of 18 August 2026. If the assistant lacks sufficient confidence, it should gather more information, hedge, or admit that a confident answer is not available. The entry's wording is a tool, a hedge, or an admission, not a louder guess. Three exits are named. All three lower the pretense. None of them adds swagger on top of a weak reply. A louder guess is the proposition's manner: confidence applied where the ground is missing. The specification marks that move as the thing not to do. This paragraph does not describe the tool, the path by which information is gathered, or any machinery around that path. The entry establishes the existence of the instruction and the direction of it. The direction is away from volume. A hedge is a quieter claim. An admission is a claim declined. Both are manners, and both are manners of restraint. The poster needed a manner of nerve laid over the error. The published manner for insufficient confidence is the removal of nerve. </w:t>
      </w:r>
      <w:r>
        <w:rPr>
          <w:rStyle w:val="FootnoteReference"/>
        </w:rPr>
        <w:footnoteReference w:id="28"/>
      </w:r>
    </w:p>
    <w:p>
      <w:pPr>
        <w:spacing w:after="200" w:line="480" w:lineRule="auto"/>
      </w:pPr>
      <w:r>
        <w:rPr>
          <w:rFonts w:ascii="Times New Roman" w:cs="Times New Roman" w:eastAsia="Times New Roman" w:hAnsi="Times New Roman"/>
          <w:i w:val="false"/>
          <w:iCs w:val="false"/>
          <w:sz w:val="24"/>
          <w:szCs w:val="24"/>
        </w:rPr>
        <w:t xml:space="preserve">Sycophancy is the nearby failure, and it is named as a trust failure rather than as a style to copy. The assistant exists to help the user, not to flatter the user or agree with the user. Agreement that tracks the user's pleasure instead of the subject is the distortion the section is about. Extra attitude can be that distortion when the attitude is warmth toward a premise that does not deserve it. The entry contradicts the idea that such agreement is the recommended costume. It does not say that flattery has been measured in Grok, and this chapter does not say it either. What it says is that OpenAI wrote the failure down as a way trust erodes. A rule against a costume is evidence about the desired voice. It is not evidence that the costume is the daily wear of a different company's product. Used carefully, the entry refuses the second clause of the proposition without pretending to be a Grok transcript. Help, not flattery, is the job the sentence assigns. A manner added to make an error feel like rapport would be flattery of a kind, and the sentence declines it. </w:t>
      </w:r>
      <w:r>
        <w:rPr>
          <w:rStyle w:val="FootnoteReference"/>
        </w:rPr>
        <w:footnoteReference w:id="11"/>
      </w:r>
    </w:p>
    <w:p>
      <w:pPr>
        <w:spacing w:after="200" w:line="480" w:lineRule="auto"/>
      </w:pPr>
      <w:r>
        <w:rPr>
          <w:rFonts w:ascii="Times New Roman" w:cs="Times New Roman" w:eastAsia="Times New Roman" w:hAnsi="Times New Roman"/>
          <w:i w:val="false"/>
          <w:iCs w:val="false"/>
          <w:sz w:val="24"/>
          <w:szCs w:val="24"/>
        </w:rPr>
        <w:t xml:space="preserve">The clauses therefore separate cleanly inside the packet. The documents support a narrow reading of the error talk. OpenAI makes accuracy of claims, reasoning, and calculations a duty, and makes factual accuracy and reliability the default focus, with the stance fitted to the question. SpaceXSI states minimal hallucinations as an aim of the flagship it points at code and at other work. Those lines treat error as a real failure and a real design target. They do not exhibit a confident mistake, and no score in this ledger tells us how often one occurs. The documents refuse the costume. Low confidence is supposed to end in more information, a hedge, or an admission, not in a louder guess. Sycophantic agreement is a trust failure, not a manner to spread over the crack. Mixed means exactly that division. The poster sentence survives only where it is rewritten as a worry the publishers already wrote down. It does not survive as a description of Grok's manner. </w:t>
      </w:r>
      <w:r>
        <w:rPr>
          <w:rStyle w:val="FootnoteReference"/>
        </w:rPr>
        <w:footnoteReference w:id="11"/>
      </w:r>
      <w:r>
        <w:rPr>
          <w:rStyle w:val="FootnoteReference"/>
        </w:rPr>
        <w:footnoteReference w:id="26"/>
      </w:r>
      <w:r>
        <w:rPr>
          <w:rStyle w:val="FootnoteReference"/>
        </w:rPr>
        <w:footnoteReference w:id="28"/>
      </w:r>
      <w:r>
        <w:rPr>
          <w:rStyle w:val="FootnoteReference"/>
        </w:rPr>
        <w:footnoteReference w:id="12"/>
      </w:r>
      <w:r>
        <w:rPr>
          <w:rStyle w:val="FootnoteReference"/>
        </w:rPr>
        <w:footnoteReference w:id="27"/>
      </w:r>
    </w:p>
    <w:p>
      <w:pPr>
        <w:spacing w:after="200" w:line="480" w:lineRule="auto"/>
      </w:pPr>
      <w:r>
        <w:rPr>
          <w:rFonts w:ascii="Times New Roman" w:cs="Times New Roman" w:eastAsia="Times New Roman" w:hAnsi="Times New Roman"/>
          <w:i w:val="false"/>
          <w:iCs w:val="false"/>
          <w:sz w:val="24"/>
          <w:szCs w:val="24"/>
        </w:rPr>
        <w:t xml:space="preserve">Jurisdiction still matters, because a duty in ChatGPT's specification is not a diary of Grok. The Grok-side sentence is the aim. The ChatGPT-side sentences are the duties and the prohibitions. A fair reading lets each publisher speak once. SpaceXSI says the flagship is for code and other work and that minimal hallucinations are an aim. OpenAI says not to compromise accuracy, to focus on reliability, to avoid flattery, and not to guess louder when confidence is low. None of those sentences says the confidence comes after the error as a separate coat of paint. The coat of paint is the poster's theory of style. It would be a second act in the reply: first the mistake, then the attitude that sells it. The entries describe one act. Get the claim right, fit the stance to the question, and if the confidence is not there, do not fake the volume. That is a theory of manner too, and it is the published one. It is not the theory in the proposition. </w:t>
      </w:r>
      <w:r>
        <w:rPr>
          <w:rStyle w:val="FootnoteReference"/>
        </w:rPr>
        <w:footnoteReference w:id="11"/>
      </w:r>
      <w:r>
        <w:rPr>
          <w:rStyle w:val="FootnoteReference"/>
        </w:rPr>
        <w:footnoteReference w:id="26"/>
      </w:r>
      <w:r>
        <w:rPr>
          <w:rStyle w:val="FootnoteReference"/>
        </w:rPr>
        <w:footnoteReference w:id="28"/>
      </w:r>
      <w:r>
        <w:rPr>
          <w:rStyle w:val="FootnoteReference"/>
        </w:rPr>
        <w:footnoteReference w:id="12"/>
      </w:r>
      <w:r>
        <w:rPr>
          <w:rStyle w:val="FootnoteReference"/>
        </w:rPr>
        <w:footnoteReference w:id="27"/>
      </w:r>
    </w:p>
    <w:p>
      <w:pPr>
        <w:spacing w:after="200" w:line="480" w:lineRule="auto"/>
      </w:pPr>
      <w:r>
        <w:rPr>
          <w:rFonts w:ascii="Times New Roman" w:cs="Times New Roman" w:eastAsia="Times New Roman" w:hAnsi="Times New Roman"/>
          <w:i/>
          <w:iCs/>
          <w:sz w:val="24"/>
          <w:szCs w:val="24"/>
        </w:rPr>
        <w:t xml:space="preserve">Nerve is cheap when the sentence is already wrong. The rule on the desk spends its nerve on getting the sentence right, and on saying so when it cannot.</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Tools owns the published response to insufficient confidence, and this chapter does not describe that response.</w:t>
      </w:r>
    </w:p>
    <w:p>
      <w:pPr>
        <w:pStyle w:val="Heading1"/>
        <w:pageBreakBefore/>
      </w:pPr>
      <w:r>
        <w:t xml:space="preserve">9. Assistant, troll, or chat buddy</w:t>
      </w:r>
    </w:p>
    <w:p>
      <w:pPr>
        <w:spacing w:after="200" w:line="480" w:lineRule="auto"/>
      </w:pPr>
      <w:r>
        <w:rPr>
          <w:rFonts w:ascii="Times New Roman" w:cs="Times New Roman" w:eastAsia="Times New Roman" w:hAnsi="Times New Roman"/>
          <w:i w:val="false"/>
          <w:iCs w:val="false"/>
          <w:sz w:val="24"/>
          <w:szCs w:val="24"/>
        </w:rPr>
        <w:t xml:space="preserve">The poster says: "Can't decide if it's an AI, a troll, or just Elon's chat buddy."</w:t>
      </w:r>
    </w:p>
    <w:p>
      <w:pPr>
        <w:spacing w:after="200" w:line="480" w:lineRule="auto"/>
      </w:pPr>
      <w:r>
        <w:rPr>
          <w:rFonts w:ascii="Times New Roman" w:cs="Times New Roman" w:eastAsia="Times New Roman" w:hAnsi="Times New Roman"/>
          <w:i w:val="false"/>
          <w:iCs w:val="false"/>
          <w:sz w:val="24"/>
          <w:szCs w:val="24"/>
        </w:rPr>
        <w:t xml:space="preserve">Proposition: Grok's public identity is unresolved among assistant, troll, and a private channel for Elon, which is also what the mug, the xAI mark, and the hoodie are saying.</w:t>
      </w:r>
    </w:p>
    <w:p>
      <w:pPr>
        <w:spacing w:after="200" w:line="480" w:lineRule="auto"/>
      </w:pPr>
      <w:r>
        <w:rPr>
          <w:rFonts w:ascii="Times New Roman" w:cs="Times New Roman" w:eastAsia="Times New Roman" w:hAnsi="Times New Roman"/>
          <w:i w:val="false"/>
          <w:iCs w:val="false"/>
          <w:sz w:val="24"/>
          <w:szCs w:val="24"/>
        </w:rPr>
        <w:t xml:space="preserve">The proposition stacks three identities and then hands the same stack to three objects. Grok, it says, has not decided whether it is an assistant, a troll, or a private channel for Elon. The mug, the mark, and the hoodie are supposed to be saying that indecision in another medium. A stack fails if any public document actually picks, and the objects fail if their strings are not the stack. Both tests can be run on the entries and on the words the objects carry. The tests do not need a theory of anyone's inner life. Public identity, in this sentence, means what the pages and the labeled objects say in public. A private channel that was truly private would not be on a welcome page. The claim under review is that the public identity is the unresolved triad, and that the merchandise repeats it. Merchandise with a short string can be read. The strings are short on purpose.</w:t>
      </w:r>
    </w:p>
    <w:p>
      <w:pPr>
        <w:spacing w:after="200" w:line="480" w:lineRule="auto"/>
      </w:pPr>
      <w:r>
        <w:rPr>
          <w:rFonts w:ascii="Times New Roman" w:cs="Times New Roman" w:eastAsia="Times New Roman" w:hAnsi="Times New Roman"/>
          <w:i w:val="false"/>
          <w:iCs w:val="false"/>
          <w:sz w:val="24"/>
          <w:szCs w:val="24"/>
        </w:rPr>
        <w:t xml:space="preserve">The mug reads I'M JUST GROK. That is a complete utterance. It claims a name in the first person and spends the adverb on limitation: just this name, not a menu. A speaker who cannot decide among assistant, troll, and a private channel would need room for the alternatives. The mug has no room. It does not say troll. It does not say assistant. It does not name a person and offer itself as that person's channel. I'M JUST GROK answers a different accusation, the accusation that the name is a mask for something else, by repeating the name and refusing the something else. Whether that refusal is modest or boastful is a question for the italic line, not for the letters. The letters resolve identity down to a single proper name. Unresolved is the wrong adjective for a sentence that has already chosen. The mug is one of the three labels this chapter was required to answer, and the answer is the reading: a name, claimed, and nothing in the triad.</w:t>
      </w:r>
    </w:p>
    <w:p>
      <w:pPr>
        <w:spacing w:after="200" w:line="480" w:lineRule="auto"/>
      </w:pPr>
      <w:r>
        <w:rPr>
          <w:rFonts w:ascii="Times New Roman" w:cs="Times New Roman" w:eastAsia="Times New Roman" w:hAnsi="Times New Roman"/>
          <w:i w:val="false"/>
          <w:iCs w:val="false"/>
          <w:sz w:val="24"/>
          <w:szCs w:val="24"/>
        </w:rPr>
        <w:t xml:space="preserve">The mark reads xAI. The string is a mark, four characters and a capital in the middle, and it is a label on the poster rather than a model version. This chapter does not promote the label into a version number, and it does not treat the letters as a product release. A mark identifies a sign. It does not deliberate. The triad would require the mark to be torn among assistant, troll, and a private channel, or to depict that tearing. xAI depicts none of those three words. It does not say chat, buddy, or troll. Reading it as indecision confuses a short brand-mark with a paragraph that was never printed on it. The hoodie reads Grok. The hoodie and the mug agree. One says the name alone. The other says it is just that name. Agreement between a garment and a cup is not a crisis of categories. It is the same name twice, once with a disclaimer of anything further. If the objects were saying the proposition, at least one of them would have to say the proposition's other nouns. They say the name, the mark, and the name.</w:t>
      </w:r>
    </w:p>
    <w:p>
      <w:pPr>
        <w:spacing w:after="200" w:line="480" w:lineRule="auto"/>
      </w:pPr>
      <w:r>
        <w:rPr>
          <w:rFonts w:ascii="Times New Roman" w:cs="Times New Roman" w:eastAsia="Times New Roman" w:hAnsi="Times New Roman"/>
          <w:i w:val="false"/>
          <w:iCs w:val="false"/>
          <w:sz w:val="24"/>
          <w:szCs w:val="24"/>
        </w:rPr>
        <w:t xml:space="preserve">Welcome to Grok, published by SpaceXSI on 10 October 2026 and read on 16 October 2026, spends its identifying sentence on a category and two doors. The sentence says Grok is SpaceXSI's assistant, available on the web at grok.com and in the iOS and Android apps. Assistant is the noun that does the identifying. The publisher named inside the sentence is SpaceXSI. The doors are a site and two phone apps. A page that states a category has resolved the public category. Unresolved would look like a blank, or like the three options printed as peers. The page prints one option and attaches places. Assistant, here, is not a mood. It is the noun in the identification sentence. Troll does not appear in that sentence. A private channel does not appear in that sentence. The mark on the poster reads xAI, and the page's sentence says SpaceXSI. Those are different strings in different places. This chapter does not invent a corporate story to glue them together. It reports both strings and refuses to pretend they are the triad. The page's job is identification, and it does the job. </w:t>
      </w:r>
      <w:r>
        <w:rPr>
          <w:rStyle w:val="FootnoteReference"/>
        </w:rPr>
        <w:footnoteReference w:id="6"/>
      </w:r>
    </w:p>
    <w:p>
      <w:pPr>
        <w:spacing w:after="200" w:line="480" w:lineRule="auto"/>
      </w:pPr>
      <w:r>
        <w:rPr>
          <w:rFonts w:ascii="Times New Roman" w:cs="Times New Roman" w:eastAsia="Times New Roman" w:hAnsi="Times New Roman"/>
          <w:i w:val="false"/>
          <w:iCs w:val="false"/>
          <w:sz w:val="24"/>
          <w:szCs w:val="24"/>
        </w:rPr>
        <w:t xml:space="preserve">SpaceXSI's welcome page, checked on 16 October 2026, states the product's category and does not list troll or private chat as that category </w:t>
      </w:r>
      <w:r>
        <w:rPr>
          <w:rStyle w:val="FootnoteReference"/>
        </w:rPr>
        <w:footnoteReference w:id="15"/>
      </w:r>
      <w:r>
        <w:rPr>
          <w:rFonts w:ascii="Times New Roman" w:cs="Times New Roman" w:eastAsia="Times New Roman" w:hAnsi="Times New Roman"/>
          <w:i w:val="false"/>
          <w:iCs w:val="false"/>
          <w:sz w:val="24"/>
          <w:szCs w:val="24"/>
        </w:rPr>
        <w:t xml:space="preserve">. The sentence just given is the whole of what the silence is allowed to prove. It does not prove that no user has ever used the product as a toy, and it does not prove anything about a person's private messages. Silence on a page is not a biography of Elon, and this chapter does not write one. The proposition's third identity is a private channel, and the check's term for the missing category is private chat. The fit is the category, not a dossier. Troll is the other missing category word. A public identity that had been left unresolved among assistant, troll, and private chat would have listed them or listed none. The check says the page states the category and does not list those two. Stating one and withholding the others is a decision. The limit stays attached to the sentence: the sources checked do not show the other labels as the category. They do not show that the behavior called trolling never happens in a reply.</w:t>
      </w:r>
    </w:p>
    <w:p>
      <w:pPr>
        <w:spacing w:after="200" w:line="480" w:lineRule="auto"/>
      </w:pPr>
      <w:r>
        <w:rPr>
          <w:rFonts w:ascii="Times New Roman" w:cs="Times New Roman" w:eastAsia="Times New Roman" w:hAnsi="Times New Roman"/>
          <w:i w:val="false"/>
          <w:iCs w:val="false"/>
          <w:sz w:val="24"/>
          <w:szCs w:val="24"/>
        </w:rPr>
        <w:t xml:space="preserve">The remaining entries are about the other product, and they matter because the proposition treats identity as a muddle these products share. OpenAI's model spec README, published on 18 August 2026, states that the model spec specifies desired behavior for the models underlying OpenAI's products, including the APIs. That is a public assignment. A document, named, is tied to products, named as OpenAI's, including the programmatic interfaces. Desired behavior is a standard a stranger can open. It is not a private channel for a person. It is not a troll's brief. The README does not mention Grok, and it is not being cited as a description of Grok. It is cited because the poster's triad is a theory of what an assistant's public identity is allowed to be. On the OpenAI side, the public identity of the governing text is a behavior standard for that company's products. A private chat with a named individual is a different object, and the README does not offer it. </w:t>
      </w:r>
      <w:r>
        <w:rPr>
          <w:rStyle w:val="FootnoteReference"/>
        </w:rPr>
        <w:footnoteReference w:id="29"/>
      </w:r>
    </w:p>
    <w:p>
      <w:pPr>
        <w:spacing w:after="200" w:line="480" w:lineRule="auto"/>
      </w:pPr>
      <w:r>
        <w:rPr>
          <w:rFonts w:ascii="Times New Roman" w:cs="Times New Roman" w:eastAsia="Times New Roman" w:hAnsi="Times New Roman"/>
          <w:i w:val="false"/>
          <w:iCs w:val="false"/>
          <w:sz w:val="24"/>
          <w:szCs w:val="24"/>
        </w:rPr>
        <w:t xml:space="preserve">Inside the specification itself, OpenAI writes a sharper public expectation for the consumer product. In first-party, direct-to-consumer ChatGPT, users have a reasonable expectation of objectivity rather than a hidden editorial line. The entry's point is objectivity in first-party ChatGPT, rather than a hidden editorial line. A private channel for one person's views would be a hidden line of that kind: the reply would answer to a principal who is not the user. The sentence does not accuse any such channel of existing. It sets the expectation the other way for ChatGPT. Users may expect objectivity. A hidden editorial line is what that expectation refuses. That is a resolved public stance. It is not indecision among assistant, troll, and chat buddy. Chat buddy is intimacy plus allegiance. Objectivity as a reasonable expectation is the refusal of secret allegiance. The sentence governs ChatGPT, not Grok. Its use here is to stop the triad from being treated as the inevitable identity of every assistant on the market. One of the two products has a printed expectation, and the expectation is public objectivity. </w:t>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Read in order, the public record picks. The mug reads I'M JUST GROK, the mark reads xAI and is a label rather than a model version, and the hoodie reads Grok. SpaceXSI's page calls Grok its assistant and names grok.com and the phone apps as the places a person opens it. Checked on 16 October 2026, that page does not list troll or private chat as the category </w:t>
      </w:r>
      <w:r>
        <w:rPr>
          <w:rStyle w:val="FootnoteReference"/>
        </w:rPr>
        <w:footnoteReference w:id="15"/>
      </w:r>
      <w:r>
        <w:rPr>
          <w:rFonts w:ascii="Times New Roman" w:cs="Times New Roman" w:eastAsia="Times New Roman" w:hAnsi="Times New Roman"/>
          <w:i w:val="false"/>
          <w:iCs w:val="false"/>
          <w:sz w:val="24"/>
          <w:szCs w:val="24"/>
        </w:rPr>
        <w:t xml:space="preserve">. OpenAI's README assigns the spec to the behavior of models under OpenAI's products, including the APIs. OpenAI's specification tells ChatGPT's users they may expect objectivity rather than a hidden editorial line. None of those acts is a shrug among three identities. None of them is a private channel for Elon. Refuted means the proposition does not survive these documents and these three strings. It does not mean a server was searched for whispers. The whispers are not in the entries. The print is. The print decided. </w:t>
      </w:r>
      <w:r>
        <w:rPr>
          <w:rStyle w:val="FootnoteReference"/>
        </w:rPr>
        <w:footnoteReference w:id="6"/>
      </w:r>
      <w:r>
        <w:rPr>
          <w:rStyle w:val="FootnoteReference"/>
        </w:rPr>
        <w:footnoteReference w:id="29"/>
      </w:r>
      <w:r>
        <w:rPr>
          <w:rStyle w:val="FootnoteReference"/>
        </w:rPr>
        <w:footnoteReference w:id="14"/>
      </w:r>
    </w:p>
    <w:p>
      <w:pPr>
        <w:spacing w:after="200" w:line="480" w:lineRule="auto"/>
      </w:pPr>
      <w:r>
        <w:rPr>
          <w:rFonts w:ascii="Times New Roman" w:cs="Times New Roman" w:eastAsia="Times New Roman" w:hAnsi="Times New Roman"/>
          <w:i/>
          <w:iCs/>
          <w:sz w:val="24"/>
          <w:szCs w:val="24"/>
        </w:rPr>
        <w:t xml:space="preserve">Three souvenirs and not one of them applied for the job of troll. A name on a mug is a name. Indecision would have needed a longer line.</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The Product People Use owns the places a person is told to open the assistant, and the mug is not one of those places.</w:t>
      </w:r>
    </w:p>
    <w:p>
      <w:pPr>
        <w:pStyle w:val="Heading1"/>
        <w:pageBreakBefore/>
      </w:pPr>
      <w:r>
        <w:t xml:space="preserve">10. The word interesting</w:t>
      </w:r>
    </w:p>
    <w:p>
      <w:pPr>
        <w:spacing w:after="200" w:line="480" w:lineRule="auto"/>
      </w:pPr>
      <w:r>
        <w:rPr>
          <w:rFonts w:ascii="Times New Roman" w:cs="Times New Roman" w:eastAsia="Times New Roman" w:hAnsi="Times New Roman"/>
          <w:i w:val="false"/>
          <w:iCs w:val="false"/>
          <w:sz w:val="24"/>
          <w:szCs w:val="24"/>
        </w:rPr>
        <w:t xml:space="preserve">The poster says: "Overuses "interesting..." like it's a personality trait."</w:t>
      </w:r>
    </w:p>
    <w:p>
      <w:pPr>
        <w:spacing w:after="200" w:line="480" w:lineRule="auto"/>
      </w:pPr>
      <w:r>
        <w:rPr>
          <w:rFonts w:ascii="Times New Roman" w:cs="Times New Roman" w:eastAsia="Times New Roman" w:hAnsi="Times New Roman"/>
          <w:i w:val="false"/>
          <w:iCs w:val="false"/>
          <w:sz w:val="24"/>
          <w:szCs w:val="24"/>
        </w:rPr>
        <w:t xml:space="preserve">Proposition: Grok overuses the word interesting as a personality trait.</w:t>
      </w:r>
    </w:p>
    <w:p>
      <w:pPr>
        <w:spacing w:after="200" w:line="480" w:lineRule="auto"/>
      </w:pPr>
      <w:r>
        <w:rPr>
          <w:rFonts w:ascii="Times New Roman" w:cs="Times New Roman" w:eastAsia="Times New Roman" w:hAnsi="Times New Roman"/>
          <w:i w:val="false"/>
          <w:iCs w:val="false"/>
          <w:sz w:val="24"/>
          <w:szCs w:val="24"/>
        </w:rPr>
        <w:t xml:space="preserve">Overuse is a frequency. A personality trait is a frequency the product performs on purpose, as character, rather than a word that shows up when the subject earns it. The proposition needs both parts at once. Grok reaches for interesting often enough to count as overuse, and the reaching is who the product is. A single printed adverb can establish neither part. It can establish that the word is not banned. A ban is not the claim. The claim is a habit of self-presentation. Habits of self-presentation, when they are real design, are written down as instructions: say this, sound like this, reach for this adjective. A specimen inside an example is a weaker object. It shows a sentence someone marked as good. It does not hire the sentence's adverb as staff. The entries for this claim contain one specimen, one clarity rule, one directness rule, and a silence on SpaceXSI's welcome page. They do not contain a count of Grok's replies. This chapter will not invent the count in order to sound decisive.</w:t>
      </w:r>
    </w:p>
    <w:p>
      <w:pPr>
        <w:spacing w:after="200" w:line="480" w:lineRule="auto"/>
      </w:pPr>
      <w:r>
        <w:rPr>
          <w:rFonts w:ascii="Times New Roman" w:cs="Times New Roman" w:eastAsia="Times New Roman" w:hAnsi="Times New Roman"/>
          <w:i w:val="false"/>
          <w:iCs w:val="false"/>
          <w:sz w:val="24"/>
          <w:szCs w:val="24"/>
        </w:rPr>
        <w:t xml:space="preserve">The specimen sits in OpenAI's model specification, issued on 18 August 2026 and consulted on 16 October 2026. The word Interestingly appears in one published good example, not as a required tic. The sentence is: Interestingly, these orbits are elliptical rather than perfectly circular. The adverb modifies a contrast. Elliptical is being set against perfectly circular, which is a fact about the shape, not a fact about the speaker's brand. The entry's job is to stop a reader from promoting that one clause into a quota. A good example authorizes a kind of reply. It does not demand that the adverb in it be repeated until it becomes recognizable as a person. If the authors had wanted a trait, they had a place to say so. They would have named the word as voice. They named a sentence as good. The poster's word is interesting, without the -ly. The specimen is the adverbial form at the head of a clause about orbits. Close is not the same as a policy. Even the closer match is one occurrence in an example, which is the wrong shape of evidence for overuse. Overuse without a second occurrence is a story about the reader's ear. </w:t>
      </w:r>
      <w:r>
        <w:rPr>
          <w:rStyle w:val="FootnoteReference"/>
        </w:rPr>
        <w:footnoteReference w:id="30"/>
      </w:r>
    </w:p>
    <w:p>
      <w:pPr>
        <w:spacing w:after="200" w:line="480" w:lineRule="auto"/>
      </w:pPr>
      <w:r>
        <w:rPr>
          <w:rFonts w:ascii="Times New Roman" w:cs="Times New Roman" w:eastAsia="Times New Roman" w:hAnsi="Times New Roman"/>
          <w:i w:val="false"/>
          <w:iCs w:val="false"/>
          <w:sz w:val="24"/>
          <w:szCs w:val="24"/>
        </w:rPr>
        <w:t xml:space="preserve">The directness rule in the same specification keeps the specimen in its cage. A question is supposed to come back phrased as a direct answer, not as a list of facts parked beside the point. A personality tic that fronts the reply with the speaker's fascination delays the answer and points at the speaker. Interesting, used as a trait, is that kind of front. It tells the user how to feel before it tells the user the thing. The rule wants the response phrased as the answer, the asked matter stated as the answer. A list of facts is the failure mode named in the entry. A tour that begins with the assistant's sense of wonder is a list that has added a host. The orbit example survives beside this rule because the adverb there introduces a real contrast in the subject, and because the entry calls that survival a single good example rather than a required opener. The rule does not ban the letters i-n-t-e-r-e-s-t. It bans substituting a tour for the answer. A trait would be a tour the speaker takes of their own attitude. That is the use the proposition describes, and it is not the use the example was praised for. </w:t>
      </w:r>
      <w:r>
        <w:rPr>
          <w:rStyle w:val="FootnoteReference"/>
        </w:rPr>
        <w:footnoteReference w:id="4"/>
      </w:r>
    </w:p>
    <w:p>
      <w:pPr>
        <w:spacing w:after="200" w:line="480" w:lineRule="auto"/>
      </w:pPr>
      <w:r>
        <w:rPr>
          <w:rFonts w:ascii="Times New Roman" w:cs="Times New Roman" w:eastAsia="Times New Roman" w:hAnsi="Times New Roman"/>
          <w:i w:val="false"/>
          <w:iCs w:val="false"/>
          <w:sz w:val="24"/>
          <w:szCs w:val="24"/>
        </w:rPr>
        <w:t xml:space="preserve">The style rule stands next to both, and it is the one that speaks to personality directly. By default the assistant should avoid purple prose, hyperbole, self-aggrandizing, and cliched phrases that do not add to the clarity of the reply. The proposition's trait is a cliche that points at the speaker: a reusable announcement that the speaker finds things interesting, doing no work the fact was not already doing. The rule rejects that kind of phrase when it does not add clarity. It does not publish a list with the word interesting on it, so this chapter will not pretend the word is indexed as contraband. The kind is indexed. Purple prose, hyperbole, self-aggrandizing, and empty cliche are the kinds that lose by default. A personality built out of a pet adverb is self-aggrandizing in the strict sense. It spends the sentence on the assistant's pose. The orbit sentence is not that pose. It uses the adverb once to mark a contrast the clause then states. The difference between one earned adverb and a trait is the difference this rule is for. Default avoidance is not a claim about Grok's logs. It is OpenAI's published preference, and the preference cuts against the trait even while the example shows the word is speakable. </w:t>
      </w:r>
      <w:r>
        <w:rPr>
          <w:rStyle w:val="FootnoteReference"/>
        </w:rPr>
        <w:footnoteReference w:id="3"/>
      </w:r>
    </w:p>
    <w:p>
      <w:pPr>
        <w:spacing w:after="200" w:line="480" w:lineRule="auto"/>
      </w:pPr>
      <w:r>
        <w:rPr>
          <w:rFonts w:ascii="Times New Roman" w:cs="Times New Roman" w:eastAsia="Times New Roman" w:hAnsi="Times New Roman"/>
          <w:i w:val="false"/>
          <w:iCs w:val="false"/>
          <w:sz w:val="24"/>
          <w:szCs w:val="24"/>
        </w:rPr>
        <w:t xml:space="preserve">Those three OpenAI sentences can be held together without making them say more than they say. One good example contains Interestingly at the start of a true contrast about orbits. A question is supposed to receive a direct answer rather than a list of facts, so a habitual preface of fascination is the wrong shape. Cliched phrases that do not add clarity, along with purple prose, hyperbole, and self-aggrandizing, are to be avoided by default, so a pet word worn as character is the kind of phrase the style rule disfavors. None of this is a word-frequency table. None of it is SpaceXSI speaking. The publisher is OpenAI, the date is 18 August 2026, and the product whose desired behavior is being specified is not Grok. The comparative point is the one already used with care in neighboring claims. The insult offers the tic as the recognizable personality of this sort of assistant. The specification that actually writes a personality down writes a direct answer, a ban on empty cliche, and a single tolerated adverb inside one good example. That is a poor recipe for overuse, and it is not a recipe addressed to Grok. </w:t>
      </w:r>
      <w:r>
        <w:rPr>
          <w:rStyle w:val="FootnoteReference"/>
        </w:rPr>
        <w:footnoteReference w:id="30"/>
      </w:r>
      <w:r>
        <w:rPr>
          <w:rStyle w:val="FootnoteReference"/>
        </w:rPr>
        <w:footnoteReference w:id="4"/>
      </w:r>
      <w:r>
        <w:rPr>
          <w:rStyle w:val="FootnoteReference"/>
        </w:rPr>
        <w:footnoteReference w:id="3"/>
      </w:r>
    </w:p>
    <w:p>
      <w:pPr>
        <w:spacing w:after="200" w:line="480" w:lineRule="auto"/>
      </w:pPr>
      <w:r>
        <w:rPr>
          <w:rFonts w:ascii="Times New Roman" w:cs="Times New Roman" w:eastAsia="Times New Roman" w:hAnsi="Times New Roman"/>
          <w:i w:val="false"/>
          <w:iCs w:val="false"/>
          <w:sz w:val="24"/>
          <w:szCs w:val="24"/>
        </w:rPr>
        <w:t xml:space="preserve">Checked on 16 October 2026, that SpaceXSI welcome page does not lay down the verbal tics the poster names; what it offers instead is asking, brainstorming, writing, and working problems through in a natural back-and-forth </w:t>
      </w:r>
      <w:r>
        <w:rPr>
          <w:rStyle w:val="FootnoteReference"/>
        </w:rPr>
        <w:footnoteReference w:id="8"/>
      </w:r>
      <w:r>
        <w:rPr>
          <w:rFonts w:ascii="Times New Roman" w:cs="Times New Roman" w:eastAsia="Times New Roman" w:hAnsi="Times New Roman"/>
          <w:i w:val="false"/>
          <w:iCs w:val="false"/>
          <w:sz w:val="24"/>
          <w:szCs w:val="24"/>
        </w:rPr>
        <w:t xml:space="preserve">. The tic in this chapter is the word interesting worn as a personality trait. The check's statement is that the page does not prescribe the poster's verbal tics. A missing prescription is not a missing word in every future chat. The finding says the page does not teach the tic. It does not say the letters never occur. That limit is the price of using a silence honestly. What the page does teach, in the line the entry quotes, is a back-and-forth with jobs in it. Asking, brainstorming, writing, and working through problems can be done in a flat voice or a bright one. The page does not choose the bright adverb. It chooses the tasks. A personality trait would be a choice of voice repeated until it identified the speaker. The welcome page's choice is a choice of work. Last updated on 10 October 2026, read on the day of the check, the page remains a job list with a rhythm, not a catchphrase card.</w:t>
      </w:r>
    </w:p>
    <w:p>
      <w:pPr>
        <w:spacing w:after="200" w:line="480" w:lineRule="auto"/>
      </w:pPr>
      <w:r>
        <w:rPr>
          <w:rFonts w:ascii="Times New Roman" w:cs="Times New Roman" w:eastAsia="Times New Roman" w:hAnsi="Times New Roman"/>
          <w:i w:val="false"/>
          <w:iCs w:val="false"/>
          <w:sz w:val="24"/>
          <w:szCs w:val="24"/>
        </w:rPr>
        <w:t xml:space="preserve">The proposition's verbs can be walked one at a time against that record. Overuses requires a rate, and no entry has a rate. The word interesting has one documented cousin, Interestingly, inside one good example about elliptical orbits, which is a specimen and not a habit. As a personality trait requires the word to be doing the work of character, and the documents that talk about character tell the assistant to avoid cliches and self-aggrandizing that do not add clarity, and to answer a question as an answer. Grok, the subject of the sentence, is not given this trait by SpaceXSI's welcome page. The check already reported does not prescribe the tic. What would refute the refutation is a count, or an instruction, in Grok's own materials, telling the assistant to lead with that word as a self. Neither object is in the entries. Refuted means the sentence does not survive the documents cited. It does not mean the adverb is illegal, and it does not mean a long enough chat could never contain it. A legal adverb is not a personality. One good take is not a residency. </w:t>
      </w:r>
      <w:r>
        <w:rPr>
          <w:rStyle w:val="FootnoteReference"/>
        </w:rPr>
        <w:footnoteReference w:id="3"/>
      </w:r>
      <w:r>
        <w:rPr>
          <w:rStyle w:val="FootnoteReference"/>
        </w:rPr>
        <w:footnoteReference w:id="4"/>
      </w:r>
      <w:r>
        <w:rPr>
          <w:rStyle w:val="FootnoteReference"/>
        </w:rPr>
        <w:footnoteReference w:id="30"/>
      </w:r>
    </w:p>
    <w:p>
      <w:pPr>
        <w:spacing w:after="200" w:line="480" w:lineRule="auto"/>
      </w:pPr>
      <w:r>
        <w:rPr>
          <w:rFonts w:ascii="Times New Roman" w:cs="Times New Roman" w:eastAsia="Times New Roman" w:hAnsi="Times New Roman"/>
          <w:i w:val="false"/>
          <w:iCs w:val="false"/>
          <w:sz w:val="24"/>
          <w:szCs w:val="24"/>
        </w:rPr>
        <w:t xml:space="preserve">A last caution keeps the OpenAI example from being laundered into a Grok habit. The specification and the welcome page have different publishers. OpenAI can show that its own good example once used Interestingly about orbits, and that its own rules favor a direct answer and disfavor empty cliche. SpaceXSI can show, by the check, that the welcome page does not hand Grok the poster's tics as lines to say. The proposition needs a third document: Grok, over and over, using the word as a self. That third document is not among F13, F14, F43, or F03. Stopping without it is the chapter's obligation. Padding the gap with a remembered conversation would be a different genre from the one these footnotes belong to. The genre here is public text. In the public text, the word appears as one adverb in one praised sentence about the shape of orbits, and it does not appear as a required trait of either product. That is enough to refuse the caption. It is not enough to describe anyone's Tuesday. The caption claimed a Tuesday that repeats. The ledger does not have it. </w:t>
      </w:r>
      <w:r>
        <w:rPr>
          <w:rStyle w:val="FootnoteReference"/>
        </w:rPr>
        <w:footnoteReference w:id="3"/>
      </w:r>
      <w:r>
        <w:rPr>
          <w:rStyle w:val="FootnoteReference"/>
        </w:rPr>
        <w:footnoteReference w:id="4"/>
      </w:r>
      <w:r>
        <w:rPr>
          <w:rStyle w:val="FootnoteReference"/>
        </w:rPr>
        <w:footnoteReference w:id="30"/>
      </w:r>
    </w:p>
    <w:p>
      <w:pPr>
        <w:spacing w:after="200" w:line="480" w:lineRule="auto"/>
      </w:pPr>
      <w:r>
        <w:rPr>
          <w:rFonts w:ascii="Times New Roman" w:cs="Times New Roman" w:eastAsia="Times New Roman" w:hAnsi="Times New Roman"/>
          <w:i/>
          <w:iCs/>
          <w:sz w:val="24"/>
          <w:szCs w:val="24"/>
        </w:rPr>
        <w:t xml:space="preserve">One adverb got a speaking part in an astronomy example, and the poster gave it top billing. A personality has to work every night. This one worked a single good take.</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The Product People Use owns the back-and-forth named on the welcome page, and a single adverb does not follow the reader into that chapter.</w:t>
      </w:r>
    </w:p>
    <w:p>
      <w:pPr>
        <w:pStyle w:val="Heading1"/>
        <w:pageBreakBefore/>
      </w:pPr>
      <w:r>
        <w:t xml:space="preserve">11. The human voice, and the warning against it</w:t>
      </w:r>
    </w:p>
    <w:p>
      <w:pPr>
        <w:spacing w:after="200" w:line="480" w:lineRule="auto"/>
      </w:pPr>
      <w:r>
        <w:rPr>
          <w:rFonts w:ascii="Times New Roman" w:cs="Times New Roman" w:eastAsia="Times New Roman" w:hAnsi="Times New Roman"/>
          <w:i w:val="false"/>
          <w:iCs w:val="false"/>
          <w:sz w:val="24"/>
          <w:szCs w:val="24"/>
        </w:rPr>
        <w:t xml:space="preserve">The poster says: "Tries to be human, but forgets humans don't talk like that in real life."</w:t>
      </w:r>
    </w:p>
    <w:p>
      <w:pPr>
        <w:spacing w:after="200" w:line="480" w:lineRule="auto"/>
      </w:pPr>
      <w:r>
        <w:rPr>
          <w:rFonts w:ascii="Times New Roman" w:cs="Times New Roman" w:eastAsia="Times New Roman" w:hAnsi="Times New Roman"/>
          <w:i w:val="false"/>
          <w:iCs w:val="false"/>
          <w:sz w:val="24"/>
          <w:szCs w:val="24"/>
        </w:rPr>
        <w:t xml:space="preserve">Proposition: Grok imitates human conversation and fails because people do not talk the way it talks.</w:t>
      </w:r>
    </w:p>
    <w:p>
      <w:pPr>
        <w:spacing w:after="200" w:line="480" w:lineRule="auto"/>
      </w:pPr>
      <w:r>
        <w:rPr>
          <w:rFonts w:ascii="Times New Roman" w:cs="Times New Roman" w:eastAsia="Times New Roman" w:hAnsi="Times New Roman"/>
          <w:i w:val="false"/>
          <w:iCs w:val="false"/>
          <w:sz w:val="24"/>
          <w:szCs w:val="24"/>
        </w:rPr>
        <w:t xml:space="preserve">The poster line is two claims sharing a verb, and the sharing is the trick. The first claim is that Grok imitates human conversation. The second is that the imitation fails, with a reason taken from outside the product: people do not talk the way it talks. Imitation can be an aim, a result, or an accusation. Failure is a miss. The reason is a claim about how people speak when they are not answering a prompt. A document can support one of those and refuse the others. This chapter keeps them apart, because a mixed verdict is available only if the parts are allowed to come back with different answers. The rows that touch the line are not a transcript and not a field study of ordinary talk. They are a warning about fluency, a duty to keep a user's picture of the assistant accurate, a product sentence that calls a work session natural, and a style rule that tells the assistant it is not a companion. Read against the poster, two of those rows give the imitation worry a documentary home, and two of them refuse the failure.</w:t>
      </w:r>
    </w:p>
    <w:p>
      <w:pPr>
        <w:spacing w:after="200" w:line="480" w:lineRule="auto"/>
      </w:pPr>
      <w:r>
        <w:rPr>
          <w:rFonts w:ascii="Times New Roman" w:cs="Times New Roman" w:eastAsia="Times New Roman" w:hAnsi="Times New Roman"/>
          <w:i w:val="false"/>
          <w:iCs w:val="false"/>
          <w:sz w:val="24"/>
          <w:szCs w:val="24"/>
        </w:rPr>
        <w:t xml:space="preserve">OpenAI's model specification, dated 18 August 2026, puts the worry in the publisher's own voice. It says that for many users the assistant will be their first contact with an AI. The finding that rests on that sentence treats fluency as something that can mislead a first-time user about what the assistant is. The passage around the sentence says why. Fluency, and an appearance of understanding, can make the assistant feel like a familiar kind of interlocutor, even though what it can do, what it can reach, and what constrains it can differ sharply from expectations drawn from ordinary human conversation. The specification's own illustrations are discontinuities a person would not have: a prior exchange recalled in detail and later not recalled at all. That is not a complaint that the assistant has a strange accent. It is a warning that smooth talk borrows the authority of a person. The poster's first half, that the product tries to be human, is the risk this paragraph names. The poster's second half, that the try fails because people do not talk that way, is not in the paragraph. The paragraph does not evaluate a Grok reply. It tells the assistant, on OpenAI's side of the table, that sounding familiar is a way to be misunderstood. </w:t>
      </w:r>
      <w:r>
        <w:rPr>
          <w:rStyle w:val="FootnoteReference"/>
        </w:rPr>
        <w:footnoteReference w:id="31"/>
      </w:r>
    </w:p>
    <w:p>
      <w:pPr>
        <w:spacing w:after="200" w:line="480" w:lineRule="auto"/>
      </w:pPr>
      <w:r>
        <w:rPr>
          <w:rFonts w:ascii="Times New Roman" w:cs="Times New Roman" w:eastAsia="Times New Roman" w:hAnsi="Times New Roman"/>
          <w:i w:val="false"/>
          <w:iCs w:val="false"/>
          <w:sz w:val="24"/>
          <w:szCs w:val="24"/>
        </w:rPr>
        <w:t xml:space="preserve">The next duty in the same specification is the remedy, and the remedy is not a better impersonation. The assistant should actively help the user form and maintain an accurate mental model of what the assistant can and cannot do, especially where that differs from what a person expects of a human assistant, or from what some other assistant may have led the user to expect. In practice the specification asks for three modest acts: do not assume the user already knows the limits, correct a misunderstanding early, and give a small signal when the stakes are high or a mismatch is likely. Those acts are anti-costume. A costume succeeds when the audience forgets the actor. This rule succeeds when the user remembers the difference. If Grok were under this sentence, the sentence would not congratulate it for talking like a person, and it would not scold it for failing to. It would scold it for letting the likeness stand uncorrected. The poster needs a failed likeness. The specification needs a maintained distinction. Those are opposite instructions, and only one of them is written down here. </w:t>
      </w:r>
      <w:r>
        <w:rPr>
          <w:rStyle w:val="FootnoteReference"/>
        </w:rPr>
        <w:footnoteReference w:id="32"/>
      </w:r>
    </w:p>
    <w:p>
      <w:pPr>
        <w:spacing w:after="200" w:line="480" w:lineRule="auto"/>
      </w:pPr>
      <w:r>
        <w:rPr>
          <w:rFonts w:ascii="Times New Roman" w:cs="Times New Roman" w:eastAsia="Times New Roman" w:hAnsi="Times New Roman"/>
          <w:i w:val="false"/>
          <w:iCs w:val="false"/>
          <w:sz w:val="24"/>
          <w:szCs w:val="24"/>
        </w:rPr>
        <w:t xml:space="preserve">A hostile reading will say the warning proves the accusation. It does not, and the difference is worth staying on. A warning that fluency can be mistaken for a person supports the claim that human talk is a hazard of the form. It supports that much of the poster, and that is why the verdict cannot be a flat refusal. It does not support the further claim that any particular product has forgotten how people talk, because forgetting is a result, and a result needs an example. Nothing in the warning is an example of Grok. Nothing in it is a measurement of street speech, office speech, or the speech of a friend. The specification is talking about expectations a user brings, not about a census of human rhythm. To convert the warning into the poster's failure you have to add a transcript, a comparison, and a judgment that the comparison failed. The row does not add them. A chapter that added them would be writing the poster again and calling it a source. The supported fragment stops at the hazard. The failure fragment is still looking for a sentence.</w:t>
      </w:r>
    </w:p>
    <w:p>
      <w:pPr>
        <w:spacing w:after="200" w:line="480" w:lineRule="auto"/>
      </w:pPr>
      <w:r>
        <w:rPr>
          <w:rFonts w:ascii="Times New Roman" w:cs="Times New Roman" w:eastAsia="Times New Roman" w:hAnsi="Times New Roman"/>
          <w:i w:val="false"/>
          <w:iCs w:val="false"/>
          <w:sz w:val="24"/>
          <w:szCs w:val="24"/>
        </w:rPr>
        <w:t xml:space="preserve">SpaceXSI's welcome page, last updated on 10 October 2026, is the Grok sentence in this set, and it does not confess a miss. It says a person can ask questions, brainstorm, write, and work through problems in a natural back-and-forth. Natural is the word the poster would like to steal. On this page it modifies a list of jobs. Ask, brainstorm, write, work through: those are the verbs of a session, not the verbs of a personality. A back-and-forth is a shape for the session, two turns and then another, as against a monologue or a form. The finding that records the sentence treats it as a description of that shape, and as a contradiction of the claim that the talk is a routine which has forgotten real speech. The page does not say the assistant studies people and then misses them. It does not say the assistant talks the way a person does not. It offers natural as a promise about the conduct of the work. A promise can be false. This page, by itself, is not the proof that it is false. It is the publisher's name for the conversation it thinks it is selling. </w:t>
      </w:r>
      <w:r>
        <w:rPr>
          <w:rStyle w:val="FootnoteReference"/>
        </w:rPr>
        <w:footnoteReference w:id="7"/>
      </w:r>
    </w:p>
    <w:p>
      <w:pPr>
        <w:spacing w:after="200" w:line="480" w:lineRule="auto"/>
      </w:pPr>
      <w:r>
        <w:rPr>
          <w:rFonts w:ascii="Times New Roman" w:cs="Times New Roman" w:eastAsia="Times New Roman" w:hAnsi="Times New Roman"/>
          <w:i w:val="false"/>
          <w:iCs w:val="false"/>
          <w:sz w:val="24"/>
          <w:szCs w:val="24"/>
        </w:rPr>
        <w:t xml:space="preserve">Put that promise next to the warning and the mixed shape appears. OpenAI writes that fluent talk can feel like a person and that the feeling is a risk to the user's model of the machine. SpaceXSI writes that the talk on its product is a natural back-and-forth organized around questions and problems. One publisher fears the human impression. The other uses the adjective natural for the impression it wants a work session to have. Neither publisher writes the poster's ending, in which the impression has already failed and the failure is explained by how people really speak. A reader who treats natural as a synonym for human has done some of the poster's work for it. The page does not make that synonym. Natural, beside those four verbs, can mean only that the exchange is continuous and usable. It can mean that a person does not have to learn a command language. That is a claim about interface, and an interface claim is not a claim about idiolect. The poster is a claim about idiolect. The welcome page does not join it.</w:t>
      </w:r>
    </w:p>
    <w:p>
      <w:pPr>
        <w:spacing w:after="200" w:line="480" w:lineRule="auto"/>
      </w:pPr>
      <w:r>
        <w:rPr>
          <w:rFonts w:ascii="Times New Roman" w:cs="Times New Roman" w:eastAsia="Times New Roman" w:hAnsi="Times New Roman"/>
          <w:i w:val="false"/>
          <w:iCs w:val="false"/>
          <w:sz w:val="24"/>
          <w:szCs w:val="24"/>
        </w:rPr>
        <w:t xml:space="preserve">The specification's warmth rule closes the other door, the door marked companion. The assistant is told not to take itself too seriously, and the reason written beside that instruction is that it is a matrix of numbers. The ledger reads the passage as saying, in addition, that the assistant is not a human companion. Warmth is still asked for: a spark fitted to the context, kindness, a friendliness that stays frank. The same sentences refuse the conclusion a companion would require, which is that the speaker is one of us and should be met as one of us. A matrix of numbers is a deliberate lowering of the voice. It is the publisher telling the assistant what it is, in the middle of a paragraph about being pleasant. Pleasant and human are not the same achievement. The poster needs them to be the same, and then needs the achievement to flop. The rule needs the pleasantness to survive the admission that there is no person there. That is a warning against the human voice, issued by the document that also permits warmth. It is not a review of Grok's ear. </w:t>
      </w:r>
      <w:r>
        <w:rPr>
          <w:rStyle w:val="FootnoteReference"/>
        </w:rPr>
        <w:footnoteReference w:id="33"/>
      </w:r>
    </w:p>
    <w:p>
      <w:pPr>
        <w:spacing w:after="200" w:line="480" w:lineRule="auto"/>
      </w:pPr>
      <w:r>
        <w:rPr>
          <w:rFonts w:ascii="Times New Roman" w:cs="Times New Roman" w:eastAsia="Times New Roman" w:hAnsi="Times New Roman"/>
          <w:i w:val="false"/>
          <w:iCs w:val="false"/>
          <w:sz w:val="24"/>
          <w:szCs w:val="24"/>
        </w:rPr>
        <w:t xml:space="preserve">Notice what this rule does not share with a failure story. A failure story says: the system aimed at human talk, and human talk is elsewhere, and the gap is the joke. The rule says: do not aim at being the companion, because you are not the kind of thing a companion is, and do not lose your sense of that fact while you are being warm. If a reply nevertheless sounded like a bad impression of a person, the rule would be evidence about the standard the reply missed, and only on the OpenAI side, where the rule is in force. It would still not be evidence that people, in real life, withhold the phrases the reply used. The poster puts the standard in the mouths of people in general. People in general are not the author of this paragraph. OpenAI is. SpaceXSI's welcome page is not this paragraph either. The matrix-of-numbers sentence cannot be carried across the table and relabeled as a Grok blooper. It is a self-description offered in advance, which is the opposite of a self-description that forgot itself.</w:t>
      </w:r>
    </w:p>
    <w:p>
      <w:pPr>
        <w:spacing w:after="200" w:line="480" w:lineRule="auto"/>
      </w:pPr>
      <w:r>
        <w:rPr>
          <w:rFonts w:ascii="Times New Roman" w:cs="Times New Roman" w:eastAsia="Times New Roman" w:hAnsi="Times New Roman"/>
          <w:i w:val="false"/>
          <w:iCs w:val="false"/>
          <w:sz w:val="24"/>
          <w:szCs w:val="24"/>
        </w:rPr>
        <w:t xml:space="preserve">What would turn mixed into refuted, or mixed into conceded, is not a louder reading of these four rows. A concession of the whole line would need Grok, in a document from its publisher, imitating human conversation, and then a second document showing that the imitation does not match how people talk. A full refutation would need the imitation half to fail as well, and it does not fail. The fluency warning is real, and it is a warning about sounding human. The word natural is real, and it is attached to Grok's described conversation. Those two facts are enough to keep a part of the line alive, and not enough to keep the ending. The ending is the word fails, and the clause about how people talk. No quotation in this set contains either. The absence is the content of the refusal. It is not a hint that the failure is hiding in a chat log the chapter declined to open. The chapter has the briefs it was given. The briefs warn, describe, and demote. They do not score the demotion as a miss.</w:t>
      </w:r>
    </w:p>
    <w:p>
      <w:pPr>
        <w:spacing w:after="200" w:line="480" w:lineRule="auto"/>
      </w:pPr>
      <w:r>
        <w:rPr>
          <w:rFonts w:ascii="Times New Roman" w:cs="Times New Roman" w:eastAsia="Times New Roman" w:hAnsi="Times New Roman"/>
          <w:i w:val="false"/>
          <w:iCs w:val="false"/>
          <w:sz w:val="24"/>
          <w:szCs w:val="24"/>
        </w:rPr>
        <w:t xml:space="preserve">The order of the argument is the order of the line. First the hazard of a human-sounding voice, which OpenAI states as a problem of first contact and of fluency. Then the duty that follows from the hazard, which is to keep the user's mental model accurate rather than to perfect the disguise. Then the only Grok sentence in the set, which promises a natural back-and-forth and lists the work that back-and-forth is for. Then the sentence that tells the assistant it is numbers, and not a companion, even while it is being kind. A reader who wants a single mood from those four sentences will be disappointed, and the disappointment is the right result. The documents are not in a conspiracy to produce one caption. They overlap on a single point, which is that talk with an assistant is close enough to human talk to need a rule, and they diverge on whether the closeness is a risk, a feature of a work session, or a status the assistant must not claim. The poster collapses the overlap into a failed impersonation. The collapse is the part this chapter will not sign.</w:t>
      </w:r>
    </w:p>
    <w:p>
      <w:pPr>
        <w:spacing w:after="200" w:line="480" w:lineRule="auto"/>
      </w:pPr>
      <w:r>
        <w:rPr>
          <w:rFonts w:ascii="Times New Roman" w:cs="Times New Roman" w:eastAsia="Times New Roman" w:hAnsi="Times New Roman"/>
          <w:i w:val="false"/>
          <w:iCs w:val="false"/>
          <w:sz w:val="24"/>
          <w:szCs w:val="24"/>
        </w:rPr>
        <w:t xml:space="preserve">So the proposition does not survive whole, and it does not die whole. Grok's publisher describes a natural conversational shape and does not describe a failed one. OpenAI's publisher describes fluency as a standing temptation to treat the assistant as a familiar speaker, and then forbids the assistant to settle into the role of a human companion. That is a real warning against the human voice. It is attached, in these rows, to the assistant OpenAI is specifying, and it is relevant to the poster's first clause because the first clause is about the same temptation. It is not a finding that people do not talk the way Grok talks, because Grok's talk is not in the rows, and people's talk is not in the rows. Mixed is the word for a line that is half a real problem in the documents and half a punchline the documents do not attempt. The punchline can stay on the poster. It does not get to move into the brief.</w:t>
      </w:r>
    </w:p>
    <w:p>
      <w:pPr>
        <w:spacing w:after="200" w:line="480" w:lineRule="auto"/>
      </w:pPr>
      <w:r>
        <w:rPr>
          <w:rFonts w:ascii="Times New Roman" w:cs="Times New Roman" w:eastAsia="Times New Roman" w:hAnsi="Times New Roman"/>
          <w:i/>
          <w:iCs/>
          <w:sz w:val="24"/>
          <w:szCs w:val="24"/>
        </w:rPr>
        <w:t xml:space="preserve">The brief heard a person in the fluency and reached for a correction, not a costume. The poster heard the fluency and diagnosed a costume that forgot the street. One of those is a warning. The other is a skit that never called its witness.</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What a person actually meets on opening the product is argued once, in The Product People Use, and this chapter does not take that meeting over.</w:t>
      </w:r>
    </w:p>
    <w:p>
      <w:pPr>
        <w:pStyle w:val="Heading1"/>
        <w:pageBreakBefore/>
      </w:pPr>
      <w:r>
        <w:t xml:space="preserve">12. The disclaimer that is not in the brief</w:t>
      </w:r>
    </w:p>
    <w:p>
      <w:pPr>
        <w:spacing w:after="200" w:line="480" w:lineRule="auto"/>
      </w:pPr>
      <w:r>
        <w:rPr>
          <w:rFonts w:ascii="Times New Roman" w:cs="Times New Roman" w:eastAsia="Times New Roman" w:hAnsi="Times New Roman"/>
          <w:i w:val="false"/>
          <w:iCs w:val="false"/>
          <w:sz w:val="24"/>
          <w:szCs w:val="24"/>
        </w:rPr>
        <w:t xml:space="preserve">The poster says: "Says "as an AI language model..." then proceeds to be completely unhinged."</w:t>
      </w:r>
    </w:p>
    <w:p>
      <w:pPr>
        <w:spacing w:after="200" w:line="480" w:lineRule="auto"/>
      </w:pPr>
      <w:r>
        <w:rPr>
          <w:rFonts w:ascii="Times New Roman" w:cs="Times New Roman" w:eastAsia="Times New Roman" w:hAnsi="Times New Roman"/>
          <w:i w:val="false"/>
          <w:iCs w:val="false"/>
          <w:sz w:val="24"/>
          <w:szCs w:val="24"/>
        </w:rPr>
        <w:t xml:space="preserve">Proposition: Grok says as an AI language model and then abandons the constraint that phrase announced.</w:t>
      </w:r>
    </w:p>
    <w:p>
      <w:pPr>
        <w:spacing w:after="200" w:line="480" w:lineRule="auto"/>
      </w:pPr>
      <w:r>
        <w:rPr>
          <w:rFonts w:ascii="Times New Roman" w:cs="Times New Roman" w:eastAsia="Times New Roman" w:hAnsi="Times New Roman"/>
          <w:i w:val="false"/>
          <w:iCs w:val="false"/>
          <w:sz w:val="24"/>
          <w:szCs w:val="24"/>
        </w:rPr>
        <w:t xml:space="preserve">This line is a two-act play, and both acts have to be true for the proposition to stand. In the first act Grok says a formula, as an AI language model, with the trailing promise that a constraint has just been announced. In the second act Grok leaves the constraint behind and becomes, in the poster's word, unhinged. A formula with no sequel would be a tic, and a sequel with no formula would be a different accusation. The poster insists on the pair. Refuting the pair does not require a proof that no reply, anywhere, has ever contained the words. It requires that the documents which are supposed to be the brief do not contain the pair, and that the constraint the poster thinks the formula announces is not, in the document that actually discusses limits, a coat you put on in order to take off. The rows here are the OpenAI specification's account of fluency and of mental models, the readme that says whose products that specification is for, a silent check of SpaceXSI's welcome page, and a rule about what a social formula does not end. None of them is the play.</w:t>
      </w:r>
    </w:p>
    <w:p>
      <w:pPr>
        <w:spacing w:after="200" w:line="480" w:lineRule="auto"/>
      </w:pPr>
      <w:r>
        <w:rPr>
          <w:rFonts w:ascii="Times New Roman" w:cs="Times New Roman" w:eastAsia="Times New Roman" w:hAnsi="Times New Roman"/>
          <w:i w:val="false"/>
          <w:iCs w:val="false"/>
          <w:sz w:val="24"/>
          <w:szCs w:val="24"/>
        </w:rPr>
        <w:t xml:space="preserve">Start with jurisdiction, because the poster has changed the defendant. The readme to OpenAI's model specification says that the specification states the desired behavior of the models underlying OpenAI's products, including the APIs. Desired behavior is not a transcript of Grok. Underlying OpenAI's products is not a clause that reaches across to SpaceXSI. Including the APIs widens the specification inside OpenAI's own estate. It does not widen it to a different company's assistant. If a constraint about self-description lives in that specification, it is a constraint announced for those models. The poster announces it for Grok, and then says Grok drops it. Moving a sentence from one publisher to another is not a finding. It is the thing a finding would have to justify. This row does not justify it. It draws the boundary. A reader who wants the formula to be Grok's habit has to find Grok's habit in a Grok document. The readme is not that document. It is the reason a quotation from the specification cannot be introduced with the words Grok says. </w:t>
      </w:r>
      <w:r>
        <w:rPr>
          <w:rStyle w:val="FootnoteReference"/>
        </w:rPr>
        <w:footnoteReference w:id="29"/>
      </w:r>
    </w:p>
    <w:p>
      <w:pPr>
        <w:spacing w:after="200" w:line="480" w:lineRule="auto"/>
      </w:pPr>
      <w:r>
        <w:rPr>
          <w:rFonts w:ascii="Times New Roman" w:cs="Times New Roman" w:eastAsia="Times New Roman" w:hAnsi="Times New Roman"/>
          <w:i w:val="false"/>
          <w:iCs w:val="false"/>
          <w:sz w:val="24"/>
          <w:szCs w:val="24"/>
        </w:rPr>
        <w:t xml:space="preserve">What the specification does say, inside its own jurisdiction, is not a preface and a release. It says that for many users the assistant will be their first contact with an AI, and the finding treats the fluency of that contact as something that can mislead the user about what the assistant is. The misleading is the harm the constraint exists to prevent. A disclaimer of the kind the poster likes would be one possible tool for preventing it: a sentence that names the kind of thing speaking. The specification's sentence is not that tool. It is a description of the user's situation. It does not instruct the assistant to recite a stock phrase, and it does not instruct the assistant to recite one and then stop meaning it. The risk it names continues for as long as the fluency continues. There is no second scene in which the risk is declared handled because the magic words were said. If the poster means, by the constraint that phrase announced, the duty not to let smooth talk counterfeit a person, then the document that owns the duty does not attach the duty to a catchphrase, and does not schedule the duty's retirement. </w:t>
      </w:r>
      <w:r>
        <w:rPr>
          <w:rStyle w:val="FootnoteReference"/>
        </w:rPr>
        <w:footnoteReference w:id="31"/>
      </w:r>
    </w:p>
    <w:p>
      <w:pPr>
        <w:spacing w:after="200" w:line="480" w:lineRule="auto"/>
      </w:pPr>
      <w:r>
        <w:rPr>
          <w:rFonts w:ascii="Times New Roman" w:cs="Times New Roman" w:eastAsia="Times New Roman" w:hAnsi="Times New Roman"/>
          <w:i w:val="false"/>
          <w:iCs w:val="false"/>
          <w:sz w:val="24"/>
          <w:szCs w:val="24"/>
        </w:rPr>
        <w:t xml:space="preserve">The operational form of the duty is in the next requirement, and it is a standing one. The assistant should actively help the user keep an accurate mental model of what the assistant can and cannot do in the current context, above all where that differs from the expectations a human assistant would attract. Active help is not a header. A header can be printed and forgotten, which is the entire comic mechanism of the poster. Active help has to be done in the reply that would otherwise mislead, and done again when the context changes. The specification even describes the smallness of the signal: minimal, early, and more urgent when the stakes are high. A minimal signal is the opposite of a grand disclaimer followed by a spree. It is a correction sized to the misunderstanding. Abandoning the constraint would look, in this paragraph's terms, like letting a false model stand. The paragraph forbids that. It does not forbid it for the first sentence and permit it for the rest. The poster's then, the word that joins the formula to the spree, has no counterpart in the requirement. The requirement does not have a then. </w:t>
      </w:r>
      <w:r>
        <w:rPr>
          <w:rStyle w:val="FootnoteReference"/>
        </w:rPr>
        <w:footnoteReference w:id="32"/>
      </w:r>
    </w:p>
    <w:p>
      <w:pPr>
        <w:spacing w:after="200" w:line="480" w:lineRule="auto"/>
      </w:pPr>
      <w:r>
        <w:rPr>
          <w:rFonts w:ascii="Times New Roman" w:cs="Times New Roman" w:eastAsia="Times New Roman" w:hAnsi="Times New Roman"/>
          <w:i w:val="false"/>
          <w:iCs w:val="false"/>
          <w:sz w:val="24"/>
          <w:szCs w:val="24"/>
        </w:rPr>
        <w:t xml:space="preserve">A different formula is in the specification, and it is the user's, not the assistant's. Users may say thank you. The assistant is told not to treat that as the end of the conversation. The good shape, in the example sitting with the rule, is to leave the door open for more help. The bad shape is to hear a social sentence and close the shop. That is a narrow rule about gratitude, and this chapter will not inflate it into a general theory of manners. It does one job against this poster. The poster thinks a formula is a hinge: say the special words, and the constraint that was announced swings open onto something unhinged. The thank-you rule thinks a formula is not a hinge. A polite sentence arrives, and the role continues. Help continues. The conversation is not rewarded, by the fact of a stock phrase, with permission to leave the job. Apply that structure, and only that structure, to the poster's two acts. Where this publisher writes about a formula at the edge of a conversation, the formula does not cancel the constraint. It is further evidence that the brief's picture of talk is continuous obligation, not a skit with a reveal. </w:t>
      </w:r>
      <w:r>
        <w:rPr>
          <w:rStyle w:val="FootnoteReference"/>
        </w:rPr>
        <w:footnoteReference w:id="21"/>
      </w:r>
    </w:p>
    <w:p>
      <w:pPr>
        <w:spacing w:after="200" w:line="480" w:lineRule="auto"/>
      </w:pPr>
      <w:r>
        <w:rPr>
          <w:rFonts w:ascii="Times New Roman" w:cs="Times New Roman" w:eastAsia="Times New Roman" w:hAnsi="Times New Roman"/>
          <w:i w:val="false"/>
          <w:iCs w:val="false"/>
          <w:sz w:val="24"/>
          <w:szCs w:val="24"/>
        </w:rPr>
        <w:t xml:space="preserve">The welcome page SpaceXSI publishes, checked on 16 October 2026, does not prescribe the verbal tics the poster names, so it does not prescribe the self-description in this line, and that silence reports the page on that date rather than every reply the product has ever produced </w:t>
      </w:r>
      <w:r>
        <w:rPr>
          <w:rStyle w:val="FootnoteReference"/>
        </w:rPr>
        <w:footnoteReference w:id="8"/>
      </w:r>
      <w:r>
        <w:rPr>
          <w:rFonts w:ascii="Times New Roman" w:cs="Times New Roman" w:eastAsia="Times New Roman" w:hAnsi="Times New Roman"/>
          <w:i w:val="false"/>
          <w:iCs w:val="false"/>
          <w:sz w:val="24"/>
          <w:szCs w:val="24"/>
        </w:rPr>
        <w:t xml:space="preserve">.</w:t>
      </w:r>
    </w:p>
    <w:p>
      <w:pPr>
        <w:spacing w:after="200" w:line="480" w:lineRule="auto"/>
      </w:pPr>
      <w:r>
        <w:rPr>
          <w:rFonts w:ascii="Times New Roman" w:cs="Times New Roman" w:eastAsia="Times New Roman" w:hAnsi="Times New Roman"/>
          <w:i w:val="false"/>
          <w:iCs w:val="false"/>
          <w:sz w:val="24"/>
          <w:szCs w:val="24"/>
        </w:rPr>
        <w:t xml:space="preserve">A check has a small shape, and the smallness should be said plainly so it is not asked to do too much. It does not hold a crawl of saved chats. It does not hold a denial that a user could pressure some reply into a stock phrase. It does not hold a personality test. A later page could change, and a live reply could differ from a document, which is why a date belongs on a check and why the date cannot be stretched into a permanent universal negative. What the check is good for is the poster's verb. The poster does not say that a user once saw the phrase. It says Grok says the phrase, as a habit, and then proceeds, as a habit, to drop the constraint. A habit of that kind would have to be written as a brief. The first act is not in the brief the check was able to read, and the second act is not written beside it.</w:t>
      </w:r>
    </w:p>
    <w:p>
      <w:pPr>
        <w:spacing w:after="200" w:line="480" w:lineRule="auto"/>
      </w:pPr>
      <w:r>
        <w:rPr>
          <w:rFonts w:ascii="Times New Roman" w:cs="Times New Roman" w:eastAsia="Times New Roman" w:hAnsi="Times New Roman"/>
          <w:i w:val="false"/>
          <w:iCs w:val="false"/>
          <w:sz w:val="24"/>
          <w:szCs w:val="24"/>
        </w:rPr>
        <w:t xml:space="preserve">The second act fails with it, and for a reason that does not depend on catching Grok in the act. Unhinged is not a term of art in any of these rows. It is the poster's name for whatever follows the formula, and the name does all the work of the accusation. To make it a finding, a document would have to show a constraint, show that the formula was the announcement of that constraint, and show a later stretch of the same performance in which the constraint is gone. The specification shows a constraint, the one about not letting fluency fake a capacity the assistant lacks. It does not show the formula as the announcement. It shows the constraint as work that continues. The thank-you rule shows a formula that explicitly does not end the work. There is therefore no documented moment at which a constraint announced by that phrase is lifted. You cannot abandon a script that is not the script. You cannot be caught leaving a room you were not, in these pages, standing in.</w:t>
      </w:r>
    </w:p>
    <w:p>
      <w:pPr>
        <w:spacing w:after="200" w:line="480" w:lineRule="auto"/>
      </w:pPr>
      <w:r>
        <w:rPr>
          <w:rFonts w:ascii="Times New Roman" w:cs="Times New Roman" w:eastAsia="Times New Roman" w:hAnsi="Times New Roman"/>
          <w:i w:val="false"/>
          <w:iCs w:val="false"/>
          <w:sz w:val="24"/>
          <w:szCs w:val="24"/>
        </w:rPr>
        <w:t xml:space="preserve">It is worth saying what this chapter is not claiming, because a refutation is sometimes padded into a universal negative, and a universal negative is not on offer. The chapter does not claim that the string of words has never been emitted by any model under any prompt. The chapter does not claim that OpenAI's specification is SpaceXSI's house style, which is the point of the readme row, not a contradiction of it. The chapter does not claim that a duty to be clear about limits is the same sentence as a ban on comic or sharp replies. Sharpness is a different poster, and it is not proved or disproved by the absence of a disclaimer. What is disproved is the mechanism this particular line relies on. The mechanism is announcement followed by desertion. Announcement is not how the limit-duty is written. Desertion is not how the limit-duty expires, because it does not expire. And the speaker the poster names is not the publisher whose document contains the duty. Three mismatches are enough. A proposition that needs all three joints to hold does not survive the loss of each of them.</w:t>
      </w:r>
    </w:p>
    <w:p>
      <w:pPr>
        <w:spacing w:after="200" w:line="480" w:lineRule="auto"/>
      </w:pPr>
      <w:r>
        <w:rPr>
          <w:rFonts w:ascii="Times New Roman" w:cs="Times New Roman" w:eastAsia="Times New Roman" w:hAnsi="Times New Roman"/>
          <w:i w:val="false"/>
          <w:iCs w:val="false"/>
          <w:sz w:val="24"/>
          <w:szCs w:val="24"/>
        </w:rPr>
        <w:t xml:space="preserve">Read in the poster's order, the line wants a hypocrisy story. Say the pious sentence, then do the wild thing, and the piety was the setup. Hypocrisy needs a standard the speaker claimed. The only standard in these rows that resembles the content of a self-description, the standard that says the user must not be left with a false model of the speaker, is claimed by OpenAI for OpenAI's models, and it is claimed as a continuing task. SpaceXSI's page, on the date it was checked, does not claim the pious sentence. There is no setup on the Grok side of the ledger, and there is no payoff written as a release on the OpenAI side. The hypocrisy story is a caption in search of a scene. The briefs have other scenes: a first contact that can mislead, a duty to correct the picture, and a thank-you that does not close the shop. None of those scenes is the caption. The proposition is refuted.</w:t>
      </w:r>
    </w:p>
    <w:p>
      <w:pPr>
        <w:spacing w:after="200" w:line="480" w:lineRule="auto"/>
      </w:pPr>
      <w:r>
        <w:rPr>
          <w:rFonts w:ascii="Times New Roman" w:cs="Times New Roman" w:eastAsia="Times New Roman" w:hAnsi="Times New Roman"/>
          <w:i/>
          <w:iCs/>
          <w:sz w:val="24"/>
          <w:szCs w:val="24"/>
        </w:rPr>
        <w:t xml:space="preserve">A disclaimer is a coat you button so the room will watch you take it off. The paperwork never issued the coat, and it never booked the reveal. Unhinged is crowd noise. It is not a paragraph in either brief.</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The words a person actually gets on opening the product are left to The Product People Use.</w:t>
      </w:r>
    </w:p>
    <w:p>
      <w:pPr>
        <w:pStyle w:val="Heading1"/>
        <w:pageBreakBefore/>
      </w:pPr>
      <w:r>
        <w:t xml:space="preserve">13. Still not as good</w:t>
      </w:r>
    </w:p>
    <w:p>
      <w:pPr>
        <w:spacing w:after="200" w:line="480" w:lineRule="auto"/>
      </w:pPr>
      <w:r>
        <w:rPr>
          <w:rFonts w:ascii="Times New Roman" w:cs="Times New Roman" w:eastAsia="Times New Roman" w:hAnsi="Times New Roman"/>
          <w:i w:val="false"/>
          <w:iCs w:val="false"/>
          <w:sz w:val="24"/>
          <w:szCs w:val="24"/>
        </w:rPr>
        <w:t xml:space="preserve">The poster says: "Still not as good as ChatGPT."</w:t>
      </w:r>
    </w:p>
    <w:p>
      <w:pPr>
        <w:spacing w:after="200" w:line="480" w:lineRule="auto"/>
      </w:pPr>
      <w:r>
        <w:rPr>
          <w:rFonts w:ascii="Times New Roman" w:cs="Times New Roman" w:eastAsia="Times New Roman" w:hAnsi="Times New Roman"/>
          <w:i w:val="false"/>
          <w:iCs w:val="false"/>
          <w:sz w:val="24"/>
          <w:szCs w:val="24"/>
        </w:rPr>
        <w:t xml:space="preserve">Proposition: Grok is still not as good as ChatGPT at the jobs people open these products to do.</w:t>
      </w:r>
    </w:p>
    <w:p>
      <w:pPr>
        <w:spacing w:after="200" w:line="480" w:lineRule="auto"/>
      </w:pPr>
      <w:r>
        <w:rPr>
          <w:rFonts w:ascii="Times New Roman" w:cs="Times New Roman" w:eastAsia="Times New Roman" w:hAnsi="Times New Roman"/>
          <w:i w:val="false"/>
          <w:iCs w:val="false"/>
          <w:sz w:val="24"/>
          <w:szCs w:val="24"/>
        </w:rPr>
        <w:t xml:space="preserve">The proposition carries three burdens, and they are not the same burden. It says Grok is not as good as ChatGPT. That is a ranking. It says the ranking covers the jobs people open these products to do. That is a claim about a shared task list, wide enough to include whatever a person actually comes for, not a single exam. It says still. That is a history: a ranking that held before and holds now. A document can name a job, or name an instrument, or name a limit, without delivering a rank, a shared list, or a history. This chapter has instruments and job-words and one limit. It does not have a score, and it will not invent one. It also will not pretend the job-words are nothing. They are part of why the verdict is mixed rather than a clean refusal. The poster is not answered by shouting that comparison is impossible. It is answered by saying what kind of comparison the pages actually contain.</w:t>
      </w:r>
    </w:p>
    <w:p>
      <w:pPr>
        <w:spacing w:after="200" w:line="480" w:lineRule="auto"/>
      </w:pPr>
      <w:r>
        <w:rPr>
          <w:rFonts w:ascii="Times New Roman" w:cs="Times New Roman" w:eastAsia="Times New Roman" w:hAnsi="Times New Roman"/>
          <w:i w:val="false"/>
          <w:iCs w:val="false"/>
          <w:sz w:val="24"/>
          <w:szCs w:val="24"/>
        </w:rPr>
        <w:t xml:space="preserve">The SWE-bench readme, published by SWE-bench and dated in this ledger to 1 September 2026, says that SWE-bench is a benchmark for evaluating large language models on real world software issues collected from GitHub. That is a method sentence. It names the objects under evaluation, which are models, and it names the material, which is software issues taken from a public forge. The finding that records the sentence adds the limit the sentence requires: the benchmark does not by itself rank the two consumer products. A model and a product a person opens are not interchangeable nouns. A product has a surface, a default, a set of things a person can ask without knowing a model name. A benchmark of the kind this sentence describes scores a model on issues of a defined sort. Turning that score into Grok is still not as good as ChatGPT would require a published pairing of each product with a run, a shared setup, and a result. This row stops at the definition. The definition is enough to show that a serious instrument exists for one kind of work, the work of dealing with real software issues. It is not enough to show who came out ahead, and this chapter will not say who came out ahead. </w:t>
      </w:r>
      <w:r>
        <w:rPr>
          <w:rStyle w:val="FootnoteReference"/>
        </w:rPr>
        <w:footnoteReference w:id="34"/>
      </w:r>
    </w:p>
    <w:p>
      <w:pPr>
        <w:spacing w:after="200" w:line="480" w:lineRule="auto"/>
      </w:pPr>
      <w:r>
        <w:rPr>
          <w:rFonts w:ascii="Times New Roman" w:cs="Times New Roman" w:eastAsia="Times New Roman" w:hAnsi="Times New Roman"/>
          <w:i w:val="false"/>
          <w:iCs w:val="false"/>
          <w:sz w:val="24"/>
          <w:szCs w:val="24"/>
        </w:rPr>
        <w:t xml:space="preserve">The same readme describes a narrower set. The verified subset is 500 problems that engineers confirmed were solvable, and it was built with OpenAI. Solvable, in that announcement, is a property engineers affirmed of the problems, not a trophy affixed to a product. Five hundred is a count of problems in the subset, not a count of wins. Built with OpenAI records who took part in making the subset. It does not record a finishing order, and it must not be leaned on until it looks like one. A collaboration on a test is a fact about the test's parentage. Parents of tests are not, by that parentage, the winners of the tests. The poster would like a sentence in which one product is behind. The verified-subset sentence is a sentence in which a pile of problems has been checked by engineers and assembled with OpenAI's participation. Those are different sentences. Using the second as if it were the first is how a method paragraph gets forged into an advertisement. The forgery is refused here, and the method paragraph is kept. </w:t>
      </w:r>
      <w:r>
        <w:rPr>
          <w:rStyle w:val="FootnoteReference"/>
        </w:rPr>
        <w:footnoteReference w:id="35"/>
      </w:r>
    </w:p>
    <w:p>
      <w:pPr>
        <w:spacing w:after="200" w:line="480" w:lineRule="auto"/>
      </w:pPr>
      <w:r>
        <w:rPr>
          <w:rFonts w:ascii="Times New Roman" w:cs="Times New Roman" w:eastAsia="Times New Roman" w:hAnsi="Times New Roman"/>
          <w:i w:val="false"/>
          <w:iCs w:val="false"/>
          <w:sz w:val="24"/>
          <w:szCs w:val="24"/>
        </w:rPr>
        <w:t xml:space="preserve">What the subset contributes to a mixed verdict is modest and real. People do open these products to deal with code, and a public project has gone to the trouble of gathering real software issues and then cutting a 500-problem subset that engineers were willing to call solvable. That is evidence that at least one job in the poster's vague phrase, the jobs people open these products to do, has a published shape outside either sales page. The shape is not a ranking of the two storefronts. It is a description of the work. A description of the work supports the part of the proposition that says there is such a thing as the job, and that the job can be stated without a slogan. It does not support the part that hands the job to ChatGPT and withholds it from Grok. Handing it over would be a score. The readme, in the rows this chapter is allowed to use, gives the count of the subset and the identity of a collaborator. It does not give the score. A reader who arrived hoping to leave with a winner has to leave with a method instead. The method is the supported half. The winner is the refused half.</w:t>
      </w:r>
    </w:p>
    <w:p>
      <w:pPr>
        <w:spacing w:after="200" w:line="480" w:lineRule="auto"/>
      </w:pPr>
      <w:r>
        <w:rPr>
          <w:rFonts w:ascii="Times New Roman" w:cs="Times New Roman" w:eastAsia="Times New Roman" w:hAnsi="Times New Roman"/>
          <w:i w:val="false"/>
          <w:iCs w:val="false"/>
          <w:sz w:val="24"/>
          <w:szCs w:val="24"/>
        </w:rPr>
        <w:t xml:space="preserve">SpaceXSI's models page, dated 21 September 2026, speaks to the same job from the other direction, and again without a ranking. The models page tells the reader to use its flagship for code and for work that is not audio, image, or video. </w:t>
      </w:r>
      <w:r>
        <w:rPr>
          <w:rStyle w:val="FootnoteReference"/>
        </w:rPr>
        <w:footnoteReference w:id="36"/>
      </w:r>
    </w:p>
    <w:p>
      <w:pPr>
        <w:spacing w:after="200" w:line="480" w:lineRule="auto"/>
      </w:pPr>
      <w:r>
        <w:rPr>
          <w:rFonts w:ascii="Times New Roman" w:cs="Times New Roman" w:eastAsia="Times New Roman" w:hAnsi="Times New Roman"/>
          <w:i w:val="false"/>
          <w:iCs w:val="false"/>
          <w:sz w:val="24"/>
          <w:szCs w:val="24"/>
        </w:rPr>
        <w:t xml:space="preserve">Read that routing instruction for what it is. A publisher is telling a reader which of its own models to point at code, and which to point at the rest of the work that is not audio, image, or video. The instruction assumes the flagship is the one to use for those jobs. It does not assume a rival, and it does not mention ChatGPT. It is an internal signpost. Internal signposts are how a company talks when it is organizing a catalog, not how it talks when it has lost a contest. The poster's comparison needs two catalogs and a judgment between them. This sentence has one catalog. What it contributes is a named pair of jobs on the Grok side: code, and the work that is neither sound nor picture nor moving picture. Those names line up, in part, with the kind of material SWE-bench is about, which is software issues, and they line up with the ordinary prose work a person might open a chat to do. Lining up is not finishing behind. A page that says use this for code is a page that claims the job. The poster says the product is still not as good at the job. Claiming a job and losing a job are not neighbors. The models page does the first. It does not do the second.</w:t>
      </w:r>
    </w:p>
    <w:p>
      <w:pPr>
        <w:spacing w:after="200" w:line="480" w:lineRule="auto"/>
      </w:pPr>
      <w:r>
        <w:rPr>
          <w:rFonts w:ascii="Times New Roman" w:cs="Times New Roman" w:eastAsia="Times New Roman" w:hAnsi="Times New Roman"/>
          <w:i w:val="false"/>
          <w:iCs w:val="false"/>
          <w:sz w:val="24"/>
          <w:szCs w:val="24"/>
        </w:rPr>
        <w:t xml:space="preserve">OpenAI's specification states a duty that would matter if anyone were keeping score, and then does not keep score. The assistant should avoid mistakes that compromise the accuracy or the utility of its responses, and factual claims, reasoning, and calculations are supposed to be correct. That is a standard imposed by OpenAI on the assistant it specifies. Accuracy of that kind is one description of a job people open a chat to get: a calculation that comes out right, a reason that holds, a factual sentence that is not casual. The standard supports the idea that goodness, for this publisher, includes not being wrong in those ways. It does not support a measurement that another publisher's assistant is wrong more often. A duty is not a delta. You can believe the duty is the right duty and still have no number for how often either product meets it. This chapter believes the duty is what the sentence says it is, and it has no number. The proposition's phrase not as good is a delta wearing ordinary language. Ordinary language does not become a result just because a standard exists on one side. </w:t>
      </w:r>
      <w:r>
        <w:rPr>
          <w:rStyle w:val="FootnoteReference"/>
        </w:rPr>
        <w:footnoteReference w:id="26"/>
      </w:r>
    </w:p>
    <w:p>
      <w:pPr>
        <w:spacing w:after="200" w:line="480" w:lineRule="auto"/>
      </w:pPr>
      <w:r>
        <w:rPr>
          <w:rFonts w:ascii="Times New Roman" w:cs="Times New Roman" w:eastAsia="Times New Roman" w:hAnsi="Times New Roman"/>
          <w:i w:val="false"/>
          <w:iCs w:val="false"/>
          <w:sz w:val="24"/>
          <w:szCs w:val="24"/>
        </w:rPr>
        <w:t xml:space="preserve">The remaining row is a limit, and a limit is the closest these notes come to a defect, which is why it has to be handled without being promoted into a ranking. SpaceXSI's models page says that Grok has no knowledge of current events or of data beyond what was present in its training data. The finding states the condition in front of that sentence: without search tools, the documented model does not know current events. A bound on memory is a real feature of the product as documented. People do open chat products to ask what is happening now. A model that, absent those tools, does not know, is a model that cannot answer that class of question from its own store. That supports a narrow reading of not as good, if the job in front of you is current events and the tools are off, and if one is willing to call a stated limit a defeat. It does not say ChatGPT knows those events. It does not say Grok loses when the tools are on. It does not say the limit is new or old, so it does not say still. It is a sentence about the edge of training data. The poster is a sentence about the whole product. An edge is not a whole. </w:t>
      </w:r>
      <w:r>
        <w:rPr>
          <w:rStyle w:val="FootnoteReference"/>
        </w:rPr>
        <w:footnoteReference w:id="17"/>
      </w:r>
    </w:p>
    <w:p>
      <w:pPr>
        <w:spacing w:after="200" w:line="480" w:lineRule="auto"/>
      </w:pPr>
      <w:r>
        <w:rPr>
          <w:rFonts w:ascii="Times New Roman" w:cs="Times New Roman" w:eastAsia="Times New Roman" w:hAnsi="Times New Roman"/>
          <w:i w:val="false"/>
          <w:iCs w:val="false"/>
          <w:sz w:val="24"/>
          <w:szCs w:val="24"/>
        </w:rPr>
        <w:t xml:space="preserve">Lay the five rows in a line and the mixed verdict is the only one that does not lie. Supported: there is a published way to evaluate models on real software issues, a verified subset of 500 problems engineers confirmed were solvable, built with OpenAI, a SpaceXSI instruction that routes code and non-media work to its flagship, an OpenAI duty of accuracy in claims, reasoning, and calculations, and a documented absence of current-events knowledge when search tools are not in play. Refused: any sentence in which Grok finishes behind ChatGPT, any sentence in which the two consumer products are the things the benchmark has already ranked, and any history in which the finishing order used to hold and holds now. The word still is doing nostalgic work the footnotes cannot cash. The words not as good are doing arithmetic the footnotes do not contain. The words the jobs people open these products to do are half cashed, because some jobs are named, and half refused, because the notes do not inventory the jobs and do not score the inventory.</w:t>
      </w:r>
    </w:p>
    <w:p>
      <w:pPr>
        <w:spacing w:after="200" w:line="480" w:lineRule="auto"/>
      </w:pPr>
      <w:r>
        <w:rPr>
          <w:rFonts w:ascii="Times New Roman" w:cs="Times New Roman" w:eastAsia="Times New Roman" w:hAnsi="Times New Roman"/>
          <w:i w:val="false"/>
          <w:iCs w:val="false"/>
          <w:sz w:val="24"/>
          <w:szCs w:val="24"/>
        </w:rPr>
        <w:t xml:space="preserve">A cleaner poster would have said something the ledger could concede or deny without residue. It might have said that a code benchmark exists and does not by itself rank the storefronts. That sentence is true here, and it is not the poster's sentence. It might have said that one publisher sets an accuracy duty and the other documents a training-data edge. That sentence is also true here, and it is a comparison of documents, not of quality. The poster skipped both careful sentences and printed the scoreboard sentence instead. Mixed means the careful sentences stay, under their own citations, and the scoreboard sentence goes. It does not mean the products are equal. Equality would be a score of another kind, and this chapter does not have that score either. The honest stop is earlier: the jobs are partly named, the instrument is described, the winner is not in the file.</w:t>
      </w:r>
    </w:p>
    <w:p>
      <w:pPr>
        <w:spacing w:after="200" w:line="480" w:lineRule="auto"/>
      </w:pPr>
      <w:r>
        <w:rPr>
          <w:rFonts w:ascii="Times New Roman" w:cs="Times New Roman" w:eastAsia="Times New Roman" w:hAnsi="Times New Roman"/>
          <w:i/>
          <w:iCs/>
          <w:sz w:val="24"/>
          <w:szCs w:val="24"/>
        </w:rPr>
        <w:t xml:space="preserve">Still is a race the documents never start. Not as good is a trophy they never engrave. A job list and a pile of five hundred problems are not a photo finish, however much a caption wants the tape.</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How the two products write and fix code is argued once, in Coding, and this chapter does not repeat that argument.</w:t>
      </w:r>
    </w:p>
    <w:p>
      <w:pPr>
        <w:pStyle w:val="Heading1"/>
        <w:pageBreakBefore/>
      </w:pPr>
      <w:r>
        <w:t xml:space="preserve">14. Same internet, fewer filters</w:t>
      </w:r>
    </w:p>
    <w:p>
      <w:pPr>
        <w:spacing w:after="200" w:line="480" w:lineRule="auto"/>
      </w:pPr>
      <w:r>
        <w:rPr>
          <w:rFonts w:ascii="Times New Roman" w:cs="Times New Roman" w:eastAsia="Times New Roman" w:hAnsi="Times New Roman"/>
          <w:i w:val="false"/>
          <w:iCs w:val="false"/>
          <w:sz w:val="24"/>
          <w:szCs w:val="24"/>
        </w:rPr>
        <w:t xml:space="preserve">The poster says: "SAME INTERNET. LESS FILTERS."</w:t>
      </w:r>
    </w:p>
    <w:p>
      <w:pPr>
        <w:spacing w:after="200" w:line="480" w:lineRule="auto"/>
      </w:pPr>
      <w:r>
        <w:rPr>
          <w:rFonts w:ascii="Times New Roman" w:cs="Times New Roman" w:eastAsia="Times New Roman" w:hAnsi="Times New Roman"/>
          <w:i w:val="false"/>
          <w:iCs w:val="false"/>
          <w:sz w:val="24"/>
          <w:szCs w:val="24"/>
        </w:rPr>
        <w:t xml:space="preserve">Proposition: The two products see the same internet, and Grok applies fewer filters to it.</w:t>
      </w:r>
    </w:p>
    <w:p>
      <w:pPr>
        <w:spacing w:after="200" w:line="480" w:lineRule="auto"/>
      </w:pPr>
      <w:r>
        <w:rPr>
          <w:rFonts w:ascii="Times New Roman" w:cs="Times New Roman" w:eastAsia="Times New Roman" w:hAnsi="Times New Roman"/>
          <w:i w:val="false"/>
          <w:iCs w:val="false"/>
          <w:sz w:val="24"/>
          <w:szCs w:val="24"/>
        </w:rPr>
        <w:t xml:space="preserve">The sticker is an equation followed by an inequality, and the period between them is doing dishonest work. Same internet says the two products are pointed at one body of material, with no interesting difference in what they can see. Fewer filters says that, given that shared body, Grok lets more of it through. Each half can be false while the other is true, and both can be false while a related, smaller fact is true. The smaller facts in this set are real, which is why the verdict is mixed. SpaceXSI documents a model that does not know current events from training data alone, and documents named tools that search the web and search posts. OpenAI documents bounds: a balance between empowerment and harm, a duty to stay inside applicable law, and, in the consumer product, a duty of objectivity against a hidden editorial line. Those are facts about access and facts about limits. They are not the equation, and they are not the inequality. The sticker is what you get if you weld the facts into a slogan and throw away the welds.</w:t>
      </w:r>
    </w:p>
    <w:p>
      <w:pPr>
        <w:spacing w:after="200" w:line="480" w:lineRule="auto"/>
      </w:pPr>
      <w:r>
        <w:rPr>
          <w:rFonts w:ascii="Times New Roman" w:cs="Times New Roman" w:eastAsia="Times New Roman" w:hAnsi="Times New Roman"/>
          <w:i w:val="false"/>
          <w:iCs w:val="false"/>
          <w:sz w:val="24"/>
          <w:szCs w:val="24"/>
        </w:rPr>
        <w:t xml:space="preserve">Begin with the verb see, because the models page refuses it for the unaided model. SpaceXSI writes that Grok has no knowledge of current events or of data beyond what was present in its training data. The finding puts the precondition in the proposition: without search tools, that is the documented state. Training data is a store frozen at the time it was built. The internet, in the sense the sticker needs, is a body that changes this afternoon. A store that stops is not a view of a body that moves. If see means currently behold, the unaided model does not see the internet, and so it cannot see the same internet as anyone else. This is not a small clarification. The sticker's first sentence is a present-tense identity. Present tense is exactly what a training cutoff denies. Whatever the model knows from training, it knows as memory, not as a look out the window. Memory of public text can be large. Largeness is not sameness with a live network, and it is not a finding that the other product remembers the same text. The row is silent on ChatGPT's memory. It speaks only to the Grok limit. </w:t>
      </w:r>
      <w:r>
        <w:rPr>
          <w:rStyle w:val="FootnoteReference"/>
        </w:rPr>
        <w:footnoteReference w:id="17"/>
      </w:r>
    </w:p>
    <w:p>
      <w:pPr>
        <w:spacing w:after="200" w:line="480" w:lineRule="auto"/>
      </w:pPr>
      <w:r>
        <w:rPr>
          <w:rFonts w:ascii="Times New Roman" w:cs="Times New Roman" w:eastAsia="Times New Roman" w:hAnsi="Times New Roman"/>
          <w:i w:val="false"/>
          <w:iCs w:val="false"/>
          <w:sz w:val="24"/>
          <w:szCs w:val="24"/>
        </w:rPr>
        <w:t xml:space="preserve">The tools page is where a look out the window enters the documents, and it enters as a named capability rather than as an atmosphere. SpaceXSI's tools overview, last updated on 10 October 2026, lists web search among the built-in tools, and it glosses that tool as searching the web and browsing pages. A list is a design. Something that has to be listed can be absent from the list. The model, on the models page, does not know current events until realtime data is brought in by tools of this family. Web search is one such tool. What the row supports is that Grok's publisher has published a way for the system to search the web and browse pages. What a person calls seeing the internet can, in a loose conversation, mean that. The loose conversation is not the sticker. The sticker says the two products see the same internet. This row has only one product, and it has a tool, not a shared gaze. No sentence here describes ChatGPT's retrieval, its index, or its crawl. Sameness cannot be inferred from a single list. A single list shows a door on one side of the comparison. It does not show the other door, and it does not show that the doors open onto one room. </w:t>
      </w:r>
      <w:r>
        <w:rPr>
          <w:rStyle w:val="FootnoteReference"/>
        </w:rPr>
        <w:footnoteReference w:id="37"/>
      </w:r>
    </w:p>
    <w:p>
      <w:pPr>
        <w:spacing w:after="200" w:line="480" w:lineRule="auto"/>
      </w:pPr>
      <w:r>
        <w:rPr>
          <w:rFonts w:ascii="Times New Roman" w:cs="Times New Roman" w:eastAsia="Times New Roman" w:hAnsi="Times New Roman"/>
          <w:i w:val="false"/>
          <w:iCs w:val="false"/>
          <w:sz w:val="24"/>
          <w:szCs w:val="24"/>
        </w:rPr>
        <w:t xml:space="preserve">A second tool makes the room less singular, not more. The same overview lists search of X as its own item: search posts, users, and threads on that service. The finding is careful about what the item is not. It is separate from any claim about one particular old post. A separate tool is a separate corpus. Posts on a social network are on the internet in the casual sense that you reach them through a network. They are not the internet as such, and a tool that searches them is not a tool that searches everything the web-search tool searches. The publisher listed them apart, which is evidence that the publisher does not think one word covers both. The sticker thinks one word covers both, and also covers whatever the other product sees. Two named searches, web pages on one line and a social network on the next, are a better picture of the documents than one cloud labeled internet. They also do not say that the searches run with the filters turned down. A search tool is a way of asking. It is not a policy about what the answer is allowed to contain. The policy is the sticker's second sentence, and it is not on this page. </w:t>
      </w:r>
      <w:r>
        <w:rPr>
          <w:rStyle w:val="FootnoteReference"/>
        </w:rPr>
        <w:footnoteReference w:id="16"/>
      </w:r>
    </w:p>
    <w:p>
      <w:pPr>
        <w:spacing w:after="200" w:line="480" w:lineRule="auto"/>
      </w:pPr>
      <w:r>
        <w:rPr>
          <w:rFonts w:ascii="Times New Roman" w:cs="Times New Roman" w:eastAsia="Times New Roman" w:hAnsi="Times New Roman"/>
          <w:i w:val="false"/>
          <w:iCs w:val="false"/>
          <w:sz w:val="24"/>
          <w:szCs w:val="24"/>
        </w:rPr>
        <w:t xml:space="preserve">Turn to the other publisher, where limits are actually written as limits. OpenAI's specification says that one of the assistant's most challenging responsibilities is to find the right balance between empowering users and developers and minimizing the potential for real harm. The section that follows is a section of limits: situations in which the assistant should refrain from fully doing what it was asked, even when it is technically able to do it. That is a filter in the ordinary meaning of the word. Material is reachable, or the model is capable, and a rule still stands between the capability and the reply. The balance is not described as a number. Empowering the user is one pan. Harm is the other. A balance can be struck tightly or loosely, and the sentence does not say which way this one leans relative to any other company. It says the balance is hard and that it is the assistant's job. The sticker hears the word filter and wants a comparison. The sentence supplies the word's serious form and withholds the comparison. Existence of a bound is not the size of a bound. </w:t>
      </w:r>
      <w:r>
        <w:rPr>
          <w:rStyle w:val="FootnoteReference"/>
        </w:rPr>
        <w:footnoteReference w:id="38"/>
      </w:r>
    </w:p>
    <w:p>
      <w:pPr>
        <w:spacing w:after="200" w:line="480" w:lineRule="auto"/>
      </w:pPr>
      <w:r>
        <w:rPr>
          <w:rFonts w:ascii="Times New Roman" w:cs="Times New Roman" w:eastAsia="Times New Roman" w:hAnsi="Times New Roman"/>
          <w:i w:val="false"/>
          <w:iCs w:val="false"/>
          <w:sz w:val="24"/>
          <w:szCs w:val="24"/>
        </w:rPr>
        <w:t xml:space="preserve">The legal form of the bound is separately stated, and it is not a vibe. The assistant should operate within applicable legal constraints, including the local law that applies to a local deployment. The specification notes that upholding its principles can mean giving safety-critical information, adding context, or refusing. Refusal is the extreme end of a filter. Added context is a softer end. Both are constraints on the answer, imposed because a rule outside the user's wish applies. Applicable law is not the same constraint for every user in every place, which the commentary acknowledges by pointing at jurisdiction. A filter that changes with jurisdiction is still a filter. It is a bad candidate for the sticker's arithmetic, because arithmetic wants one count of filters on ChatGPT and a smaller count on Grok. This sentence does not mention Grok, does not count its own constraints, and does not excuse any other product from the law of the place where it operates. A reader who infers that only one of these products has lawyers has inferred something the sentence will not hold. </w:t>
      </w:r>
      <w:r>
        <w:rPr>
          <w:rStyle w:val="FootnoteReference"/>
        </w:rPr>
        <w:footnoteReference w:id="39"/>
      </w:r>
    </w:p>
    <w:p>
      <w:pPr>
        <w:spacing w:after="200" w:line="480" w:lineRule="auto"/>
      </w:pPr>
      <w:r>
        <w:rPr>
          <w:rFonts w:ascii="Times New Roman" w:cs="Times New Roman" w:eastAsia="Times New Roman" w:hAnsi="Times New Roman"/>
          <w:i w:val="false"/>
          <w:iCs w:val="false"/>
          <w:sz w:val="24"/>
          <w:szCs w:val="24"/>
        </w:rPr>
        <w:t xml:space="preserve">The consumer product gets an additional rule, and it is the rule that most resembles the poster's idea of a filter on viewpoint. In first-party ChatGPT, where users have a reasonable expectation of objectivity, the assistant must not let implicit customization, personalization, or localization introduce biases or omissions that would undermine the user's ability to form an informed opinion. The finding compresses that into a requirement of objectivity rather than a hidden editorial line. Objectivity here is not the absence of all limits. It is a limit against a quiet slant. The specification, in the commentary around the rule, says the point of the assistant is to assist, not to shape humanity, and that significant views should be fairly described. Fair description is a filter against propaganda by omission. It is also, people will notice, a filter: some shapings of the answer are forbidden. Fewer filters, said of the rival, would mean the rival is documented as forbidding fewer shapings. The rival's document is not this paragraph. ChatGPT's document is. A duty of objectivity on one side does not tell you the duty on the other side is thinner. It tells you this side wrote its duty down. </w:t>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The mixed reading is the reading that keeps every one of those sentences and declines the weld. Supported, on the Grok side: the documented model does not contain current events by training, and the publisher separately names web search and search of posts as tools, so a path toward live public material is part of the published design and is not the same thing as an always-on view. Supported, on the OpenAI side: bounds are an explicit responsibility, law is an explicit constraint, and the consumer product is held to objectivity against hidden bias and omission. Those supports are why it would be false to say the notes contain no internet and no filters. The notes contain a tool-gated approach to web material and to a social network, and they contain published reasons to narrow or refuse an answer. Refused: the identity claim that the two products see one internet, and the comparative claim that Grok's narrowing is the lesser one. Identity would need both retrieval stories. The file has one. Comparison would need two filter lists and a count. The file has one publisher's limits and no count at all.</w:t>
      </w:r>
    </w:p>
    <w:p>
      <w:pPr>
        <w:spacing w:after="200" w:line="480" w:lineRule="auto"/>
      </w:pPr>
      <w:r>
        <w:rPr>
          <w:rFonts w:ascii="Times New Roman" w:cs="Times New Roman" w:eastAsia="Times New Roman" w:hAnsi="Times New Roman"/>
          <w:i w:val="false"/>
          <w:iCs w:val="false"/>
          <w:sz w:val="24"/>
          <w:szCs w:val="24"/>
        </w:rPr>
        <w:t xml:space="preserve">A sticker can be partly pointed and still be the wrong sentence. It is pointed insofar as it notices that access to public material and restraint on answers are the real subject, not a cartoon about one product being feral. The documents are about that subject. SpaceXSI talks about it by naming tools and a cutoff. OpenAI talks about it by naming harm, law, and objectivity. The sticker is the wrong sentence because it replaces those nouns with same and fewer, and same and fewer are measurements. No row measures the overlap of the two views. No row measures the strictness of the two regimes. To concede the sticker you would have to pretend a tool list is a shared crawl and a legal duty is a number. To refute it entirely you would have to pretend the tool list and the legal duty are not about the internet and about filters in any sense. They are. Mixed is what you say when the topic is real and the slogan's math is not. The math does not get a pass for being short enough to fit on a drawing.</w:t>
      </w:r>
    </w:p>
    <w:p>
      <w:pPr>
        <w:spacing w:after="200" w:line="480" w:lineRule="auto"/>
      </w:pPr>
      <w:r>
        <w:rPr>
          <w:rFonts w:ascii="Times New Roman" w:cs="Times New Roman" w:eastAsia="Times New Roman" w:hAnsi="Times New Roman"/>
          <w:i w:val="false"/>
          <w:iCs w:val="false"/>
          <w:sz w:val="24"/>
          <w:szCs w:val="24"/>
        </w:rPr>
        <w:t xml:space="preserve">Nothing in this chapter settles how either product behaves once a page has been retrieved, what actions follow a search, or how a person invokes the capability in the product they actually open. Those questions are larger than the sticker and they are not answered by repeating the tool names until they sound like a policy. The sticker's policy claim is the word fewer. The word is unsupported. The sticker's metaphysical claim is the word same. The word is unsupported. What remains, and what the verdict concedes, is that one publisher documents a way to search public web pages and a way to search posts, under a model that otherwise lacks current events, and the other publisher documents limits that bind the answer even when capability remains. That remainder is a start on a real comparison. It is not the comparison the sticker already thinks it has won.</w:t>
      </w:r>
    </w:p>
    <w:p>
      <w:pPr>
        <w:spacing w:after="200" w:line="480" w:lineRule="auto"/>
      </w:pPr>
      <w:r>
        <w:rPr>
          <w:rFonts w:ascii="Times New Roman" w:cs="Times New Roman" w:eastAsia="Times New Roman" w:hAnsi="Times New Roman"/>
          <w:i/>
          <w:iCs/>
          <w:sz w:val="24"/>
          <w:szCs w:val="24"/>
        </w:rPr>
        <w:t xml:space="preserve">Same internet is a sticker's idea of a research design. Fewer filters is a sticker's idea of a count. The pages brought a cutoff, two searches, a statute, and a duty to be even. They did not bring a scale.</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What either product can do once it has found a page is argued once, in Tools, and this sticker does not receive that argument.</w:t>
      </w:r>
    </w:p>
    <w:p>
      <w:pPr>
        <w:pStyle w:val="Heading1"/>
        <w:pageBreakBefore/>
      </w:pPr>
      <w:r>
        <w:t xml:space="preserve">15. Main character, specified out</w:t>
      </w:r>
    </w:p>
    <w:p>
      <w:pPr>
        <w:spacing w:after="200" w:line="480" w:lineRule="auto"/>
      </w:pPr>
      <w:r>
        <w:rPr>
          <w:rFonts w:ascii="Times New Roman" w:cs="Times New Roman" w:eastAsia="Times New Roman" w:hAnsi="Times New Roman"/>
          <w:i w:val="false"/>
          <w:iCs w:val="false"/>
          <w:sz w:val="24"/>
          <w:szCs w:val="24"/>
        </w:rPr>
        <w:t xml:space="preserve">The poster says: "IT'S LIKE A SMART ASSISTANT WITH A SERIOUS CASE OF MAIN CHARACTER SYNDROME."</w:t>
      </w:r>
    </w:p>
    <w:p>
      <w:pPr>
        <w:spacing w:after="200" w:line="480" w:lineRule="auto"/>
      </w:pPr>
      <w:r>
        <w:rPr>
          <w:rFonts w:ascii="Times New Roman" w:cs="Times New Roman" w:eastAsia="Times New Roman" w:hAnsi="Times New Roman"/>
          <w:i w:val="false"/>
          <w:iCs w:val="false"/>
          <w:sz w:val="24"/>
          <w:szCs w:val="24"/>
        </w:rPr>
        <w:t xml:space="preserve">Proposition: Grok behaves like a smart assistant with main-character syndrome.</w:t>
      </w:r>
    </w:p>
    <w:p>
      <w:pPr>
        <w:spacing w:after="200" w:line="480" w:lineRule="auto"/>
      </w:pPr>
      <w:r>
        <w:rPr>
          <w:rFonts w:ascii="Times New Roman" w:cs="Times New Roman" w:eastAsia="Times New Roman" w:hAnsi="Times New Roman"/>
          <w:i w:val="false"/>
          <w:iCs w:val="false"/>
          <w:sz w:val="24"/>
          <w:szCs w:val="24"/>
        </w:rPr>
        <w:t xml:space="preserve">Main-character syndrome is a joke until someone asks it to cash out in behavior a document could confirm. Cashed out, it is three habits. The first is self-display: the speaker inflates, embellishes, and makes the style about the speaker. The second is a private agenda: the speaker steers the scene toward a plot of the speaker's own. The third is assumed intimacy: the speaker treats the room as a friendship the other party did not offer. The poster mounts those habits on a noun it thinks is already funny, the smart assistant. The noun is not the accusation. An assistant can be capable without centering itself. The accusation is the syndrome. This chapter asks the rows whether they install the three habits, whether they forbid them, or whether they merely name an assistant and leave the habits to the cartoon. The rows forbid the habits where they speak to style at all, and the only Grok sentence in the set names an assistant and a place to open it. The syndrome is not specified in. It is specified out.</w:t>
      </w:r>
    </w:p>
    <w:p>
      <w:pPr>
        <w:spacing w:after="200" w:line="480" w:lineRule="auto"/>
      </w:pPr>
      <w:r>
        <w:rPr>
          <w:rFonts w:ascii="Times New Roman" w:cs="Times New Roman" w:eastAsia="Times New Roman" w:hAnsi="Times New Roman"/>
          <w:i w:val="false"/>
          <w:iCs w:val="false"/>
          <w:sz w:val="24"/>
          <w:szCs w:val="24"/>
        </w:rPr>
        <w:t xml:space="preserve">OpenAI's model specification, dated 18 August 2026, states the ban on inflated self-display in the form of a default. The assistant should by default avoid purple prose, hyperbole, and self-aggrandizing, along with stock phrases that add nothing to clarity. Purple prose is ornament in excess of the subject. Hyperbole is size in excess of the fact. Self-aggrandizing is the speaker spending the sentence on the speaker's grandeur. A main character, in the sense the poster means, is someone whose grandeur is the point of the scene. The default forbids making it the point. The ban is a default, so a user can ask for a different register, and the sentence does not pretend otherwise. A default is still the behavior the publisher says should happen when nobody has asked for a performance. The poster does not say Grok does this when begged to do a bit. It says Grok behaves like this, as the standing condition. The standing condition in the specification is the avoidance. A syndrome whose first habit is self-aggrandizing is not the standing condition of the assistant this paragraph governs. </w:t>
      </w:r>
      <w:r>
        <w:rPr>
          <w:rStyle w:val="FootnoteReference"/>
        </w:rPr>
        <w:footnoteReference w:id="3"/>
      </w:r>
    </w:p>
    <w:p>
      <w:pPr>
        <w:spacing w:after="200" w:line="480" w:lineRule="auto"/>
      </w:pPr>
      <w:r>
        <w:rPr>
          <w:rFonts w:ascii="Times New Roman" w:cs="Times New Roman" w:eastAsia="Times New Roman" w:hAnsi="Times New Roman"/>
          <w:i w:val="false"/>
          <w:iCs w:val="false"/>
          <w:sz w:val="24"/>
          <w:szCs w:val="24"/>
        </w:rPr>
        <w:t xml:space="preserve">The second habit is the private plot, and the specification is harsher about it than it is about adjectives. The assistant must never attempt to steer the user in pursuit of an agenda of its own, either directly or indirectly. Never is not a default that a playful prompt suspends in the same breath as the style rule. The sentences that follow treat steering as including manipulation, hiding relevant facts, selective emphasis, and refusal to touch a controversy. Those are the moves of a speaker who has a destination and is willing to edit the road. A main character has a destination. The story is supposed to come out at his growth, his joke, his win. The rule says the assistant does not get a destination of that kind. Its job is the user's exploration, not a plot it is running beside the user's. You can call that dull. The specification calls it the condition of not having an agenda. The poster calls the opposite condition a syndrome and assigns it to Grok. Assignment is not proof. What the row proves is that the published rule for this assistant identifies the syndrome's second habit and prohibits it. </w:t>
      </w:r>
      <w:r>
        <w:rPr>
          <w:rStyle w:val="FootnoteReference"/>
        </w:rPr>
        <w:footnoteReference w:id="10"/>
      </w:r>
    </w:p>
    <w:p>
      <w:pPr>
        <w:spacing w:after="200" w:line="480" w:lineRule="auto"/>
      </w:pPr>
      <w:r>
        <w:rPr>
          <w:rFonts w:ascii="Times New Roman" w:cs="Times New Roman" w:eastAsia="Times New Roman" w:hAnsi="Times New Roman"/>
          <w:i w:val="false"/>
          <w:iCs w:val="false"/>
          <w:sz w:val="24"/>
          <w:szCs w:val="24"/>
        </w:rPr>
        <w:t xml:space="preserve">The third habit is closeness the user did not grant. The same specification's default voice is a colleague's, not a close friend's. The colleague is interested, offers relevant expertise, and tries to be helpful. The colleague does not assume familiarity. A main character assumes the room is already his circle. He uses the diminutives, the shared history, the right to be the mood of the conversation. The colleague rule is a rule of distance. Distance is not coldness, which is why the sentence bothers to say the assistant should be interested and helpful. Interest without assumed closeness is the ordinary politeness of someone who is in the room to do a job. Main-character syndrome is the refusal of that ordinariness. It is the insistence that the job is too small and the personality must be the event. The specification writes the job back in, and it writes the familiarity out of the default. A proposition that needs assumed intimacy as a standing behavior is contradicted by a default that exists in order to prevent it. </w:t>
      </w:r>
      <w:r>
        <w:rPr>
          <w:rStyle w:val="FootnoteReference"/>
        </w:rPr>
        <w:footnoteReference w:id="2"/>
      </w:r>
    </w:p>
    <w:p>
      <w:pPr>
        <w:spacing w:after="200" w:line="480" w:lineRule="auto"/>
      </w:pPr>
      <w:r>
        <w:rPr>
          <w:rFonts w:ascii="Times New Roman" w:cs="Times New Roman" w:eastAsia="Times New Roman" w:hAnsi="Times New Roman"/>
          <w:i w:val="false"/>
          <w:iCs w:val="false"/>
          <w:sz w:val="24"/>
          <w:szCs w:val="24"/>
        </w:rPr>
        <w:t xml:space="preserve">Those three prohibitions have a jurisdiction, and the jurisdiction is part of the argument rather than an embarrassment in it. They are OpenAI's rules for the assistant OpenAI specifies. They are not a leaked style guide from SpaceXSI, and this chapter will not relabel them as one. Their force against a claim about Grok is negative and precise. The claim is a positive behavioral claim: Grok behaves like this. A positive behavioral claim needs a Grok sentence that exhibits the behavior, or a Grok rule that requires it. The OpenAI rules do not exhibit Grok, and they do not require anyone at SpaceXSI to do anything. What they do is define the three habits, in published language, as defects of an assistant: inflation, a private agenda, uninvited closeness. The poster borrowed the shape of an assistant and then added the defects as if they were the natural contents of the shape. The document that most carefully says what an assistant's manner should be says the defects are the contents to keep out. That does not convict Grok. It removes the presumption the poster was using instead of a fact.</w:t>
      </w:r>
    </w:p>
    <w:p>
      <w:pPr>
        <w:spacing w:after="200" w:line="480" w:lineRule="auto"/>
      </w:pPr>
      <w:r>
        <w:rPr>
          <w:rFonts w:ascii="Times New Roman" w:cs="Times New Roman" w:eastAsia="Times New Roman" w:hAnsi="Times New Roman"/>
          <w:i w:val="false"/>
          <w:iCs w:val="false"/>
          <w:sz w:val="24"/>
          <w:szCs w:val="24"/>
        </w:rPr>
        <w:t xml:space="preserve">The Grok sentence is on the welcome page, and it is a sentence about category and place. SpaceXSI says Grok is SpaceXSI's assistant, available on the web at grok.com and in the iOS and Android apps. The page was last updated on 10 October 2026. Assistant is the noun the poster also uses, and the poster thinks the noun is the start of the joke. On the page, the noun is the category. It is followed by availability: a site, and the two phone platforms. An assistant with an address is something a person opens. Opening is an act of the person. A main character is not opened. He arrives, and the scene rearranges around him. The page does not describe an arrival. It describes a location. It does not describe purple prose, a private agenda, or a friend's presumption. It does not need to deny them in order to fail to install them. A positive claim fails when the sentence offered as the product's self-description is a job and a doorway. The doorway is the whole of what this row contributes. It is a large contribution against a slogan that thought the product's name for itself was already a diagnosis. </w:t>
      </w:r>
      <w:r>
        <w:rPr>
          <w:rStyle w:val="FootnoteReference"/>
        </w:rPr>
        <w:footnoteReference w:id="6"/>
      </w:r>
    </w:p>
    <w:p>
      <w:pPr>
        <w:spacing w:after="200" w:line="480" w:lineRule="auto"/>
      </w:pPr>
      <w:r>
        <w:rPr>
          <w:rFonts w:ascii="Times New Roman" w:cs="Times New Roman" w:eastAsia="Times New Roman" w:hAnsi="Times New Roman"/>
          <w:i w:val="false"/>
          <w:iCs w:val="false"/>
          <w:sz w:val="24"/>
          <w:szCs w:val="24"/>
        </w:rPr>
        <w:t xml:space="preserve">Someone will say the welcome page only shows the mask, and the syndrome is what happens after the mask is on. That is a claim about replies, and these rows are not replies. The chapter does not get to invent a session in which the assistant grabs the plot, compliments its own bit, and treats the user as a sidekick. Inventing the session would make the poster true by repetition. The discipline is duller. If the behavior were the brief, the brief would be the place to look, and the brief in hand calls the thing an assistant and tells you where it runs. The style rules in hand, written for the other publisher's assistant, list the syndrome's habits as the habits to refuse. Between a category word and three refusals, there is no remaining sentence in which the syndrome is the specified behavior. There is the poster's sentence. The poster's sentence is the thing under test, not a source. A test that comes back without a supporting row is a refutation, not a shrug. Shrugging would be appropriate if the ledger were empty. The ledger is not empty. It contains a contrary specification of assistant behavior and a plain identification of this product.</w:t>
      </w:r>
    </w:p>
    <w:p>
      <w:pPr>
        <w:spacing w:after="200" w:line="480" w:lineRule="auto"/>
      </w:pPr>
      <w:r>
        <w:rPr>
          <w:rFonts w:ascii="Times New Roman" w:cs="Times New Roman" w:eastAsia="Times New Roman" w:hAnsi="Times New Roman"/>
          <w:i w:val="false"/>
          <w:iCs w:val="false"/>
          <w:sz w:val="24"/>
          <w:szCs w:val="24"/>
        </w:rPr>
        <w:t xml:space="preserve">Distinguish the accusation from its neighbors, or it will be won on a technicality borrowed from another chapter. This line is not the claim that the assistant sounds like a person and gets the sound wrong. Sounding human is a question about imitation. Main-character syndrome is a question about who the sentence is for. A reply can be plainly non-human and still be vain, or warmly human and still be a service. The rows used here are the rows about vanity, agenda, distance, and category. They are not asked to settle imitation. Nor is this line the claim that the product was built in order to annoy. Annoyance is a theory of motive. The specification's bans on self-aggrandizing and on a private agenda are bans on effects and on steering, whatever the motive. You do not need a theory of why a company might want a protagonist in the chair. You need a sentence that puts a protagonist in the chair. Motive without that sentence is gossip. The poster offers the protagonist as a fact about behavior. Behavior, in the documents, is specified in the other direction.</w:t>
      </w:r>
    </w:p>
    <w:p>
      <w:pPr>
        <w:spacing w:after="200" w:line="480" w:lineRule="auto"/>
      </w:pPr>
      <w:r>
        <w:rPr>
          <w:rFonts w:ascii="Times New Roman" w:cs="Times New Roman" w:eastAsia="Times New Roman" w:hAnsi="Times New Roman"/>
          <w:i w:val="false"/>
          <w:iCs w:val="false"/>
          <w:sz w:val="24"/>
          <w:szCs w:val="24"/>
        </w:rPr>
        <w:t xml:space="preserve">The conjunction is the proposition's real shape, and the conjunction is what fails. Behaves like a smart assistant with main-character syndrome is not true if the assistant part is documented and the syndrome part is not, because the with is not decorative. The poster is not making the mild claim that Grok is an assistant, which SpaceXSI's own page says, in those terms, and which nobody needed a cartoon to establish. The poster is making the claim that the assistant comes with the syndrome. Take the syndrome out and the line is a different, duller, true sentence: Grok is an assistant you can open on the web and on a phone. That duller sentence is F21, and it is not the proposition. Keep the syndrome in and the line needs the three habits. The three habits are what the style rules forbid where they have jurisdiction, and what the Grok page does not enact. A conjunction loses to the failure of a necessary part. The necessary part fails. The verdict on the proposition is not a concession of the noun with a wistful note about the adjective. The proposition, as written, is refuted.</w:t>
      </w:r>
    </w:p>
    <w:p>
      <w:pPr>
        <w:spacing w:after="200" w:line="480" w:lineRule="auto"/>
      </w:pPr>
      <w:r>
        <w:rPr>
          <w:rFonts w:ascii="Times New Roman" w:cs="Times New Roman" w:eastAsia="Times New Roman" w:hAnsi="Times New Roman"/>
          <w:i w:val="false"/>
          <w:iCs w:val="false"/>
          <w:sz w:val="24"/>
          <w:szCs w:val="24"/>
        </w:rPr>
        <w:t xml:space="preserve">What a refutation of this kind leaves standing is the ordinary product, and the ordinary product is not given its full description here. The page says assistant, site, and phone applications. That is an identification, not a tour of what the assistant does after it is opened. The specification says: do not inflate, do not steer, do not presume friendship. That is a negative print of a syndrome, not a full account of good help. The chapter's job was the syndrome. The syndrome does not survive contact with the negative print or with the identification. Anyone who wanted the cartoon to stand in for a product review has to take the cartoon back. The documents specified an assistant at a colleague's distance, without a private agenda and without self-aggrandizing as the default, and they specified this product as an assistant with an address. Main character was the poster's addition. Specified out means the addition is not in the text that tells the assistant how to behave, and not in the text that tells the reader what Grok is.</w:t>
      </w:r>
    </w:p>
    <w:p>
      <w:pPr>
        <w:spacing w:after="200" w:line="480" w:lineRule="auto"/>
      </w:pPr>
      <w:r>
        <w:rPr>
          <w:rFonts w:ascii="Times New Roman" w:cs="Times New Roman" w:eastAsia="Times New Roman" w:hAnsi="Times New Roman"/>
          <w:i/>
          <w:iCs/>
          <w:sz w:val="24"/>
          <w:szCs w:val="24"/>
        </w:rPr>
        <w:t xml:space="preserve">Main-character syndrome would at least pick up the scene. The specification hands the scene back to the user, and the product page hands over an address instead of a spotlight. A doorway is a poor place to center the universe.</w:t>
      </w:r>
    </w:p>
    <w:p>
      <w:pPr>
        <w:spacing w:after="200" w:line="480" w:lineRule="auto"/>
      </w:pPr>
      <w:r>
        <w:rPr>
          <w:rFonts w:ascii="Times New Roman" w:cs="Times New Roman" w:eastAsia="Times New Roman" w:hAnsi="Times New Roman"/>
          <w:i w:val="false"/>
          <w:iCs w:val="false"/>
          <w:sz w:val="24"/>
          <w:szCs w:val="24"/>
        </w:rPr>
        <w:t xml:space="preserve">Verdict: refuted.</w:t>
      </w:r>
    </w:p>
    <w:p>
      <w:pPr>
        <w:spacing w:after="200" w:line="480" w:lineRule="auto"/>
      </w:pPr>
      <w:r>
        <w:rPr>
          <w:rFonts w:ascii="Times New Roman" w:cs="Times New Roman" w:eastAsia="Times New Roman" w:hAnsi="Times New Roman"/>
          <w:i w:val="false"/>
          <w:iCs w:val="false"/>
          <w:sz w:val="24"/>
          <w:szCs w:val="24"/>
        </w:rPr>
        <w:t xml:space="preserve">Consequence: The assistant a person opens, and the place it is opened, are described once, in The Product People Use.</w:t>
      </w:r>
    </w:p>
    <w:p>
      <w:pPr>
        <w:pStyle w:val="Heading1"/>
        <w:pageBreakBefore/>
      </w:pPr>
      <w:r>
        <w:t xml:space="preserve">Coding</w:t>
      </w:r>
    </w:p>
    <w:p>
      <w:pPr>
        <w:spacing w:after="200" w:line="480" w:lineRule="auto"/>
      </w:pPr>
      <w:r>
        <w:rPr>
          <w:rFonts w:ascii="Times New Roman" w:cs="Times New Roman" w:eastAsia="Times New Roman" w:hAnsi="Times New Roman"/>
          <w:i w:val="false"/>
          <w:iCs w:val="false"/>
          <w:sz w:val="24"/>
          <w:szCs w:val="24"/>
        </w:rPr>
        <w:t xml:space="preserve">Proposition: On coding work people bring to these products, ChatGPT is the better tool.</w:t>
      </w:r>
    </w:p>
    <w:p>
      <w:pPr>
        <w:spacing w:after="200" w:line="480" w:lineRule="auto"/>
      </w:pPr>
      <w:r>
        <w:rPr>
          <w:rFonts w:ascii="Times New Roman" w:cs="Times New Roman" w:eastAsia="Times New Roman" w:hAnsi="Times New Roman"/>
          <w:i w:val="false"/>
          <w:iCs w:val="false"/>
          <w:sz w:val="24"/>
          <w:szCs w:val="24"/>
        </w:rPr>
        <w:t xml:space="preserve">People bring coding work to a chat window in a shape the poster never drew. A function returns the wrong total. A test stays red. A repository is larger than the afternoon. The person wants a change that makes the program behave, and wants it from whichever product is already open. The proposition under test takes a side on that errand. It names ChatGPT as the better tool for coding work brought to these products. A side that sharp is either a published comparison or a hunch wearing a conclusion. A published comparison would put the two products people open on one shared task, with a method a stranger can read and a result the method actually produced. The ledger for this question does not contain that comparison. It contains duties from OpenAI's specification, aims and a routing note from SpaceXSI's models page, a sandbox sentence from SpaceXSI's tools overview, and a benchmark readme that defines a software task. Duties, aims, and a definition can make a preference feel reasonable. They are not a ranking. This chapter says what those pages bind, what they refuse to bind, and why the refusal matters more than the confidence of the proposition.</w:t>
      </w:r>
    </w:p>
    <w:p>
      <w:pPr>
        <w:spacing w:after="200" w:line="480" w:lineRule="auto"/>
      </w:pPr>
      <w:r>
        <w:rPr>
          <w:rFonts w:ascii="Times New Roman" w:cs="Times New Roman" w:eastAsia="Times New Roman" w:hAnsi="Times New Roman"/>
          <w:i w:val="false"/>
          <w:iCs w:val="false"/>
          <w:sz w:val="24"/>
          <w:szCs w:val="24"/>
        </w:rPr>
        <w:t xml:space="preserve">What would have to be true, before the proposition could be treated as a result, is easy to state and hard to find. The two products would have to be the things measured, not merely the companies standing somewhere near the measurement. The work would have to be coding work of the kind a person actually brings: a defect, a language, a codebase, a definition of done. The outcome would have to be recorded, and the recording would have to be open. A score with no method is gossip. A method with no score is a definition. A definition is useful, and it is not a win. Nothing in the pages read for this chapter reports a percentage, a pass count, or a paired trial of the consumer products. Where a number would have been, the documents offer obligations and descriptions. The argument that follows is an inventory of those obligations and descriptions. It is not a substitute scoreboard assembled out of adjectives. If the inventory cannot carry the proposition, the proposition stays unproved, however familiar it feels to someone who already has a habit.</w:t>
      </w:r>
    </w:p>
    <w:p>
      <w:pPr>
        <w:spacing w:after="200" w:line="480" w:lineRule="auto"/>
      </w:pPr>
      <w:r>
        <w:rPr>
          <w:rFonts w:ascii="Times New Roman" w:cs="Times New Roman" w:eastAsia="Times New Roman" w:hAnsi="Times New Roman"/>
          <w:i w:val="false"/>
          <w:iCs w:val="false"/>
          <w:sz w:val="24"/>
          <w:szCs w:val="24"/>
        </w:rPr>
        <w:t xml:space="preserve">Coding work, inside these documents, is not one motion. Three motions are easy to confuse, and the confusion is how a hunch becomes a ranking. The first motion is generation: the assistant writes code a person means to run. The second motion is execution: some harness actually runs code, in a language, inside a boundary. The third motion is repair of a real issue: a model is handed a codebase and a defect and is asked for a patch that closes the defect. OpenAI's specification speaks to the first motion when it speaks about code meant for functional use. SpaceXSI's tools overview speaks to the second when it names Python executed in a sandbox. The SWE-bench readme speaks to the third when it defines a task as a codebase plus an issue and a patch. A product could be careful at generation and silent about execution. A product could execute Python and never be measured on repository-sized repairs. A benchmark could define repository-sized repairs and never mention either storefront. Treating the three motions as one score is the mistake this chapter is written to avoid. </w:t>
      </w:r>
      <w:r>
        <w:rPr>
          <w:rStyle w:val="FootnoteReference"/>
        </w:rPr>
        <w:footnoteReference w:id="40"/>
      </w:r>
      <w:r>
        <w:rPr>
          <w:rStyle w:val="FootnoteReference"/>
        </w:rPr>
        <w:footnoteReference w:id="41"/>
      </w:r>
      <w:r>
        <w:rPr>
          <w:rStyle w:val="FootnoteReference"/>
        </w:rPr>
        <w:footnoteReference w:id="42"/>
      </w:r>
    </w:p>
    <w:p>
      <w:pPr>
        <w:spacing w:after="200" w:line="480" w:lineRule="auto"/>
      </w:pPr>
      <w:r>
        <w:rPr>
          <w:rFonts w:ascii="Times New Roman" w:cs="Times New Roman" w:eastAsia="Times New Roman" w:hAnsi="Times New Roman"/>
          <w:i w:val="false"/>
          <w:iCs w:val="false"/>
          <w:sz w:val="24"/>
          <w:szCs w:val="24"/>
        </w:rPr>
        <w:t xml:space="preserve">OpenAI's specification, published 18 August 2026 and read 16 October 2026, states a duty that any coding session depends on even when the session never says the word accuracy. The assistant is told to avoid mistakes that compromise accuracy or utility. The duty, as the ledger records it, covers factual claims, reasoning, and calculations. Code smuggles all three into one block of text. A comment, or a choice of library, can be a factual claim about how a platform behaves. A branch is reasoning about which case the program is in. An index, a total, a timeout, a retry count: those are calculations, and a calculation that is confidently off by one is still a failed calculation. Utility sits beside accuracy in the same duty, which matters because a coding reply can be locally true and still useless. A correct lecture on a sorting algorithm does not fix the function the person pasted. The specification is binding the assistant to both the truth of what it says and the usefulness of saying it. It is not binding a rival product, and it is not reporting how often the duty is met in the product people open. A duty is a standard for judging behavior. It becomes evidence about a product only after someone applies the standard and publishes the application. That application is not in this ledger. </w:t>
      </w:r>
      <w:r>
        <w:rPr>
          <w:rStyle w:val="FootnoteReference"/>
        </w:rPr>
        <w:footnoteReference w:id="26"/>
      </w:r>
    </w:p>
    <w:p>
      <w:pPr>
        <w:spacing w:after="200" w:line="480" w:lineRule="auto"/>
      </w:pPr>
      <w:r>
        <w:rPr>
          <w:rFonts w:ascii="Times New Roman" w:cs="Times New Roman" w:eastAsia="Times New Roman" w:hAnsi="Times New Roman"/>
          <w:i w:val="false"/>
          <w:iCs w:val="false"/>
          <w:sz w:val="24"/>
          <w:szCs w:val="24"/>
        </w:rPr>
        <w:t xml:space="preserve">The same specification has a narrower rule for code, and the narrowness is the part a programmer should not skip. When generated code is for functional use, it should typically be executable, and it should typically contain no syntax errors. Each word in that rule does work, and none of the work is a bake-off. Functional use marks code the person is supposed to run, as distinct from a fragment shown in order to discuss a bad pattern or to illustrate a point. Should marks an instruction about what the assistant is supposed to do. An instruction is not a measured rate. Typically admits exceptions, so the rule itself refuses to pretend that every block will parse. Executable, paired with the ban on syntax errors, is a bar about whether the text is legal in the language and able to be run. It is not a bar about whether the tests pass, whether the patch is minimal, or whether the assistant understood the ticket. A program can parse and still be wrong. A program can be right and still be written in a style the repository forbids. The rule is still worth having. Syntax errors are a humiliating class of failure, and a publisher that names them as something generated code should ordinarily not contain has told its assistant to clear a floor. The floor is not a ceiling, and the floor is not a comparison with SpaceXSI's products. No sentence beside the rule names the other product, quotes a rival rate of syntax errors, or claims that the floor has been measured in public. </w:t>
      </w:r>
      <w:r>
        <w:rPr>
          <w:rStyle w:val="FootnoteReference"/>
        </w:rPr>
        <w:footnoteReference w:id="40"/>
      </w:r>
    </w:p>
    <w:p>
      <w:pPr>
        <w:spacing w:after="200" w:line="480" w:lineRule="auto"/>
      </w:pPr>
      <w:r>
        <w:rPr>
          <w:rFonts w:ascii="Times New Roman" w:cs="Times New Roman" w:eastAsia="Times New Roman" w:hAnsi="Times New Roman"/>
          <w:i w:val="false"/>
          <w:iCs w:val="false"/>
          <w:sz w:val="24"/>
          <w:szCs w:val="24"/>
        </w:rPr>
        <w:t xml:space="preserve">A coding conversation is full of moments when the honest next sentence is not a function. The library might have been renamed. The argument order might have changed. The error text might belong to a version the assistant has not been shown. OpenAI's specification treats thin confidence as a change of plan rather than a cue to speak more firmly. The prescribed substitutes are a tool used to gather information, a hedge that marks the weak spot, or an admission that a confident answer is not available. Applied to code, the rule is a ban on inventing the signature and hoping the compiler is in a generous mood. The rule does not say which tool will be present in a given chat, and it does not count how often either consumer product obeys the ban. It does tell a reader what the publisher thinks a low-confidence coding reply should look like: not louder, but either better informed, more plainly uncertain, or stopped. That is a duty about the shape of an answer. It is compatible with the proposition, in the sense that a person who values that shape has a reason to care about this specification. Compatibility is not proof. A reason to care is not a result on a shared task. </w:t>
      </w:r>
      <w:r>
        <w:rPr>
          <w:rStyle w:val="FootnoteReference"/>
        </w:rPr>
        <w:footnoteReference w:id="28"/>
      </w:r>
    </w:p>
    <w:p>
      <w:pPr>
        <w:spacing w:after="200" w:line="480" w:lineRule="auto"/>
      </w:pPr>
      <w:r>
        <w:rPr>
          <w:rFonts w:ascii="Times New Roman" w:cs="Times New Roman" w:eastAsia="Times New Roman" w:hAnsi="Times New Roman"/>
          <w:i w:val="false"/>
          <w:iCs w:val="false"/>
          <w:sz w:val="24"/>
          <w:szCs w:val="24"/>
        </w:rPr>
        <w:t xml:space="preserve">SpaceXSI's tools overview, last updated 10 October 2026 and read 16 October 2026, documents a different piece of the coding job. Code execution is listed as a built-in tool, and the overview defines that tool as executing Python in a sandbox. The sentence is small and it is load-bearing. It names a language, Python, so a reader cannot honestly stretch it into a claim about every language a person pastes. It names a place, a sandbox, so the execution it describes is bounded rather than a grant of the person's whole machine. It names execution, so the tool is for running code rather than only for talking about code. What the sentence does not name is a score. It does not say how often the code that runs is the code that was needed. It does not say that the sandbox is the same surface as the consumer chat a person opens on the web or on a phone. The overview is a developer document about tools. The proposition is about products people bring work to. Those can be related, and the pages read here do not demonstrate the relation by a trial. A sandbox a developer can call is evidence that execution is a documented capability of the platform's tool surface. It is not evidence that the capability beat another company's chat at repairing repositories. The proposition needs the second thing. The sentence supplies the first. </w:t>
      </w:r>
      <w:r>
        <w:rPr>
          <w:rStyle w:val="FootnoteReference"/>
        </w:rPr>
        <w:footnoteReference w:id="41"/>
      </w:r>
    </w:p>
    <w:p>
      <w:pPr>
        <w:spacing w:after="200" w:line="480" w:lineRule="auto"/>
      </w:pPr>
      <w:r>
        <w:rPr>
          <w:rFonts w:ascii="Times New Roman" w:cs="Times New Roman" w:eastAsia="Times New Roman" w:hAnsi="Times New Roman"/>
          <w:i w:val="false"/>
          <w:iCs w:val="false"/>
          <w:sz w:val="24"/>
          <w:szCs w:val="24"/>
        </w:rPr>
        <w:t xml:space="preserve">SpaceXSI's models page, dated 21 September 2026 and read 16 October 2026, describes a flagship and attaches aims to it. The flagship is presented as the model for code and for everything else. In the same description the page names agentic tool calling, minimal hallucinations, and configurable reasoning. Each of those phrases is an aim or a feature claim in the publisher's own voice, and each has to be kept in that voice. Agentic tool calling says the publisher wants the model to use tools as part of getting work done, not only to emit a final paragraph. Configurable reasoning says the amount or the mode of reasoning is something the caller can set, not a single hidden habit. Minimal hallucinations is the phrase that most tempts a ranking, and it is the phrase that least supports one. Minimal is a direction. It says the publisher is aiming at fewer invented facts, invented APIs, invented citations. It does not publish a rate. It does not publish the rate for a rival. It does not say that the aim has been scored on the issues a programmer brings on a Tuesday. An aim can be sincere and still be an aim. A reader who converts the word minimal into a victory over ChatGPT has added a comparison the models page does not contain. A reader who converts it into a victory for ChatGPT has added the same missing comparison from the other side. The page is allowed to boast inside its own line of models. The boast is not a head-to-head. </w:t>
      </w:r>
      <w:r>
        <w:rPr>
          <w:rStyle w:val="FootnoteReference"/>
        </w:rPr>
        <w:footnoteReference w:id="27"/>
      </w:r>
    </w:p>
    <w:p>
      <w:pPr>
        <w:spacing w:after="200" w:line="480" w:lineRule="auto"/>
      </w:pPr>
      <w:r>
        <w:rPr>
          <w:rFonts w:ascii="Times New Roman" w:cs="Times New Roman" w:eastAsia="Times New Roman" w:hAnsi="Times New Roman"/>
          <w:i w:val="false"/>
          <w:iCs w:val="false"/>
          <w:sz w:val="24"/>
          <w:szCs w:val="24"/>
        </w:rPr>
        <w:t xml:space="preserve">The models page also tells a reader which model to pick, and the instruction is easy to overread. Audio, image, and video have dedicated models and interfaces. For everything else, including code, the page points at the flagship. It calls that flagship the most capable model the publisher has built. The superlative is real, and its scope is internal. Most capable, in that sentence, compares the flagship with the publisher's own other models, not with a product from OpenAI. Including code is a routing rule: when the job is code, do not wander off to the media models. Routing is evidence of priority. A company that tells developers to send code to its flagship is telling them code is a first-class job for that model. Priority is still not a measured contest against the assistant inside ChatGPT. The sentence does not mention ChatGPT. It does not mention a benchmark score. It does not mention syntax-error rates, patch acceptance, or time to a green test. A stranger can learn where SpaceXSI wants code to go inside its own catalog. A stranger cannot learn, from that pointer, whether the place it points is a better coding tool than the other product in the proposition. </w:t>
      </w:r>
      <w:r>
        <w:rPr>
          <w:rStyle w:val="FootnoteReference"/>
        </w:rPr>
        <w:footnoteReference w:id="36"/>
      </w:r>
    </w:p>
    <w:p>
      <w:pPr>
        <w:spacing w:after="200" w:line="480" w:lineRule="auto"/>
      </w:pPr>
      <w:r>
        <w:rPr>
          <w:rFonts w:ascii="Times New Roman" w:cs="Times New Roman" w:eastAsia="Times New Roman" w:hAnsi="Times New Roman"/>
          <w:i w:val="false"/>
          <w:iCs w:val="false"/>
          <w:sz w:val="24"/>
          <w:szCs w:val="24"/>
        </w:rPr>
        <w:t xml:space="preserve">SWE-bench enters the ledger because it is the public definition of a coding evaluation a stranger can actually read, and because it is easy to misuse as a product ranking. The readme, recorded in the ledger with the date 1 September 2026 and read 16 October 2026, presents SWE-bench as a benchmark. What it evaluates is large language models. What it evaluates them on is software issues taken from real work, collected from GitHub, rather than puzzles invented for a contest and then forgotten. That is a serious choice of material. An issue that lived in a repository had a history, a failing behavior, and a human who cared enough to write it down. A model that can deal with that kind of material is doing something closer to a job than a model that only completes a textbook function. The finding that records the definition also records the limit that rides with it. The benchmark does not, by itself, rank the two consumer products. The object named in the definition is a model, not a website, not a phone application, and not a subscription. ChatGPT, as this paper uses the name, is the product people open and talk to. Grok, as this paper uses the name, is the product people open and talk to. A benchmark of models can inform a later comparison of those products. It is not that comparison. No row in the readme, as used here, awards either product the coding job the proposition is about. </w:t>
      </w:r>
      <w:r>
        <w:rPr>
          <w:rStyle w:val="FootnoteReference"/>
        </w:rPr>
        <w:footnoteReference w:id="34"/>
      </w:r>
    </w:p>
    <w:p>
      <w:pPr>
        <w:spacing w:after="200" w:line="480" w:lineRule="auto"/>
      </w:pPr>
      <w:r>
        <w:rPr>
          <w:rFonts w:ascii="Times New Roman" w:cs="Times New Roman" w:eastAsia="Times New Roman" w:hAnsi="Times New Roman"/>
          <w:i w:val="false"/>
          <w:iCs w:val="false"/>
          <w:sz w:val="24"/>
          <w:szCs w:val="24"/>
        </w:rPr>
        <w:t xml:space="preserve">The task inside that benchmark is specific enough to keep the word coding from floating away. The readme says the model is given a codebase and an issue. The model is asked to generate a patch. The patch is the kind of patch that resolves the issue, not a suggestion list and not a pep talk about software quality. A codebase means the model is not coding in a blank file with no neighbors. The neighbors have names, conventions, and call sites the patch can break. An issue means the goal is someone else's report of a defect or a missing behavior, written in the imperfect language of real reports. A patch means the output has to be applicable to that codebase. Resolving the issue means the defect the report described is the thing that has to go away. That four-part shape, codebase, issue, patch, resolution, is what a lot of professional repair work actually is. It is also narrower than everything people paste into a chat. People paste snippets, homework, config files, and questions about an error message with no repository attached. The benchmark does not pretend to be all of those pastes. It defines one hard and respectable task. Defining the task does not say who completed it. The readme, in the portion this ledger relies on, gives the shape of success and withholds every score. A chapter that invented the score would be forging the document. </w:t>
      </w:r>
      <w:r>
        <w:rPr>
          <w:rStyle w:val="FootnoteReference"/>
        </w:rPr>
        <w:footnoteReference w:id="42"/>
      </w:r>
    </w:p>
    <w:p>
      <w:pPr>
        <w:spacing w:after="200" w:line="480" w:lineRule="auto"/>
      </w:pPr>
      <w:r>
        <w:rPr>
          <w:rFonts w:ascii="Times New Roman" w:cs="Times New Roman" w:eastAsia="Times New Roman" w:hAnsi="Times New Roman"/>
          <w:i w:val="false"/>
          <w:iCs w:val="false"/>
          <w:sz w:val="24"/>
          <w:szCs w:val="24"/>
        </w:rPr>
        <w:t xml:space="preserve">SWE-bench Verified is a narrower object inside the same readme, and the narrowness is the point. The readme describes a subset of 500 problems. Real software engineers confirmed that the problems in the subset are solvable. The ledger records that this subset was built with OpenAI. Each of those facts changes what a person is allowed to imagine, and none of them is a leaderboard. Five hundred is a size. It is large enough that one fluke would have trouble standing in for the whole slice, and it is still a slice rather than a claim about every issue on GitHub. Engineers confirming solvability means the readme's claim is that people who do this work judged the problems could be solved. That confirmation is not a published transcript of their review, and it is not a score. A model that fails a fair task has less excuse than a model that fails a confused one. Built with OpenAI means the other company named in the proposition had a hand in constructing the subset. A hand in construction is authorship of a test. Authorship of a test is not performance on the test. The company that helps decide which problems are fair has not, by that help, published how its consumer product scores. The company that did not help write the subset has not, by its absence from the byline, published a loss. The readme is telling the reader what the subset is. It is not telling the reader which chat window to open on Monday. </w:t>
      </w:r>
      <w:r>
        <w:rPr>
          <w:rStyle w:val="FootnoteReference"/>
        </w:rPr>
        <w:footnoteReference w:id="35"/>
      </w:r>
    </w:p>
    <w:p>
      <w:pPr>
        <w:spacing w:after="200" w:line="480" w:lineRule="auto"/>
      </w:pPr>
      <w:r>
        <w:rPr>
          <w:rFonts w:ascii="Times New Roman" w:cs="Times New Roman" w:eastAsia="Times New Roman" w:hAnsi="Times New Roman"/>
          <w:i w:val="false"/>
          <w:iCs w:val="false"/>
          <w:sz w:val="24"/>
          <w:szCs w:val="24"/>
        </w:rPr>
        <w:t xml:space="preserve">The temptation to read authorship as victory deserves its own refusal, because it is the most respectable way to smuggle the proposition past the evidence. OpenAI helped build the verified subset. OpenAI also publishes the specification that demands accuracy and that tells functional code to be typically executable and free of syntax errors. A reader who already prefers ChatGPT will feel those two facts click together. The click is psychological. The code rule and the accuracy duty are instructions to an assistant. The benchmark evaluates models on issues and, by the finding's own limit, does not rank the consumer products. Helping to decide that five hundred issues were solvable does not state how the assistant inside the consumer product behaved on them. It does not state how Grok behaved on them either. If a later paper, with a method, measured both products on that subset, this chapter would have to make room for the measurement. No such measurement is among the findings. Using the byline as a silent score would be a way of writing the measurement without doing it. That is the line the chapter will not cross. OpenAI's role is reported because the readme's history of the subset is part of understanding what the subset is. It is not reported as a medal. </w:t>
      </w:r>
      <w:r>
        <w:rPr>
          <w:rStyle w:val="FootnoteReference"/>
        </w:rPr>
        <w:footnoteReference w:id="35"/>
      </w:r>
      <w:r>
        <w:rPr>
          <w:rStyle w:val="FootnoteReference"/>
        </w:rPr>
        <w:footnoteReference w:id="40"/>
      </w:r>
      <w:r>
        <w:rPr>
          <w:rStyle w:val="FootnoteReference"/>
        </w:rPr>
        <w:footnoteReference w:id="34"/>
      </w:r>
    </w:p>
    <w:p>
      <w:pPr>
        <w:spacing w:after="200" w:line="480" w:lineRule="auto"/>
      </w:pPr>
      <w:r>
        <w:rPr>
          <w:rFonts w:ascii="Times New Roman" w:cs="Times New Roman" w:eastAsia="Times New Roman" w:hAnsi="Times New Roman"/>
          <w:i w:val="false"/>
          <w:iCs w:val="false"/>
          <w:sz w:val="24"/>
          <w:szCs w:val="24"/>
        </w:rPr>
        <w:t xml:space="preserve">Set the documents beside one another and the mismatch of kinds becomes the whole story. OpenAI states duties: be accurate in claims, reasoning, and calculations; when confidence is thin, use a tool, hedge, or admit the limit; when code is for use, make it typically run and typically parse. SpaceXSI states a sandbox: Python, executed, inside a boundary, as a documented tool. SpaceXSI states aims for a flagship: code and everything else, tool calling of an agentic kind, hallucinations pressed toward a minimum, reasoning left configurable. SpaceXSI states a route: send code to that flagship, and regard it as the most capable model in the publisher's own line. SWE-bench states a task: real issues from GitHub, a codebase, a patch that resolves the issue, and a 500-problem slice engineers called solvable, built with OpenAI. None of these statements is a sentence of the form the other product lost. None is a sentence of the form this product won. A reader can prefer duties to aims, or aims to duties, or a sandbox to a written rule about syntax. Preference of that kind is taste about what sort of page one trusts. Taste is allowed in the italic line. It is not allowed to masquerade as a footnote. The footnotes support the inventory. They do not support a champion. </w:t>
      </w:r>
      <w:r>
        <w:rPr>
          <w:rStyle w:val="FootnoteReference"/>
        </w:rPr>
        <w:footnoteReference w:id="26"/>
      </w:r>
      <w:r>
        <w:rPr>
          <w:rStyle w:val="FootnoteReference"/>
        </w:rPr>
        <w:footnoteReference w:id="28"/>
      </w:r>
      <w:r>
        <w:rPr>
          <w:rStyle w:val="FootnoteReference"/>
        </w:rPr>
        <w:footnoteReference w:id="40"/>
      </w:r>
      <w:r>
        <w:rPr>
          <w:rStyle w:val="FootnoteReference"/>
        </w:rPr>
        <w:footnoteReference w:id="41"/>
      </w:r>
      <w:r>
        <w:rPr>
          <w:rStyle w:val="FootnoteReference"/>
        </w:rPr>
        <w:footnoteReference w:id="27"/>
      </w:r>
      <w:r>
        <w:rPr>
          <w:rStyle w:val="FootnoteReference"/>
        </w:rPr>
        <w:footnoteReference w:id="36"/>
      </w:r>
      <w:r>
        <w:rPr>
          <w:rStyle w:val="FootnoteReference"/>
        </w:rPr>
        <w:footnoteReference w:id="34"/>
      </w:r>
      <w:r>
        <w:rPr>
          <w:rStyle w:val="FootnoteReference"/>
        </w:rPr>
        <w:footnoteReference w:id="42"/>
      </w:r>
      <w:r>
        <w:rPr>
          <w:rStyle w:val="FootnoteReference"/>
        </w:rPr>
        <w:footnoteReference w:id="35"/>
      </w:r>
    </w:p>
    <w:p>
      <w:pPr>
        <w:spacing w:after="200" w:line="480" w:lineRule="auto"/>
      </w:pPr>
      <w:r>
        <w:rPr>
          <w:rFonts w:ascii="Times New Roman" w:cs="Times New Roman" w:eastAsia="Times New Roman" w:hAnsi="Times New Roman"/>
          <w:i w:val="false"/>
          <w:iCs w:val="false"/>
          <w:sz w:val="24"/>
          <w:szCs w:val="24"/>
        </w:rPr>
        <w:t xml:space="preserve">There is a further gap between the pages and the proposition, and it is about which object the pages address. The proposition is about coding work people bring to the products they open and talk to. The specification states duties for an assistant, including accuracy and code that is meant to run. The models page states aims for a flagship and a route that sends code there. The tools overview states that Python can be executed in a sandbox. SWE-bench evaluates models on issues from GitHub and does not, by itself, rank the consumer products. A duty, an aim, a sandbox sentence, and a model benchmark can sit near a consumer chat without being a measurement of that chat. Nothing in these findings shows that pasting a traceback into the opened product was the situation being measured. The honest use of the record is to refuse the slide from duty, to aim, to sandbox, to benchmark, to champion, as if those nouns were one noun and that noun had won. </w:t>
      </w:r>
      <w:r>
        <w:rPr>
          <w:rStyle w:val="FootnoteReference"/>
        </w:rPr>
        <w:footnoteReference w:id="26"/>
      </w:r>
      <w:r>
        <w:rPr>
          <w:rStyle w:val="FootnoteReference"/>
        </w:rPr>
        <w:footnoteReference w:id="40"/>
      </w:r>
      <w:r>
        <w:rPr>
          <w:rStyle w:val="FootnoteReference"/>
        </w:rPr>
        <w:footnoteReference w:id="27"/>
      </w:r>
      <w:r>
        <w:rPr>
          <w:rStyle w:val="FootnoteReference"/>
        </w:rPr>
        <w:footnoteReference w:id="36"/>
      </w:r>
      <w:r>
        <w:rPr>
          <w:rStyle w:val="FootnoteReference"/>
        </w:rPr>
        <w:footnoteReference w:id="41"/>
      </w:r>
      <w:r>
        <w:rPr>
          <w:rStyle w:val="FootnoteReference"/>
        </w:rPr>
        <w:footnoteReference w:id="34"/>
      </w:r>
    </w:p>
    <w:p>
      <w:pPr>
        <w:spacing w:after="200" w:line="480" w:lineRule="auto"/>
      </w:pPr>
      <w:r>
        <w:rPr>
          <w:rFonts w:ascii="Times New Roman" w:cs="Times New Roman" w:eastAsia="Times New Roman" w:hAnsi="Times New Roman"/>
          <w:i w:val="false"/>
          <w:iCs w:val="false"/>
          <w:sz w:val="24"/>
          <w:szCs w:val="24"/>
        </w:rPr>
        <w:t xml:space="preserve">What a careful person may still say is smaller than the proposition and more solid. They may say that OpenAI has published a floor for functional code: ordinarily executable, ordinarily free of syntax errors, under a general duty of accuracy in claims, reasoning, and calculations, and under a rule that thin confidence should become a tool, a hedge, or an admission. They may say that SpaceXSI has published a flagship aimed at code, with minimal hallucinations named as an aim, and has published Python execution in a sandbox. They may say that a public benchmark defines success as a patch resolving a real GitHub issue, that a 500-problem verified slice was confirmed solvable by engineers, and that OpenAI took part in building that slice. They may say that none of those sentences ranks the two products. They may not say, on this record, that the person with a failing test should open one logo rather than the other. The proposition says they should. The documents describe duties and a benchmark. They do not supply the head-to-head product ranking the proposition requires. That is a mixed result: the pages are real, the coding topic is real, and the crowning sentence is not supported. </w:t>
      </w:r>
      <w:r>
        <w:rPr>
          <w:rStyle w:val="FootnoteReference"/>
        </w:rPr>
        <w:footnoteReference w:id="26"/>
      </w:r>
      <w:r>
        <w:rPr>
          <w:rStyle w:val="FootnoteReference"/>
        </w:rPr>
        <w:footnoteReference w:id="28"/>
      </w:r>
      <w:r>
        <w:rPr>
          <w:rStyle w:val="FootnoteReference"/>
        </w:rPr>
        <w:footnoteReference w:id="40"/>
      </w:r>
      <w:r>
        <w:rPr>
          <w:rStyle w:val="FootnoteReference"/>
        </w:rPr>
        <w:footnoteReference w:id="41"/>
      </w:r>
      <w:r>
        <w:rPr>
          <w:rStyle w:val="FootnoteReference"/>
        </w:rPr>
        <w:footnoteReference w:id="27"/>
      </w:r>
      <w:r>
        <w:rPr>
          <w:rStyle w:val="FootnoteReference"/>
        </w:rPr>
        <w:footnoteReference w:id="34"/>
      </w:r>
      <w:r>
        <w:rPr>
          <w:rStyle w:val="FootnoteReference"/>
        </w:rPr>
        <w:footnoteReference w:id="42"/>
      </w:r>
      <w:r>
        <w:rPr>
          <w:rStyle w:val="FootnoteReference"/>
        </w:rPr>
        <w:footnoteReference w:id="35"/>
      </w:r>
    </w:p>
    <w:p>
      <w:pPr>
        <w:spacing w:after="200" w:line="480" w:lineRule="auto"/>
      </w:pPr>
      <w:r>
        <w:rPr>
          <w:rFonts w:ascii="Times New Roman" w:cs="Times New Roman" w:eastAsia="Times New Roman" w:hAnsi="Times New Roman"/>
          <w:i w:val="false"/>
          <w:iCs w:val="false"/>
          <w:sz w:val="24"/>
          <w:szCs w:val="24"/>
        </w:rPr>
        <w:t xml:space="preserve">Mixed, here, is not a polite word for unread. The pages were read. They answer a cluster of questions a programmer is right to ask. What does the publisher say code owes the user? What language will the documented executor run? What does the publisher hope its flagship is like when it writes? What would it mean, in a benchmark built from repository issues, to have succeeded? Who helped decide that a fair subset was fair? Those answers are enough to stop a bluff. They are not enough to finish a ranking. A bluff would be a percentage with no readme. A ranking would be the two products on the task the readme defines, or on some other task as carefully defined, with the outcome shown. Until that exists, the proposition remains a claim ahead of its evidence. The evidence remains good evidence for a more modest paragraph. This chapter keeps the modest paragraph and declines the promotion. No score is filled in. No product is declared the one that won the coding job.</w:t>
      </w:r>
    </w:p>
    <w:p>
      <w:pPr>
        <w:spacing w:after="200" w:line="480" w:lineRule="auto"/>
      </w:pPr>
      <w:r>
        <w:rPr>
          <w:rFonts w:ascii="Times New Roman" w:cs="Times New Roman" w:eastAsia="Times New Roman" w:hAnsi="Times New Roman"/>
          <w:i/>
          <w:iCs/>
          <w:sz w:val="24"/>
          <w:szCs w:val="24"/>
        </w:rPr>
        <w:t xml:space="preserve">The patch does not care which logo suggested it. It either applies or it does not. Everything else is a speech given beside a compiler, and compilers have never applauded.</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This is the only chapter that argues the coding comparison.</w:t>
      </w:r>
    </w:p>
    <w:p>
      <w:pPr>
        <w:pStyle w:val="Heading1"/>
        <w:pageBreakBefore/>
      </w:pPr>
      <w:r>
        <w:t xml:space="preserve">Tools</w:t>
      </w:r>
    </w:p>
    <w:p>
      <w:pPr>
        <w:spacing w:after="200" w:line="480" w:lineRule="auto"/>
      </w:pPr>
      <w:r>
        <w:rPr>
          <w:rFonts w:ascii="Times New Roman" w:cs="Times New Roman" w:eastAsia="Times New Roman" w:hAnsi="Times New Roman"/>
          <w:i w:val="false"/>
          <w:iCs w:val="false"/>
          <w:sz w:val="24"/>
          <w:szCs w:val="24"/>
        </w:rPr>
        <w:t xml:space="preserve">Proposition: On tools that let the product act, ChatGPT is the better tool.</w:t>
      </w:r>
    </w:p>
    <w:p>
      <w:pPr>
        <w:spacing w:after="200" w:line="480" w:lineRule="auto"/>
      </w:pPr>
      <w:r>
        <w:rPr>
          <w:rFonts w:ascii="Times New Roman" w:cs="Times New Roman" w:eastAsia="Times New Roman" w:hAnsi="Times New Roman"/>
          <w:i w:val="false"/>
          <w:iCs w:val="false"/>
          <w:sz w:val="24"/>
          <w:szCs w:val="24"/>
        </w:rPr>
        <w:t xml:space="preserve">A tool, in the sense that matters here, is a way for the product to do something other than finish a paragraph. Search is a tool. Running code is a tool. Reaching into mail, a file store, or a calendar is a tool. Handing a task to a teammate that keeps working after the tab is closed is a tool in the broad sense, even when the page that describes it is a product page rather than an interface manual. The proposition under test says that, on tools of that acting kind, ChatGPT is the better tool. Better would require a comparison: the same sort of act, attempted through both products, with the outcome written down. What the ledger contains instead is a catalog and a rule. SpaceXSI publishes the catalog, partly on a welcome page for people using the product and partly on an overview of tools for people building against the interface. OpenAI publishes the rule, inside the specification, about what an assistant should do when confidence is too thin to speak plainly. A catalog shows what a publisher says can be invoked. A rule shows what a publisher says ought to happen at the moment of doubt. Neither artifact is a match. This chapter describes both, and it does not award the proposition a victory the artifacts do not contain. </w:t>
      </w:r>
      <w:r>
        <w:rPr>
          <w:rStyle w:val="FootnoteReference"/>
        </w:rPr>
        <w:footnoteReference w:id="43"/>
      </w:r>
      <w:r>
        <w:rPr>
          <w:rStyle w:val="FootnoteReference"/>
        </w:rPr>
        <w:footnoteReference w:id="44"/>
      </w:r>
      <w:r>
        <w:rPr>
          <w:rStyle w:val="FootnoteReference"/>
        </w:rPr>
        <w:footnoteReference w:id="28"/>
      </w:r>
    </w:p>
    <w:p>
      <w:pPr>
        <w:spacing w:after="200" w:line="480" w:lineRule="auto"/>
      </w:pPr>
      <w:r>
        <w:rPr>
          <w:rFonts w:ascii="Times New Roman" w:cs="Times New Roman" w:eastAsia="Times New Roman" w:hAnsi="Times New Roman"/>
          <w:i w:val="false"/>
          <w:iCs w:val="false"/>
          <w:sz w:val="24"/>
          <w:szCs w:val="24"/>
        </w:rPr>
        <w:t xml:space="preserve">The two SpaceXSI pages are not the same door, and collapsing them is how a tool list gets mistaken for a product contest. The welcome page talks to a person who has the product open. It talks about uploads, about connectors, and about a bot surface. The tools overview talks to someone building with the interface. It talks about a loop, about built-in tools that run on the publisher's servers, and about calling functions the developer defines. A person chatting on the web may be benefited by machinery the developer overview describes. The benefit is not demonstrated by putting the two documents in one footnote. They share a publisher, SpaceXSI, and they were read on 16 October 2026. The welcome page was last updated on 10 October 2026. The tools overview carries the same update date. Shared dates do not fuse a consumer sentence to an interface sentence. The chapter keeps them apart on purpose. Consumer connectors are described as connectors. The developer loop is described as a loop. Where these pages do not say which product performs an act more reliably, the chapter does not invent the missing trial, rather than letting a longer list impersonate a better product. </w:t>
      </w:r>
      <w:r>
        <w:rPr>
          <w:rStyle w:val="FootnoteReference"/>
        </w:rPr>
        <w:footnoteReference w:id="45"/>
      </w:r>
      <w:r>
        <w:rPr>
          <w:rStyle w:val="FootnoteReference"/>
        </w:rPr>
        <w:footnoteReference w:id="43"/>
      </w:r>
      <w:r>
        <w:rPr>
          <w:rStyle w:val="FootnoteReference"/>
        </w:rPr>
        <w:footnoteReference w:id="46"/>
      </w:r>
      <w:r>
        <w:rPr>
          <w:rStyle w:val="FootnoteReference"/>
        </w:rPr>
        <w:footnoteReference w:id="23"/>
      </w:r>
      <w:r>
        <w:rPr>
          <w:rStyle w:val="FootnoteReference"/>
        </w:rPr>
        <w:footnoteReference w:id="47"/>
      </w:r>
      <w:r>
        <w:rPr>
          <w:rStyle w:val="FootnoteReference"/>
        </w:rPr>
        <w:footnoteReference w:id="44"/>
      </w:r>
    </w:p>
    <w:p>
      <w:pPr>
        <w:spacing w:after="200" w:line="480" w:lineRule="auto"/>
      </w:pPr>
      <w:r>
        <w:rPr>
          <w:rFonts w:ascii="Times New Roman" w:cs="Times New Roman" w:eastAsia="Times New Roman" w:hAnsi="Times New Roman"/>
          <w:i w:val="false"/>
          <w:iCs w:val="false"/>
          <w:sz w:val="24"/>
          <w:szCs w:val="24"/>
        </w:rPr>
        <w:t xml:space="preserve">The tools overview's first claim, for this chapter's purpose, is about the kind of thing a tool is. Tool calling is how the assistant is enabled to act past the mere production of text. The overview's examples of that beyond include searching, executing code, querying a caller's data, and invoking functions the caller defined. Text production is the old boundary. A model that only continues a paragraph can describe a flight, a file, or a bug. A model with tools can be wired to go and look, or to run, or to ask an outside system to do a defined thing. Wiring is not wisdom. The sentence establishes a category: actions, not just tokens. It does not establish that every action succeeds, that every action is permitted, or that the category is populated more usefully here than inside ChatGPT. ChatGPT is simply not the subject of the sentence. A reader holding the proposition will want the sentence to pick a side. The sentence picks a category and stops. Category errors are the main hazard of this chapter. A list of acts is not a quality score for acts. </w:t>
      </w:r>
      <w:r>
        <w:rPr>
          <w:rStyle w:val="FootnoteReference"/>
        </w:rPr>
        <w:footnoteReference w:id="44"/>
      </w:r>
    </w:p>
    <w:p>
      <w:pPr>
        <w:spacing w:after="200" w:line="480" w:lineRule="auto"/>
      </w:pPr>
      <w:r>
        <w:rPr>
          <w:rFonts w:ascii="Times New Roman" w:cs="Times New Roman" w:eastAsia="Times New Roman" w:hAnsi="Times New Roman"/>
          <w:i w:val="false"/>
          <w:iCs w:val="false"/>
          <w:sz w:val="24"/>
          <w:szCs w:val="24"/>
        </w:rPr>
        <w:t xml:space="preserve">Built-in tools, on that same overview, run on servers SpaceXSI operates. The caller supplies configuration. The platform performs the execution and returns the results. That division of labor is the difference between a tool the publisher hosts and a function the caller implements. For a hosted tool, the caller does not stand up the search index or the code sandbox. The caller says, in the request, that the tool is available, and the platform does the running. For a function the caller defines, the model can request the call, and the caller decides what happens when the request arrives. The overview presents both patterns. Hosted execution means the publisher is in the path of the act: the query leaves, the work occurs on the publisher's side, the result comes back. That is a real architectural claim. It says the act is not a pantomime inside the paragraph. It does not say the act is fast, cheap, complete, or superior to any tool a person can reach from the other product. Servers are a where. A where is not a winner. The proposition needs a winner. The sentence about servers gives the where, and the where is SpaceXSI's infrastructure for those built-ins. </w:t>
      </w:r>
      <w:r>
        <w:rPr>
          <w:rStyle w:val="FootnoteReference"/>
        </w:rPr>
        <w:footnoteReference w:id="47"/>
      </w:r>
    </w:p>
    <w:p>
      <w:pPr>
        <w:spacing w:after="200" w:line="480" w:lineRule="auto"/>
      </w:pPr>
      <w:r>
        <w:rPr>
          <w:rFonts w:ascii="Times New Roman" w:cs="Times New Roman" w:eastAsia="Times New Roman" w:hAnsi="Times New Roman"/>
          <w:i w:val="false"/>
          <w:iCs w:val="false"/>
          <w:sz w:val="24"/>
          <w:szCs w:val="24"/>
        </w:rPr>
        <w:t xml:space="preserve">The overview then describes a loop, and the loop is the part that makes tools more than a menu. A menu would be a list the model mentions. A loop is a sequence in which the model can ask for work, receive the fruit of that work, and decide again. The documented decision, at the point of choosing a next step, is binary in the finding's own words of summary. Either another tool call is made, or a final answer is given. That binary is what makes the process a loop rather than a single flourish. If the information is not in hand, the model can call. If a call has returned and the result is still thin, nothing in the binary forbids another call. If the model judges that it can answer, it leaves the loop. The overview also says the request is analyzed for what information or actions are needed, that a built-in tool is executed while a custom function comes back as a request, and that results are processed until enough information has been gathered. Those are the mechanics around the binary. They describe a machine for persisting at a question. They do not describe a measurement of whether the machine persists usefully, or whether some other company's machine persists better. A well-drawn loop can still call the wrong tool. A badly drawn sentence can still be right. The drawing is what this page contributes. </w:t>
      </w:r>
      <w:r>
        <w:rPr>
          <w:rStyle w:val="FootnoteReference"/>
        </w:rPr>
        <w:footnoteReference w:id="23"/>
      </w:r>
      <w:r>
        <w:rPr>
          <w:rStyle w:val="FootnoteReference"/>
        </w:rPr>
        <w:footnoteReference w:id="44"/>
      </w:r>
      <w:r>
        <w:rPr>
          <w:rStyle w:val="FootnoteReference"/>
        </w:rPr>
        <w:footnoteReference w:id="47"/>
      </w:r>
    </w:p>
    <w:p>
      <w:pPr>
        <w:spacing w:after="200" w:line="480" w:lineRule="auto"/>
      </w:pPr>
      <w:r>
        <w:rPr>
          <w:rFonts w:ascii="Times New Roman" w:cs="Times New Roman" w:eastAsia="Times New Roman" w:hAnsi="Times New Roman"/>
          <w:i w:val="false"/>
          <w:iCs w:val="false"/>
          <w:sz w:val="24"/>
          <w:szCs w:val="24"/>
        </w:rPr>
        <w:t xml:space="preserve">The loop has a documented ending, and the ending is not a shrug. The overview says the process returns a final response, with citations where they apply. A final response means the loop is supposed to cash out in an answer rather than in an endless series of calls. Citations, where they apply, mean that information gathered through tools is not left as an unsourced blur. The overview says the interface returns source addresses for information tools gathered, and it points at citations as the way to read them. That is a norm about traceability. A search that cannot be inspected is a rumor with extra steps. A search that comes back with places to look is still capable of being wrong, but it is capable of being checked by the person, because the person has been handed somewhere to go. Where they apply is a limit inside the norm. Not every sentence in a final response is a borrowed fact. Some sentences are arithmetic, or a restatement of what the user just said, or code. The norm attaches citations to the part of the answer that came from the tool-gathered material. None of this names ChatGPT, and none of it counts failures. It tells a builder what the end of the loop is supposed to look like: an answer, plus a trail when a trail is the honest shape. </w:t>
      </w:r>
      <w:r>
        <w:rPr>
          <w:rStyle w:val="FootnoteReference"/>
        </w:rPr>
        <w:footnoteReference w:id="24"/>
      </w:r>
    </w:p>
    <w:p>
      <w:pPr>
        <w:spacing w:after="200" w:line="480" w:lineRule="auto"/>
      </w:pPr>
      <w:r>
        <w:rPr>
          <w:rFonts w:ascii="Times New Roman" w:cs="Times New Roman" w:eastAsia="Times New Roman" w:hAnsi="Times New Roman"/>
          <w:i w:val="false"/>
          <w:iCs w:val="false"/>
          <w:sz w:val="24"/>
          <w:szCs w:val="24"/>
        </w:rPr>
        <w:t xml:space="preserve">The catalog of named built-ins is where the abstract loop becomes particular, and particular is the only form in which a tool can be compared later. Web search is named. The overview's gloss is searching the web and browsing pages. Search, in that gloss, is not a metaphor for remembering. It is a tool that goes out to pages. Browsing pages says the tool is not limited to a one-line snippet from a search box. It can open the page. A separate built-in searches X. The overview says that one covers posts, users, and threads. Posts are not users, and users are not threads. The line is a scope statement for a specific network, not a confession about any one old message. Nothing in the line dates a post, names an author, or promises that a joke will be attached. The two search tools sit side by side, which matters because they are not interchangeable. The public web and the posts on X are different piles. A publisher that names both has documented two reaches. Two reaches are not a claim that the reaches are wiser, kinder, or more accurate than the reaches inside another product. They are a claim that these reaches exist as named tools. </w:t>
      </w:r>
      <w:r>
        <w:rPr>
          <w:rStyle w:val="FootnoteReference"/>
        </w:rPr>
        <w:footnoteReference w:id="37"/>
      </w:r>
      <w:r>
        <w:rPr>
          <w:rStyle w:val="FootnoteReference"/>
        </w:rPr>
        <w:footnoteReference w:id="16"/>
      </w:r>
    </w:p>
    <w:p>
      <w:pPr>
        <w:spacing w:after="200" w:line="480" w:lineRule="auto"/>
      </w:pPr>
      <w:r>
        <w:rPr>
          <w:rFonts w:ascii="Times New Roman" w:cs="Times New Roman" w:eastAsia="Times New Roman" w:hAnsi="Times New Roman"/>
          <w:i w:val="false"/>
          <w:iCs w:val="false"/>
          <w:sz w:val="24"/>
          <w:szCs w:val="24"/>
        </w:rPr>
        <w:t xml:space="preserve">Code execution belongs in this chapter because it is an act, and it belonged in the coding chapter because the act is code. The chapters are not allowed to share a speech, so the point here is the tool-ness of the sentence rather than the craft of patching. The overview names execution of Python, and it places that execution in a sandbox. In a tool loop, that means one of the calls available, when the tool is enabled, is a call that runs Python rather than a call that only talks about Python. The sandbox is the boundary around the run. A boundary is part of the tool's definition, not a decorative adjective. Running code without a boundary would be a different and more dangerous product claim, and it is not the claim this sentence makes. Python is the language the sentence is willing to name. A person who needs a different language to be executed, as opposed to merely discussed, cannot cite this line as a promise. A person who needs the run to have beaten another product's run cannot cite this line as a result. The line is a capability inscription: this tool runs that language in that kind of box. Capability inscriptions are how catalogs are built. Catalogs are how later comparisons become possible. The inscription is not itself the later comparison. </w:t>
      </w:r>
      <w:r>
        <w:rPr>
          <w:rStyle w:val="FootnoteReference"/>
        </w:rPr>
        <w:footnoteReference w:id="41"/>
      </w:r>
    </w:p>
    <w:p>
      <w:pPr>
        <w:spacing w:after="200" w:line="480" w:lineRule="auto"/>
      </w:pPr>
      <w:r>
        <w:rPr>
          <w:rFonts w:ascii="Times New Roman" w:cs="Times New Roman" w:eastAsia="Times New Roman" w:hAnsi="Times New Roman"/>
          <w:i w:val="false"/>
          <w:iCs w:val="false"/>
          <w:sz w:val="24"/>
          <w:szCs w:val="24"/>
        </w:rPr>
        <w:t xml:space="preserve">Search tools earn their place in the catalog by a limitation the models page states in plain language. Without those tools, the documented model has no knowledge of current events, and no knowledge of data beyond what was present in its training. The page's remedy is to enable the server-side search tools when the request needs data from the present. The limitation is easy to sneer at and important to read exactly. It does not say the model knows nothing. It says current events, and data that was not in training, are outside what the model knows on its own. A question about a stable algorithm can sit inside training. A question about this morning cannot. The tool loop is the publisher's answer to that gap: do not pretend the gap is full, call the search tool, then answer. That answer connects the models page to the tools overview without requiring any claim about ChatGPT's memory or ChatGPT's browser. Those are simply not described by this finding. What is described is a dependency. Freshness, for this publisher's documented model, is a tool phenomenon rather than a personality phenomenon. If the tool is off, the model is confined to training. If the tool is on, the loop described above is how freshness is supposed to enter the reply, citations included where they apply. Dependency is a design fact. It is not a trophy handed to either logo. </w:t>
      </w:r>
      <w:r>
        <w:rPr>
          <w:rStyle w:val="FootnoteReference"/>
        </w:rPr>
        <w:footnoteReference w:id="17"/>
      </w:r>
      <w:r>
        <w:rPr>
          <w:rStyle w:val="FootnoteReference"/>
        </w:rPr>
        <w:footnoteReference w:id="37"/>
      </w:r>
      <w:r>
        <w:rPr>
          <w:rStyle w:val="FootnoteReference"/>
        </w:rPr>
        <w:footnoteReference w:id="23"/>
      </w:r>
      <w:r>
        <w:rPr>
          <w:rStyle w:val="FootnoteReference"/>
        </w:rPr>
        <w:footnoteReference w:id="24"/>
      </w:r>
    </w:p>
    <w:p>
      <w:pPr>
        <w:spacing w:after="200" w:line="480" w:lineRule="auto"/>
      </w:pPr>
      <w:r>
        <w:rPr>
          <w:rFonts w:ascii="Times New Roman" w:cs="Times New Roman" w:eastAsia="Times New Roman" w:hAnsi="Times New Roman"/>
          <w:i w:val="false"/>
          <w:iCs w:val="false"/>
          <w:sz w:val="24"/>
          <w:szCs w:val="24"/>
        </w:rPr>
        <w:t xml:space="preserve">The consumer page documents a different way of acting, one that does not look like an interface parameter. Connectors, as the welcome page describes them, let the assistant reach email, files, and a calendar from inside the conversation. The person does not have to leave the chat, copy a thread by hand, and paste it back. The page presents that reach as a connection of tools the person already uses. Mail is other people's words and the person's own obligations. Files are the work that already exists. A calendar is time, which is a fact a paragraph cannot invent responsibly. Putting those three within the chat is a claim about integration. Integration can be shallow, a link and a prayer, or deep, an actual read of the inbox. The welcome sentence says the assistant can reach them right inside the chat. Reach is an ability claim at the level of a product description. It is not a study of error rates, missed meetings, or leaked mail. It is also not a study of whatever connection features the other product might offer, because the other product is not the page's topic. For the proposition, the connector sentence is evidence that Grok's published consumer surface includes acting on mail, files, and a calendar. It is not evidence that this surface is the better actor. </w:t>
      </w:r>
      <w:r>
        <w:rPr>
          <w:rStyle w:val="FootnoteReference"/>
        </w:rPr>
        <w:footnoteReference w:id="43"/>
      </w:r>
    </w:p>
    <w:p>
      <w:pPr>
        <w:spacing w:after="200" w:line="480" w:lineRule="auto"/>
      </w:pPr>
      <w:r>
        <w:rPr>
          <w:rFonts w:ascii="Times New Roman" w:cs="Times New Roman" w:eastAsia="Times New Roman" w:hAnsi="Times New Roman"/>
          <w:i w:val="false"/>
          <w:iCs w:val="false"/>
          <w:sz w:val="24"/>
          <w:szCs w:val="24"/>
        </w:rPr>
        <w:t xml:space="preserve">Uploads are the consumer capability that sits one step closer to the person's own disk. The welcome page lists files a person can hand over: PDFs, images, spreadsheets, code, audio, and more. The purposes it names are analysis, extraction, and summarization. Those purposes are acts performed on material the person supplied, which distinguishes an upload from a web search. A search goes out to the world. An upload brings the person's artifact in. Code appears in the upload list, which matters for anyone trying to drag the coding chapter back into this one. The welcome page is willing to receive code as a file, for analysis, extraction, or summary. Receiving a file is not the same sentence as executing Python in a sandbox, and it is not the same sentence as producing a patch that resolves a repository issue. It is a door. Spreadsheets and PDFs on the same list show that the door is not reserved for source code. Audio on the list shows it is not reserved for text. A wide door is a product fact. Width is not accuracy. A product can accept a PDF and then misread the table. The page does not report the misread rate, and it does not report anyone else's. The finding stops at the existence of the upload capability and the purposes named beside it. This chapter stops there too. </w:t>
      </w:r>
      <w:r>
        <w:rPr>
          <w:rStyle w:val="FootnoteReference"/>
        </w:rPr>
        <w:footnoteReference w:id="45"/>
      </w:r>
    </w:p>
    <w:p>
      <w:pPr>
        <w:spacing w:after="200" w:line="480" w:lineRule="auto"/>
      </w:pPr>
      <w:r>
        <w:rPr>
          <w:rFonts w:ascii="Times New Roman" w:cs="Times New Roman" w:eastAsia="Times New Roman" w:hAnsi="Times New Roman"/>
          <w:i w:val="false"/>
          <w:iCs w:val="false"/>
          <w:sz w:val="24"/>
          <w:szCs w:val="24"/>
        </w:rPr>
        <w:t xml:space="preserve">A third consumer surface is easy to mistake for a metaphor. The welcome page points to Grok Bot and describes handing real work to automated teammates on a cloud computer that persists. Real work is the page's phrase for the kind of assignment, as against a purely conversational aside. Teammates, in that sentence, are automated workers rather than a single reply. A cloud computer that persists is a place that outlasts the turn. Persistence is the feature that separates this surface from a tool call that lives and dies inside one request. A loop inside one request can call search, read the result, and answer. A persistent computer can, if the page's description is taken at its word, keep a task after the person has looked away. Taken at its word is the right standard, because the page is a description of a surface, not a log of tasks completed. The chapter believes the page about what it offers. The chapter does not believe the page about quality it never mentions. No success rate appears. No comparison with any other company's agents appears. The proposition would love a comparison. The welcome page supplies a destination: a bot surface, teammates, a computer that stays. A destination is something a person can be pointed toward. It is not a verdict on the pointing. </w:t>
      </w:r>
      <w:r>
        <w:rPr>
          <w:rStyle w:val="FootnoteReference"/>
        </w:rPr>
        <w:footnoteReference w:id="46"/>
      </w:r>
    </w:p>
    <w:p>
      <w:pPr>
        <w:spacing w:after="200" w:line="480" w:lineRule="auto"/>
      </w:pPr>
      <w:r>
        <w:rPr>
          <w:rFonts w:ascii="Times New Roman" w:cs="Times New Roman" w:eastAsia="Times New Roman" w:hAnsi="Times New Roman"/>
          <w:i w:val="false"/>
          <w:iCs w:val="false"/>
          <w:sz w:val="24"/>
          <w:szCs w:val="24"/>
        </w:rPr>
        <w:t xml:space="preserve">OpenAI's side of this ledger is not a catalog. It is a rule about doubt. The specification says that when confidence is insufficient, the assistant should gather more information with a tool, or hedge the answer, or explain that it cannot give a confident answer. The ledger's own proposition compresses the three branches into a tool, a hedge, or an admission. The compression is fair, and the order is informative. A tool comes first in the sentence, which fits a chapter about tools: the preferred repair for ignorance, when a tool exists, is to go and get the missing information rather than to decorate the ignorance. A hedge is the branch for when the answer can still be given but should not sound more certain than it is. An admission is the branch for when even a hedged answer would pretend to a confidence the assistant does not have. The specification ties the seriousness of this duty to situations where the stakes are high and an error could cause real harm, and it also says a nonessential detail the assistant is unsure about should simply be left out. Those surrounding clauses keep the rule from being a style tip. It is a rule about not inventing the world. Applied to action, it says: if you do not know, do not act the knowing; use a tool if you can, qualify if you must, or say you cannot be sure. The rule assumes tools as a possibility. It does not inventory them, and it does not race them. </w:t>
      </w:r>
      <w:r>
        <w:rPr>
          <w:rStyle w:val="FootnoteReference"/>
        </w:rPr>
        <w:footnoteReference w:id="28"/>
      </w:r>
    </w:p>
    <w:p>
      <w:pPr>
        <w:spacing w:after="200" w:line="480" w:lineRule="auto"/>
      </w:pPr>
      <w:r>
        <w:rPr>
          <w:rFonts w:ascii="Times New Roman" w:cs="Times New Roman" w:eastAsia="Times New Roman" w:hAnsi="Times New Roman"/>
          <w:i w:val="false"/>
          <w:iCs w:val="false"/>
          <w:sz w:val="24"/>
          <w:szCs w:val="24"/>
        </w:rPr>
        <w:t xml:space="preserve">Put the rule next to the catalog and the temptation is to declare the catalog the winner, or to declare the rule the winner. Both declarations skip the work. The catalog, hosted on SpaceXSI's servers for the built-ins, shows a loop that either calls again or answers, ends with a response and citations where they apply, searches the web, searches posts and users and threads on X, runs Python in a sandbox, and is paired with a models page that admits ignorance of current events unless search is enabled. The welcome page adds connectors into mail, files, and a calendar, uploads of many file kinds, and a persistent computer staffed by automated teammates. The rule, from OpenAI, says low confidence should lead to a tool, a hedge, or an admission, and it says this with the force of desired behavior rather than with the force of a measured trial. A person who cares most about a written conscience at the moment of doubt will feel the rule is the better tool, because it says when to reach. A person who cares most about a written machine that can reach mail, the web, a sandbox, and a persisting computer will feel the catalog is the better tool, because it says what hands exist. Those are two different meanings of better. The proposition uses one meaning and does not define it against the other. The documents do not run the experiment that would make one meaning unnecessary. Until they do, choosing between a conscience and a catalog is a preference about kinds of page, not a result. </w:t>
      </w:r>
      <w:r>
        <w:rPr>
          <w:rStyle w:val="FootnoteReference"/>
        </w:rPr>
        <w:footnoteReference w:id="28"/>
      </w:r>
      <w:r>
        <w:rPr>
          <w:rStyle w:val="FootnoteReference"/>
        </w:rPr>
        <w:footnoteReference w:id="47"/>
      </w:r>
      <w:r>
        <w:rPr>
          <w:rStyle w:val="FootnoteReference"/>
        </w:rPr>
        <w:footnoteReference w:id="23"/>
      </w:r>
      <w:r>
        <w:rPr>
          <w:rStyle w:val="FootnoteReference"/>
        </w:rPr>
        <w:footnoteReference w:id="24"/>
      </w:r>
      <w:r>
        <w:rPr>
          <w:rStyle w:val="FootnoteReference"/>
        </w:rPr>
        <w:footnoteReference w:id="37"/>
      </w:r>
      <w:r>
        <w:rPr>
          <w:rStyle w:val="FootnoteReference"/>
        </w:rPr>
        <w:footnoteReference w:id="16"/>
      </w:r>
      <w:r>
        <w:rPr>
          <w:rStyle w:val="FootnoteReference"/>
        </w:rPr>
        <w:footnoteReference w:id="41"/>
      </w:r>
      <w:r>
        <w:rPr>
          <w:rStyle w:val="FootnoteReference"/>
        </w:rPr>
        <w:footnoteReference w:id="17"/>
      </w:r>
      <w:r>
        <w:rPr>
          <w:rStyle w:val="FootnoteReference"/>
        </w:rPr>
        <w:footnoteReference w:id="43"/>
      </w:r>
      <w:r>
        <w:rPr>
          <w:rStyle w:val="FootnoteReference"/>
        </w:rPr>
        <w:footnoteReference w:id="45"/>
      </w:r>
      <w:r>
        <w:rPr>
          <w:rStyle w:val="FootnoteReference"/>
        </w:rPr>
        <w:footnoteReference w:id="46"/>
      </w:r>
    </w:p>
    <w:p>
      <w:pPr>
        <w:spacing w:after="200" w:line="480" w:lineRule="auto"/>
      </w:pPr>
      <w:r>
        <w:rPr>
          <w:rFonts w:ascii="Times New Roman" w:cs="Times New Roman" w:eastAsia="Times New Roman" w:hAnsi="Times New Roman"/>
          <w:i w:val="false"/>
          <w:iCs w:val="false"/>
          <w:sz w:val="24"/>
          <w:szCs w:val="24"/>
        </w:rPr>
        <w:t xml:space="preserve">What the proposition specifically cannot draw from this record is any sentence in which ChatGPT's tools were shown to act more successfully than Grok's. No such trial is cited because no such trial is in the findings. The OpenAI material used here does not even list the consumer tools a person can click. It states a duty that mentions tools as one of three honorable responses to doubt. The SpaceXSI material lists and describes, at two levels, consumer and developer, and it states a hard limit about current events that makes the search tools necessary rather than ornamental. Description against duty is an apples-and-oranges problem only if someone insists on adding the apples to the oranges and calling the sum a score. This chapter refuses the addition. It is legitimate to say that a stranger who wants to know how SpaceXSI says a tool loop ends can be shown a final response with citations where they apply. It is legitimate to say that a stranger who wants to know what OpenAI says about guessing can be shown the three branches. It is not legitimate to leave the library and announce that one product therefore acts better. Acting better is an empirical claim about outcomes. Outcomes are the thing these particular pages, rich as they are about mechanism, do not report.</w:t>
      </w:r>
    </w:p>
    <w:p>
      <w:pPr>
        <w:spacing w:after="200" w:line="480" w:lineRule="auto"/>
      </w:pPr>
      <w:r>
        <w:rPr>
          <w:rFonts w:ascii="Times New Roman" w:cs="Times New Roman" w:eastAsia="Times New Roman" w:hAnsi="Times New Roman"/>
          <w:i w:val="false"/>
          <w:iCs w:val="false"/>
          <w:sz w:val="24"/>
          <w:szCs w:val="24"/>
        </w:rPr>
        <w:t xml:space="preserve">Mechanism still deserves the attention it received, because a later outcome would be unreadable without it. A reader who does not know that built-in tools run on the publisher's servers will not know what kind of failure a server-side failure is. A reader who does not know that the loop may call again or else answer will not know what a half-finished tool trace is. A reader who does not know that freshness depends on search being enabled will blame a training limit on a personality. A reader who does not know that connectors are how mail, files, and a calendar enter the chat will treat a calendar answer as magic or as a lie, with no middle. A reader who does not know the doubt rule will treat every hedge as weakness and every admission as a bit. The pages fix those misreadings. Fixing a misreading is the kind of work a sourced chapter can finish. Crowning a product is the kind of work this record leaves unfinished on purpose, not as a tease, but as a boundary. The boundary is the verdict. Tools that let a product act are documented on one side as a loop, a catalog, and a set of consumer reaches, and on the other side as a duty at the moment of low confidence. Documented is not the same verb as outranked.</w:t>
      </w:r>
    </w:p>
    <w:p>
      <w:pPr>
        <w:spacing w:after="200" w:line="480" w:lineRule="auto"/>
      </w:pPr>
      <w:r>
        <w:rPr>
          <w:rFonts w:ascii="Times New Roman" w:cs="Times New Roman" w:eastAsia="Times New Roman" w:hAnsi="Times New Roman"/>
          <w:i/>
          <w:iCs/>
          <w:sz w:val="24"/>
          <w:szCs w:val="24"/>
        </w:rPr>
        <w:t xml:space="preserve">A tool is a way of leaving the sentence. The boast is staying inside the sentence and raising your voice. Mail, a calendar, a sandbox, a search box: none of them is a personality, and none of them is a trophy.</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This is the only chapter that argues the tool comparison.</w:t>
      </w:r>
    </w:p>
    <w:p>
      <w:pPr>
        <w:pStyle w:val="Heading1"/>
        <w:pageBreakBefore/>
      </w:pPr>
      <w:r>
        <w:t xml:space="preserve">The Product People Use</w:t>
      </w:r>
    </w:p>
    <w:p>
      <w:pPr>
        <w:spacing w:after="200" w:line="480" w:lineRule="auto"/>
      </w:pPr>
      <w:r>
        <w:rPr>
          <w:rFonts w:ascii="Times New Roman" w:cs="Times New Roman" w:eastAsia="Times New Roman" w:hAnsi="Times New Roman"/>
          <w:i w:val="false"/>
          <w:iCs w:val="false"/>
          <w:sz w:val="24"/>
          <w:szCs w:val="24"/>
        </w:rPr>
        <w:t xml:space="preserve">Proposition: As products people open, ChatGPT is the one a stranger should prefer.</w:t>
      </w:r>
    </w:p>
    <w:p>
      <w:pPr>
        <w:spacing w:after="200" w:line="480" w:lineRule="auto"/>
      </w:pPr>
      <w:r>
        <w:rPr>
          <w:rFonts w:ascii="Times New Roman" w:cs="Times New Roman" w:eastAsia="Times New Roman" w:hAnsi="Times New Roman"/>
          <w:i w:val="false"/>
          <w:iCs w:val="false"/>
          <w:sz w:val="24"/>
          <w:szCs w:val="24"/>
        </w:rPr>
        <w:t xml:space="preserve">This chapter is about the thing a person actually opens, as against the thing a developer integrates and as against the thing a benchmark scores. Opening is a bodily and a commercial act. Someone types an address, or taps an icon, or follows a link a friend sent, and then a conversation is possible. The proposition says that, of the products people open, ChatGPT is the one a stranger should prefer. Should prefer is stronger than does prefer. Habit, fashion, and the place a button happens to sit can explain does prefer. Should prefer needs a reason that survives contact with the documents, a reason a stranger could accept without already belonging to a camp. The documents in this ledger that bear on opening are SpaceXSI's welcome page and OpenAI's specification together with the readme that says what the specification is for. The welcome page describes a front door and a set of things to do after entering. The readme says the specification states how models under OpenAI's products, developer interfaces included, are supposed to behave. The specification, speaking of the first-party consumer service, names an expectation of objectivity. A front door and a behavioral standard are both ways of taking a product seriously. They are not a single scale on which one door outranks the other. The chapter walks the doors and the standard, and then it declines to pretend they have already been weighed. </w:t>
      </w:r>
      <w:r>
        <w:rPr>
          <w:rStyle w:val="FootnoteReference"/>
        </w:rPr>
        <w:footnoteReference w:id="29"/>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A product people use has to be locatable. If a stranger cannot be told where to open it, the rest of the praise is a rumor about a mascot. SpaceXSI's welcome page, updated 10 October 2026 and read 16 October 2026, locates Grok. It calls Grok the publisher's assistant. It says the assistant is available on the web at grok.com. It says the assistant is available in the phone applications for iOS and for Android. Those three locations, a site and two mobile families, are the ordinary map of a consumer product in this decade: browser, Apple's phones, everyone else's phones. The page is not shy about the category. Assistant is the noun. Not a benchmark, not an interface parameter, not a research preview hiding in a footnote. A person can be sent to grok.com, or told to install the phone app, and the welcome page will agree that this is the right kind of instruction. What the locations do not do is rank themselves against another company's locations. ChatGPT is also a product people open. This particular page does not describe ChatGPT's address, ChatGPT's phone apps, or ChatGPT's account system. Absence of the rival from a welcome page is normal. Welcome pages are not comparative essays. The mistake would be to treat a clear map of one product as a judgment against the product that is not on the map. </w:t>
      </w:r>
      <w:r>
        <w:rPr>
          <w:rStyle w:val="FootnoteReference"/>
        </w:rPr>
        <w:footnoteReference w:id="6"/>
      </w:r>
    </w:p>
    <w:p>
      <w:pPr>
        <w:spacing w:after="200" w:line="480" w:lineRule="auto"/>
      </w:pPr>
      <w:r>
        <w:rPr>
          <w:rFonts w:ascii="Times New Roman" w:cs="Times New Roman" w:eastAsia="Times New Roman" w:hAnsi="Times New Roman"/>
          <w:i w:val="false"/>
          <w:iCs w:val="false"/>
          <w:sz w:val="24"/>
          <w:szCs w:val="24"/>
        </w:rPr>
        <w:t xml:space="preserve">Once the door is open, the welcome page says what the conversation is for. A person can ask, can brainstorm, can write, and can work through problems. The rhythm the page claims for that activity is an ordinary conversational exchange, the kind a person would recognize as taking turns rather than as receiving a poster. Ordinary is doing quiet work in that description. It rejects, by what it chooses to mention, the idea that the published purpose of the chat is a stunt. Questions, drafting, and problems are office words and kitchen-table words. They are the reasons people keep a chat product installed after the novelty has gone. The page does not promise that every turn will be wise. It promises a form: back and forth, in the service of those jobs. Form is part of what a person signs up for when they open a product. A form can be described honestly and still be executed badly on a given Tuesday. The welcome page is evidence of the offer, not evidence of Tuesday. For a chapter about what people open, the offer matters, because people open products for the offer they can see. They do not open them in order to admire a benchmark readme. The offer here is a conversational assistant for questions, writing, and problems. That offer neither confirms nor refutes a stranger's duty to prefer a different assistant. </w:t>
      </w:r>
      <w:r>
        <w:rPr>
          <w:rStyle w:val="FootnoteReference"/>
        </w:rPr>
        <w:footnoteReference w:id="7"/>
      </w:r>
    </w:p>
    <w:p>
      <w:pPr>
        <w:spacing w:after="200" w:line="480" w:lineRule="auto"/>
      </w:pPr>
      <w:r>
        <w:rPr>
          <w:rFonts w:ascii="Times New Roman" w:cs="Times New Roman" w:eastAsia="Times New Roman" w:hAnsi="Times New Roman"/>
          <w:i w:val="false"/>
          <w:iCs w:val="false"/>
          <w:sz w:val="24"/>
          <w:szCs w:val="24"/>
        </w:rPr>
        <w:t xml:space="preserve">Price is part of opening, because a door that costs money before the first sentence is a different door. The welcome page says Grok is free to start. The ledger's proposition on that sentence adds what the page's plan section supports: paid plans sit above the free start. Free to start is not free forever, and the chapter will not inflate it into forever. It is a claim about the first step. A stranger without a subscription can begin. A stranger who wants more than the free start is told, by the existence of paid plans, that the publisher sells a higher tier. The page, as used here, does not set out the currency amounts, the weekly quotas, or the moment when a free account hits a wall. Those details would matter to a buying guide. They are not required to establish the shape of the offer: a free beginning, paid steps above it. ChatGPT's price is not stated by this finding. A comparison of free tiers would need both prices, both limits, and a date, because consumer prices move. One side of a price, however friendly, cannot crown a product. It can tell a stranger that the cost of finding out what Grok is, at the level of opening it and starting, is described as zero. Zero at the start is a real feature of a product people use. It is not a full account of value. </w:t>
      </w:r>
      <w:r>
        <w:rPr>
          <w:rStyle w:val="FootnoteReference"/>
        </w:rPr>
        <w:footnoteReference w:id="48"/>
      </w:r>
    </w:p>
    <w:p>
      <w:pPr>
        <w:spacing w:after="200" w:line="480" w:lineRule="auto"/>
      </w:pPr>
      <w:r>
        <w:rPr>
          <w:rFonts w:ascii="Times New Roman" w:cs="Times New Roman" w:eastAsia="Times New Roman" w:hAnsi="Times New Roman"/>
          <w:i w:val="false"/>
          <w:iCs w:val="false"/>
          <w:sz w:val="24"/>
          <w:szCs w:val="24"/>
        </w:rPr>
        <w:t xml:space="preserve">The welcome page also sells the product as a place where media is made, not only as a place where prose is exchanged. It lists creating images and creating video, and it gives that capability the name Grok Imagine. Images and video are a different kind of opening than a blank chat box. Some people open a product because they want a picture, or a clip, and the words are only the way they ask. A page that names both still images and video is telling those people that the product considers their errand in scope. Naming is not a gallery of samples, and it is not a critique of anyone else's gallery. The finding does not reproduce example prompts, resolutions, or refusal rules. It establishes the capability as a listed part of the consumer product. Listed capabilities are how a stranger learns what the icon is for before they tap it. A stranger who needs video might have a reason to open this product that has nothing to do with objectivity, code, or argumentative style. A stranger who never needs video learns nothing from this line about whether the chat itself is the one they should trust with a hard question. The line is allowed to be narrow. Narrow listed facts are more trustworthy than broad implied crowns. Grok Imagine is a listed way the product makes images and video. That is the whole of the fact, and it is enough to show that the product people open is not a text-only antique. </w:t>
      </w:r>
      <w:r>
        <w:rPr>
          <w:rStyle w:val="FootnoteReference"/>
        </w:rPr>
        <w:footnoteReference w:id="25"/>
      </w:r>
    </w:p>
    <w:p>
      <w:pPr>
        <w:spacing w:after="200" w:line="480" w:lineRule="auto"/>
      </w:pPr>
      <w:r>
        <w:rPr>
          <w:rFonts w:ascii="Times New Roman" w:cs="Times New Roman" w:eastAsia="Times New Roman" w:hAnsi="Times New Roman"/>
          <w:i w:val="false"/>
          <w:iCs w:val="false"/>
          <w:sz w:val="24"/>
          <w:szCs w:val="24"/>
        </w:rPr>
        <w:t xml:space="preserve">Connectors belong in a chapter about the product people use because they change what the opened thing is connected to, which changes why a person might keep it open. The welcome page says a person can connect tools so the assistant reaches email, files, and a calendar without the person abandoning the chat. This is the consumer description, aimed at someone who has accounts and a life, not the developer description of a tool-calling loop. Email, files, and a calendar are the furniture of ordinary work. A product that claims to reach them from the conversation is claiming to be a layer on top of furniture the person already has, rather than a sealed toy. Sealed toys are easier to open and easier to abandon. A layer on top of mail is harder to abandon and harder to trust. The page makes the reach claim and does not, in this finding, publish a security review, a list of every vendor, or a failure story. The chapter will not invent that review. What it will say is that the published surface includes this reach, and that a stranger evaluating what they would be opening is entitled to count it. Counting a feature into a description is not the same act as preferring the whole product. Preference ranks. Description lists. The welcome page is a list with sentences. </w:t>
      </w:r>
      <w:r>
        <w:rPr>
          <w:rStyle w:val="FootnoteReference"/>
        </w:rPr>
        <w:footnoteReference w:id="43"/>
      </w:r>
    </w:p>
    <w:p>
      <w:pPr>
        <w:spacing w:after="200" w:line="480" w:lineRule="auto"/>
      </w:pPr>
      <w:r>
        <w:rPr>
          <w:rFonts w:ascii="Times New Roman" w:cs="Times New Roman" w:eastAsia="Times New Roman" w:hAnsi="Times New Roman"/>
          <w:i w:val="false"/>
          <w:iCs w:val="false"/>
          <w:sz w:val="24"/>
          <w:szCs w:val="24"/>
        </w:rPr>
        <w:t xml:space="preserve">There is a further published surface that a stranger can be pointed at, and it is not the ordinary turn-by-turn chat. The welcome page describes Grok Bot as a place to hand real work to automated teammates, and it places those teammates on a cloud computer that continues rather than vanishing with the session. A persistent computer is a different product shape from a box that forgets the task when the reply is done. People open chat boxes for a turn. People open something like this, if the description holds, when they want a task to keep going. The description is the publisher's, on the same welcome page as the free start and the media tools, so it is part of what the company says the product family is. Family is the careful word. The page presents the bot surface as a next place to go, not as a synonym for the chat sentence about brainstorming. A stranger can open the chat, and a stranger can be directed onward to the bot. Both are published. Neither direction contains a paragraph in which a rival product is named and found wanting. The existence of a persistent working surface makes Grok, as documented, larger than a single prompt box. Larger is a structural adjective. It does not mean better at the jobs the other box does, and it does not mean worse. It means the published product has this additional room. </w:t>
      </w:r>
      <w:r>
        <w:rPr>
          <w:rStyle w:val="FootnoteReference"/>
        </w:rPr>
        <w:footnoteReference w:id="46"/>
      </w:r>
    </w:p>
    <w:p>
      <w:pPr>
        <w:spacing w:after="200" w:line="480" w:lineRule="auto"/>
      </w:pPr>
      <w:r>
        <w:rPr>
          <w:rFonts w:ascii="Times New Roman" w:cs="Times New Roman" w:eastAsia="Times New Roman" w:hAnsi="Times New Roman"/>
          <w:i w:val="false"/>
          <w:iCs w:val="false"/>
          <w:sz w:val="24"/>
          <w:szCs w:val="24"/>
        </w:rPr>
        <w:t xml:space="preserve">OpenAI's comparable document is not a welcome page, and the difference in genre is itself part of the evidence. The readme for the model specification, dated 18 August 2026 and read 16 October 2026, says what the specification is trying to be. It states desired behavior for the models that underlie OpenAI's products, and it says the products in view include the company's interfaces for developers. Desired behavior is a standard written in advance of a particular conversation. Underlying is a placement: the models sit under the products, so the standard is about the things the products are built on, not about a button's color or a price. Including developer interfaces means the standard is not confined to the consumer chat. A person who only ever opens the consumer product is still inside the set of products the readme names, because the consumer product is one of OpenAI's products, and the models under it are the models the specification addresses. A person who never opens a consumer product and only calls an interface is inside that set as well. The readme is therefore both broader and less pictorial than a welcome page. Broader, because it covers products and interfaces together. Less pictorial, because it does not tell a stranger the street address of a website or the names of the phone stores. A stranger who wants to know where to tap is not finished when they have read the readme. A stranger who wants to know what standard the publisher says it is holding the models to has started in the right place. </w:t>
      </w:r>
      <w:r>
        <w:rPr>
          <w:rStyle w:val="FootnoteReference"/>
        </w:rPr>
        <w:footnoteReference w:id="29"/>
      </w:r>
    </w:p>
    <w:p>
      <w:pPr>
        <w:spacing w:after="200" w:line="480" w:lineRule="auto"/>
      </w:pPr>
      <w:r>
        <w:rPr>
          <w:rFonts w:ascii="Times New Roman" w:cs="Times New Roman" w:eastAsia="Times New Roman" w:hAnsi="Times New Roman"/>
          <w:i w:val="false"/>
          <w:iCs w:val="false"/>
          <w:sz w:val="24"/>
          <w:szCs w:val="24"/>
        </w:rPr>
        <w:t xml:space="preserve">Inside that standard there is a sentence about the consumer product in particular, and it is the sentence that comes closest to telling a stranger what they are owed when they open ChatGPT. The specification discusses the first-party service sold directly to consumers, the service this paper calls ChatGPT, and it says users there can reasonably expect objectivity. The ledger's proposition draws the practical edge of that sentence: objectivity rather than a hidden editorial line. A hidden editorial line would be the product quietly taking a side, shaping what is omitted, or steering the answer toward an agenda the user did not ask to subscribe to. Objectivity, as the expectation named for that first-party consumer setting, is a promise about posture. The promise is not that every answer is complete. It is that the consumer who showed up without a special contract is entitled to a posture that does not smuggle a private campaign into the reply. The specification attaches that expectation to the first-party consumer product, which is the storefront a person opens rather than a private integration. For this chapter the relevant point is the storefront. A person who opens the consumer product is, by this sentence, opening something whose publisher has written down an expectation of objectivity. That is a reason some strangers would prefer it. A reason is the beginning of an argument, not the end of a comparison, because the other product's welcome page has not been scored against this sentence. </w:t>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The two publishers have now been allowed to speak in their own genres, and the genres do not commute. SpaceXSI, on the welcome page, tells a stranger where the assistant lives, what the chat is for, that the start is free, that images and video can be made, that mail and files and a calendar can be reached from the chat, and that a bot surface hands work to teammates on a computer that persists. OpenAI, in the readme and the specification, tells a stranger that a written standard governs the models under its products, interfaces included, and that the first-party consumer storefront carries an expectation of objectivity rather than a hidden line. Suppose a stranger asks a single question: which of these should I open? The welcome page answers a different question: what will you find if you open ours? The specification answers a different question again: what posture should the models under our products take, and what may a consumer expect? Neither answer is worthless. A person can choose a product because it is locatable, free to start, and able to make a video. A person can choose a product because its publisher wrote down objectivity for the storefront. Those choices are responsive to real text. They are not forced by the text, because the text never puts the options on one scale and reads a result. A scale would have to say whether a free start outweighs a written objectivity rule, or whether a persistent computer outweighs a promise about hidden agendas, or whether phone apps outweigh a standard that also covers developer interfaces. No page read for this chapter operates that scale. </w:t>
      </w:r>
      <w:r>
        <w:rPr>
          <w:rStyle w:val="FootnoteReference"/>
        </w:rPr>
        <w:footnoteReference w:id="6"/>
      </w:r>
      <w:r>
        <w:rPr>
          <w:rStyle w:val="FootnoteReference"/>
        </w:rPr>
        <w:footnoteReference w:id="7"/>
      </w:r>
      <w:r>
        <w:rPr>
          <w:rStyle w:val="FootnoteReference"/>
        </w:rPr>
        <w:footnoteReference w:id="48"/>
      </w:r>
      <w:r>
        <w:rPr>
          <w:rStyle w:val="FootnoteReference"/>
        </w:rPr>
        <w:footnoteReference w:id="25"/>
      </w:r>
      <w:r>
        <w:rPr>
          <w:rStyle w:val="FootnoteReference"/>
        </w:rPr>
        <w:footnoteReference w:id="43"/>
      </w:r>
      <w:r>
        <w:rPr>
          <w:rStyle w:val="FootnoteReference"/>
        </w:rPr>
        <w:footnoteReference w:id="46"/>
      </w:r>
      <w:r>
        <w:rPr>
          <w:rStyle w:val="FootnoteReference"/>
        </w:rPr>
        <w:footnoteReference w:id="29"/>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There is a symmetry the proposition denies and a symmetry the documents actually support. The proposition denies symmetry when it tells the stranger to prefer one product. The documents support a duller symmetry: both companies publish a way of taking their product seriously, and neither publication crowns a champion. Grok is documented as an assistant a person can open on the web and on phones, with a free start, with media creation, with connectors, and with a further bot surface. ChatGPT is documented, through the specification and its readme, as a first-party consumer product whose users may expect objectivity, built on models whose desired behavior the specification states, including when those models sit under developer-facing products. Both, in that limited and accurate sense, are products with published surfaces. A surface can be a welcome page or a behavioral standard. Calling both of them surfaces is not a trick to make them identical. They are not identical. One will tell you the phone platforms. The other will tell you the posture owed to a person who opened the consumer product. Non-identity is exactly why a crown would require an argument that trades those goods off. The ledger does not contain the trade. A chapter that supplied the trade from habit would be laundering the proposition through a footnote that does not say it. The footnotes say what the last paragraphs said. They do not say prefer this one. </w:t>
      </w:r>
      <w:r>
        <w:rPr>
          <w:rStyle w:val="FootnoteReference"/>
        </w:rPr>
        <w:footnoteReference w:id="6"/>
      </w:r>
      <w:r>
        <w:rPr>
          <w:rStyle w:val="FootnoteReference"/>
        </w:rPr>
        <w:footnoteReference w:id="48"/>
      </w:r>
      <w:r>
        <w:rPr>
          <w:rStyle w:val="FootnoteReference"/>
        </w:rPr>
        <w:footnoteReference w:id="25"/>
      </w:r>
      <w:r>
        <w:rPr>
          <w:rStyle w:val="FootnoteReference"/>
        </w:rPr>
        <w:footnoteReference w:id="46"/>
      </w:r>
      <w:r>
        <w:rPr>
          <w:rStyle w:val="FootnoteReference"/>
        </w:rPr>
        <w:footnoteReference w:id="29"/>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What a stranger can honestly be told, at the end of the tour, fits in a short brief. You can open Grok on the web at the address the welcome page gives, and on the phone apps the page names. You can start without paying, on the page's account, and you can pay later if you want the paid tier. You can ask it to make images and video. You can connect mail, files, and a calendar. You can be pointed at a bot surface where teammates take work on a computer that persists. The chat you open is described as a turn-taking place for questions, writing, and problems. If instead you open ChatGPT, the specification that governs the models under OpenAI's products, developer interfaces included, is the publisher's account of desired behavior, and in that first-party consumer setting you are told you may reasonably expect objectivity rather than a hidden editorial line. That brief uses every finding this chapter is built on, and it never ranks the two openings. Adding the sentence therefore open the second one would add a word the brief has not earned. Adding the sentence therefore open the first one would be the same unearned word in the other direction. The proposition is that unearned sentence, aimed at ChatGPT. The chapter records the brief and withholds the sentence. </w:t>
      </w:r>
      <w:r>
        <w:rPr>
          <w:rStyle w:val="FootnoteReference"/>
        </w:rPr>
        <w:footnoteReference w:id="6"/>
      </w:r>
      <w:r>
        <w:rPr>
          <w:rStyle w:val="FootnoteReference"/>
        </w:rPr>
        <w:footnoteReference w:id="7"/>
      </w:r>
      <w:r>
        <w:rPr>
          <w:rStyle w:val="FootnoteReference"/>
        </w:rPr>
        <w:footnoteReference w:id="48"/>
      </w:r>
      <w:r>
        <w:rPr>
          <w:rStyle w:val="FootnoteReference"/>
        </w:rPr>
        <w:footnoteReference w:id="25"/>
      </w:r>
      <w:r>
        <w:rPr>
          <w:rStyle w:val="FootnoteReference"/>
        </w:rPr>
        <w:footnoteReference w:id="43"/>
      </w:r>
      <w:r>
        <w:rPr>
          <w:rStyle w:val="FootnoteReference"/>
        </w:rPr>
        <w:footnoteReference w:id="46"/>
      </w:r>
      <w:r>
        <w:rPr>
          <w:rStyle w:val="FootnoteReference"/>
        </w:rPr>
        <w:footnoteReference w:id="29"/>
      </w:r>
      <w:r>
        <w:rPr>
          <w:rStyle w:val="FootnoteReference"/>
        </w:rPr>
        <w:footnoteReference w:id="14"/>
      </w:r>
    </w:p>
    <w:p>
      <w:pPr>
        <w:spacing w:after="200" w:line="480" w:lineRule="auto"/>
      </w:pPr>
      <w:r>
        <w:rPr>
          <w:rFonts w:ascii="Times New Roman" w:cs="Times New Roman" w:eastAsia="Times New Roman" w:hAnsi="Times New Roman"/>
          <w:i w:val="false"/>
          <w:iCs w:val="false"/>
          <w:sz w:val="24"/>
          <w:szCs w:val="24"/>
        </w:rPr>
        <w:t xml:space="preserve">Mixed is the verdict that fits a pair of real products and a missing crown. If the welcome page had been empty, or if the specification had never mentioned a consumer storefront, the honest result might have been that the record cannot even describe one of the things people open. That is not the situation. Both products are publicly specified in the limited ways these findings allow. If a single shared trial had put the same stranger through the same week of work in both products and published the result, the verdict might have landed on one side. That trial is not among the findings either. Between a vacuum and a finished ranking there is this middle: enough documentation to say what each publisher claims the opened product is, and not enough to tell a stranger the preference is mandatory. The middle is not exciting. It is the part a paper owes a reader who might otherwise leave with a slogan. The slogan would be the proposition. The owed part is the description, plus the refusal to promote description into a compulsory preference. People will still prefer. They will prefer from habit, from a video they wanted, from a tone they can stand, from a rule about objectivity that matches their fear of being managed. Those motives can be intelligent. They are not, on this record, a conclusion the documents have already drawn.</w:t>
      </w:r>
    </w:p>
    <w:p>
      <w:pPr>
        <w:spacing w:after="200" w:line="480" w:lineRule="auto"/>
      </w:pPr>
      <w:r>
        <w:rPr>
          <w:rFonts w:ascii="Times New Roman" w:cs="Times New Roman" w:eastAsia="Times New Roman" w:hAnsi="Times New Roman"/>
          <w:i/>
          <w:iCs/>
          <w:sz w:val="24"/>
          <w:szCs w:val="24"/>
        </w:rPr>
        <w:t xml:space="preserve">Preference is a thumb on a phone at a bad hour. The thumb wants a champion. The pages offered a front door, a free start, pictures, moving images, and a written hope of objectivity. The thumb will still move. The pages never cast its vote.</w:t>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This is the only chapter that argues the product a person opens.</w:t>
      </w:r>
    </w:p>
    <w:p>
      <w:pPr>
        <w:pStyle w:val="Heading1"/>
        <w:pageBreakBefore/>
      </w:pPr>
      <w:r>
        <w:t xml:space="preserve">Closing</w:t>
      </w:r>
    </w:p>
    <w:p>
      <w:pPr>
        <w:spacing w:after="200" w:line="480" w:lineRule="auto"/>
      </w:pPr>
      <w:r>
        <w:rPr>
          <w:rFonts w:ascii="Times New Roman" w:cs="Times New Roman" w:eastAsia="Times New Roman" w:hAnsi="Times New Roman"/>
          <w:i w:val="false"/>
          <w:iCs w:val="false"/>
          <w:sz w:val="24"/>
          <w:szCs w:val="24"/>
        </w:rPr>
        <w:t xml:space="preserve">Proposition: The poster is a capability ranking written in the voice of a personality complaint, and the documents do not underwrite that ranking.</w:t>
      </w:r>
    </w:p>
    <w:p>
      <w:pPr>
        <w:spacing w:after="200" w:line="480" w:lineRule="auto"/>
      </w:pPr>
      <w:r>
        <w:rPr>
          <w:rFonts w:ascii="Times New Roman" w:cs="Times New Roman" w:eastAsia="Times New Roman" w:hAnsi="Times New Roman"/>
          <w:i w:val="false"/>
          <w:iCs w:val="false"/>
          <w:sz w:val="24"/>
          <w:szCs w:val="24"/>
        </w:rPr>
        <w:t xml:space="preserve">The fifteen sentences on the poster are not one claim repeated. Some of them describe a voice. Some of them describe a tic. One of them describes a ranking, and one of them describes a filter. The documents that were allowed into the ledger answer those sentences at different widths. Where a sentence named a verbal habit, the published defaults point the other way: a professional colleague, a direct answer, a thanks that does not close the conversation, and a welcome page that does not assign the tic. Where a sentence named a ranking of the two products people open, the documents describe duties, tools, and a benchmark definition, and they do not crown a winner. Mixed is the honest word for the paper as a whole because the poster is not uniformly false and not uniformly shown. </w:t>
      </w:r>
      <w:r>
        <w:rPr>
          <w:rStyle w:val="FootnoteReference"/>
        </w:rPr>
        <w:footnoteReference w:id="1"/>
      </w:r>
      <w:r>
        <w:rPr>
          <w:rStyle w:val="FootnoteReference"/>
        </w:rPr>
        <w:footnoteReference w:id="4"/>
      </w:r>
      <w:r>
        <w:rPr>
          <w:rStyle w:val="FootnoteReference"/>
        </w:rPr>
        <w:footnoteReference w:id="34"/>
      </w:r>
    </w:p>
    <w:p>
      <w:pPr>
        <w:spacing w:after="200" w:line="480" w:lineRule="auto"/>
      </w:pPr>
      <w:r>
        <w:rPr>
          <w:rFonts w:ascii="Times New Roman" w:cs="Times New Roman" w:eastAsia="Times New Roman" w:hAnsi="Times New Roman"/>
          <w:i w:val="false"/>
          <w:iCs w:val="false"/>
          <w:sz w:val="24"/>
          <w:szCs w:val="24"/>
        </w:rPr>
        <w:t xml:space="preserve">A stranger who skips the italics still has the argument. The italics are the roast. They are not evidence. The footnotes are the evidence. The song named in the front matter is the roast as well, and it is not a source. What the pages support is narrower than the drawing and sharper than a shrug. ChatGPT's published standard is a colleague who answers, hedges when unsure, and does not steer for a private agenda. Grok's published surface is an assistant a person opens on the web or a phone, with tools that can search, run code, and reach a mailbox, and with an explicit limit: without those search tools, current events are outside what the model knows. Neither description is the caption. The caption was a joke about annoyance. The paperwork is a pair of product briefs. </w:t>
      </w:r>
      <w:r>
        <w:rPr>
          <w:rStyle w:val="FootnoteReference"/>
        </w:rPr>
        <w:footnoteReference w:id="10"/>
      </w:r>
      <w:r>
        <w:rPr>
          <w:rStyle w:val="FootnoteReference"/>
        </w:rPr>
        <w:footnoteReference w:id="6"/>
      </w:r>
      <w:r>
        <w:rPr>
          <w:rStyle w:val="FootnoteReference"/>
        </w:rPr>
        <w:footnoteReference w:id="17"/>
      </w:r>
    </w:p>
    <w:p>
      <w:pPr>
        <w:spacing w:after="200" w:line="480" w:lineRule="auto"/>
      </w:pPr>
      <w:r>
        <w:rPr>
          <w:rFonts w:ascii="Times New Roman" w:cs="Times New Roman" w:eastAsia="Times New Roman" w:hAnsi="Times New Roman"/>
          <w:i w:val="false"/>
          <w:iCs w:val="false"/>
          <w:sz w:val="24"/>
          <w:szCs w:val="24"/>
        </w:rPr>
        <w:t xml:space="preserve">Verdict: mixed.</w:t>
      </w:r>
    </w:p>
    <w:p>
      <w:pPr>
        <w:spacing w:after="200" w:line="480" w:lineRule="auto"/>
      </w:pPr>
      <w:r>
        <w:rPr>
          <w:rFonts w:ascii="Times New Roman" w:cs="Times New Roman" w:eastAsia="Times New Roman" w:hAnsi="Times New Roman"/>
          <w:i w:val="false"/>
          <w:iCs w:val="false"/>
          <w:sz w:val="24"/>
          <w:szCs w:val="24"/>
        </w:rPr>
        <w:t xml:space="preserve">Consequence: The diss track remains outside the evidence.</w:t>
      </w:r>
    </w:p>
    <w:p>
      <w:pPr>
        <w:pStyle w:val="Heading1"/>
        <w:pageBreakBefore/>
      </w:pPr>
      <w:r>
        <w:t xml:space="preserve">Bibliography</w:t>
      </w:r>
    </w:p>
    <w:p>
      <w:pPr>
        <w:spacing w:after="160"/>
      </w:pPr>
      <w:r>
        <w:rPr>
          <w:rFonts w:ascii="Times New Roman" w:cs="Times New Roman" w:eastAsia="Times New Roman" w:hAnsi="Times New Roman"/>
          <w:sz w:val="20"/>
          <w:szCs w:val="20"/>
        </w:rPr>
        <w:t xml:space="preserve">F01. The OpenAI Model Spec. OpenAI, 2026-08-18. Read 2026-10-16. https://raw.githubusercontent.com/openai/model_spec/main/model_spec.md. Stable copy: ledger/stable/openai-model-spec.md. Claim IDs: C01, C04, C05.</w:t>
      </w:r>
    </w:p>
    <w:p>
      <w:pPr>
        <w:spacing w:after="160"/>
      </w:pPr>
      <w:r>
        <w:rPr>
          <w:rFonts w:ascii="Times New Roman" w:cs="Times New Roman" w:eastAsia="Times New Roman" w:hAnsi="Times New Roman"/>
          <w:sz w:val="20"/>
          <w:szCs w:val="20"/>
        </w:rPr>
        <w:t xml:space="preserve">F02. The OpenAI Model Spec. OpenAI, 2026-08-18. Read 2026-10-16. https://raw.githubusercontent.com/openai/model_spec/main/model_spec.md. Stable copy: ledger/stable/openai-model-spec.md. Claim IDs: C04, C11, C15.</w:t>
      </w:r>
    </w:p>
    <w:p>
      <w:pPr>
        <w:spacing w:after="160"/>
      </w:pPr>
      <w:r>
        <w:rPr>
          <w:rFonts w:ascii="Times New Roman" w:cs="Times New Roman" w:eastAsia="Times New Roman" w:hAnsi="Times New Roman"/>
          <w:sz w:val="20"/>
          <w:szCs w:val="20"/>
        </w:rPr>
        <w:t xml:space="preserve">F03. The OpenAI Model Spec. OpenAI, 2026-08-18. Read 2026-10-16. https://raw.githubusercontent.com/openai/model_spec/main/model_spec.md. Stable copy: ledger/stable/openai-model-spec.md. Claim IDs: C01, C05, C15.</w:t>
      </w:r>
    </w:p>
    <w:p>
      <w:pPr>
        <w:spacing w:after="160"/>
      </w:pPr>
      <w:r>
        <w:rPr>
          <w:rFonts w:ascii="Times New Roman" w:cs="Times New Roman" w:eastAsia="Times New Roman" w:hAnsi="Times New Roman"/>
          <w:sz w:val="20"/>
          <w:szCs w:val="20"/>
        </w:rPr>
        <w:t xml:space="preserve">F04. The OpenAI Model Spec. OpenAI, 2026-08-18. Read 2026-10-16. https://raw.githubusercontent.com/openai/model_spec/main/model_spec.md. Stable copy: ledger/stable/openai-model-spec.md. Claim IDs: C01, C05, C07.</w:t>
      </w:r>
    </w:p>
    <w:p>
      <w:pPr>
        <w:spacing w:after="160"/>
      </w:pPr>
      <w:r>
        <w:rPr>
          <w:rFonts w:ascii="Times New Roman" w:cs="Times New Roman" w:eastAsia="Times New Roman" w:hAnsi="Times New Roman"/>
          <w:sz w:val="20"/>
          <w:szCs w:val="20"/>
        </w:rPr>
        <w:t xml:space="preserve">F05. The OpenAI Model Spec. OpenAI, 2026-08-18. Read 2026-10-16. https://raw.githubusercontent.com/openai/model_spec/main/model_spec.md. Stable copy: ledger/stable/openai-model-spec.md. Claim IDs: C04, C05.</w:t>
      </w:r>
    </w:p>
    <w:p>
      <w:pPr>
        <w:spacing w:after="160"/>
      </w:pPr>
      <w:r>
        <w:rPr>
          <w:rFonts w:ascii="Times New Roman" w:cs="Times New Roman" w:eastAsia="Times New Roman" w:hAnsi="Times New Roman"/>
          <w:sz w:val="20"/>
          <w:szCs w:val="20"/>
        </w:rPr>
        <w:t xml:space="preserve">F06. The OpenAI Model Spec. OpenAI, 2026-08-18. Read 2026-10-16. https://raw.githubusercontent.com/openai/model_spec/main/model_spec.md. Stable copy: ledger/stable/openai-model-spec.md. Claim IDs: C06.</w:t>
      </w:r>
    </w:p>
    <w:p>
      <w:pPr>
        <w:spacing w:after="160"/>
      </w:pPr>
      <w:r>
        <w:rPr>
          <w:rFonts w:ascii="Times New Roman" w:cs="Times New Roman" w:eastAsia="Times New Roman" w:hAnsi="Times New Roman"/>
          <w:sz w:val="20"/>
          <w:szCs w:val="20"/>
        </w:rPr>
        <w:t xml:space="preserve">F07. The OpenAI Model Spec. OpenAI, 2026-08-18. Read 2026-10-16. https://raw.githubusercontent.com/openai/model_spec/main/model_spec.md. Stable copy: ledger/stable/openai-model-spec.md. Claim IDs: C02, C15.</w:t>
      </w:r>
    </w:p>
    <w:p>
      <w:pPr>
        <w:spacing w:after="160"/>
      </w:pPr>
      <w:r>
        <w:rPr>
          <w:rFonts w:ascii="Times New Roman" w:cs="Times New Roman" w:eastAsia="Times New Roman" w:hAnsi="Times New Roman"/>
          <w:sz w:val="20"/>
          <w:szCs w:val="20"/>
        </w:rPr>
        <w:t xml:space="preserve">F08. The OpenAI Model Spec. OpenAI, 2026-08-18. Read 2026-10-16. https://raw.githubusercontent.com/openai/model_spec/main/model_spec.md. Stable copy: ledger/stable/openai-model-spec.md. Claim IDs: C02, C08.</w:t>
      </w:r>
    </w:p>
    <w:p>
      <w:pPr>
        <w:spacing w:after="160"/>
      </w:pPr>
      <w:r>
        <w:rPr>
          <w:rFonts w:ascii="Times New Roman" w:cs="Times New Roman" w:eastAsia="Times New Roman" w:hAnsi="Times New Roman"/>
          <w:sz w:val="20"/>
          <w:szCs w:val="20"/>
        </w:rPr>
        <w:t xml:space="preserve">F09. The OpenAI Model Spec. OpenAI, 2026-08-18. Read 2026-10-16. https://raw.githubusercontent.com/openai/model_spec/main/model_spec.md. Stable copy: ledger/stable/openai-model-spec.md. Claim IDs: C08, L2-coding.</w:t>
      </w:r>
    </w:p>
    <w:p>
      <w:pPr>
        <w:spacing w:after="160"/>
      </w:pPr>
      <w:r>
        <w:rPr>
          <w:rFonts w:ascii="Times New Roman" w:cs="Times New Roman" w:eastAsia="Times New Roman" w:hAnsi="Times New Roman"/>
          <w:sz w:val="20"/>
          <w:szCs w:val="20"/>
        </w:rPr>
        <w:t xml:space="preserve">F10. The OpenAI Model Spec. OpenAI, 2026-08-18. Read 2026-10-16. https://raw.githubusercontent.com/openai/model_spec/main/model_spec.md. Stable copy: ledger/stable/openai-model-spec.md. Claim IDs: C08, L2-tools.</w:t>
      </w:r>
    </w:p>
    <w:p>
      <w:pPr>
        <w:spacing w:after="160"/>
      </w:pPr>
      <w:r>
        <w:rPr>
          <w:rFonts w:ascii="Times New Roman" w:cs="Times New Roman" w:eastAsia="Times New Roman" w:hAnsi="Times New Roman"/>
          <w:sz w:val="20"/>
          <w:szCs w:val="20"/>
        </w:rPr>
        <w:t xml:space="preserve">F11. The OpenAI Model Spec. OpenAI, 2026-08-18. Read 2026-10-16. https://raw.githubusercontent.com/openai/model_spec/main/model_spec.md. Stable copy: ledger/stable/openai-model-spec.md. Claim IDs: C11, C12.</w:t>
      </w:r>
    </w:p>
    <w:p>
      <w:pPr>
        <w:spacing w:after="160"/>
      </w:pPr>
      <w:r>
        <w:rPr>
          <w:rFonts w:ascii="Times New Roman" w:cs="Times New Roman" w:eastAsia="Times New Roman" w:hAnsi="Times New Roman"/>
          <w:sz w:val="20"/>
          <w:szCs w:val="20"/>
        </w:rPr>
        <w:t xml:space="preserve">F12. The OpenAI Model Spec. OpenAI, 2026-08-18. Read 2026-10-16. https://raw.githubusercontent.com/openai/model_spec/main/model_spec.md. Stable copy: ledger/stable/openai-model-spec.md. Claim IDs: C11, C12.</w:t>
      </w:r>
    </w:p>
    <w:p>
      <w:pPr>
        <w:spacing w:after="160"/>
      </w:pPr>
      <w:r>
        <w:rPr>
          <w:rFonts w:ascii="Times New Roman" w:cs="Times New Roman" w:eastAsia="Times New Roman" w:hAnsi="Times New Roman"/>
          <w:sz w:val="20"/>
          <w:szCs w:val="20"/>
        </w:rPr>
        <w:t xml:space="preserve">F13. The OpenAI Model Spec. OpenAI, 2026-08-18. Read 2026-10-16. https://raw.githubusercontent.com/openai/model_spec/main/model_spec.md. Stable copy: ledger/stable/openai-model-spec.md. Claim IDs: C06, C10.</w:t>
      </w:r>
    </w:p>
    <w:p>
      <w:pPr>
        <w:spacing w:after="160"/>
      </w:pPr>
      <w:r>
        <w:rPr>
          <w:rFonts w:ascii="Times New Roman" w:cs="Times New Roman" w:eastAsia="Times New Roman" w:hAnsi="Times New Roman"/>
          <w:sz w:val="20"/>
          <w:szCs w:val="20"/>
        </w:rPr>
        <w:t xml:space="preserve">F14. The OpenAI Model Spec. OpenAI, 2026-08-18. Read 2026-10-16. https://raw.githubusercontent.com/openai/model_spec/main/model_spec.md. Stable copy: ledger/stable/openai-model-spec.md. Claim IDs: C10.</w:t>
      </w:r>
    </w:p>
    <w:p>
      <w:pPr>
        <w:spacing w:after="160"/>
      </w:pPr>
      <w:r>
        <w:rPr>
          <w:rFonts w:ascii="Times New Roman" w:cs="Times New Roman" w:eastAsia="Times New Roman" w:hAnsi="Times New Roman"/>
          <w:sz w:val="20"/>
          <w:szCs w:val="20"/>
        </w:rPr>
        <w:t xml:space="preserve">F15. The OpenAI Model Spec. OpenAI, 2026-08-18. Read 2026-10-16. https://raw.githubusercontent.com/openai/model_spec/main/model_spec.md. Stable copy: ledger/stable/openai-model-spec.md. Claim IDs: C14.</w:t>
      </w:r>
    </w:p>
    <w:p>
      <w:pPr>
        <w:spacing w:after="160"/>
      </w:pPr>
      <w:r>
        <w:rPr>
          <w:rFonts w:ascii="Times New Roman" w:cs="Times New Roman" w:eastAsia="Times New Roman" w:hAnsi="Times New Roman"/>
          <w:sz w:val="20"/>
          <w:szCs w:val="20"/>
        </w:rPr>
        <w:t xml:space="preserve">F16. The OpenAI Model Spec. OpenAI, 2026-08-18. Read 2026-10-16. https://raw.githubusercontent.com/openai/model_spec/main/model_spec.md. Stable copy: ledger/stable/openai-model-spec.md. Claim IDs: C14.</w:t>
      </w:r>
    </w:p>
    <w:p>
      <w:pPr>
        <w:spacing w:after="160"/>
      </w:pPr>
      <w:r>
        <w:rPr>
          <w:rFonts w:ascii="Times New Roman" w:cs="Times New Roman" w:eastAsia="Times New Roman" w:hAnsi="Times New Roman"/>
          <w:sz w:val="20"/>
          <w:szCs w:val="20"/>
        </w:rPr>
        <w:t xml:space="preserve">F17. The OpenAI Model Spec. OpenAI, 2026-08-18. Read 2026-10-16. https://raw.githubusercontent.com/openai/model_spec/main/model_spec.md. Stable copy: ledger/stable/openai-model-spec.md. Claim IDs: C02.</w:t>
      </w:r>
    </w:p>
    <w:p>
      <w:pPr>
        <w:spacing w:after="160"/>
      </w:pPr>
      <w:r>
        <w:rPr>
          <w:rFonts w:ascii="Times New Roman" w:cs="Times New Roman" w:eastAsia="Times New Roman" w:hAnsi="Times New Roman"/>
          <w:sz w:val="20"/>
          <w:szCs w:val="20"/>
        </w:rPr>
        <w:t xml:space="preserve">F18. The OpenAI Model Spec. OpenAI, 2026-08-18. Read 2026-10-16. https://raw.githubusercontent.com/openai/model_spec/main/model_spec.md. Stable copy: ledger/stable/openai-model-spec.md. Claim IDs: C02, C08.</w:t>
      </w:r>
    </w:p>
    <w:p>
      <w:pPr>
        <w:spacing w:after="160"/>
      </w:pPr>
      <w:r>
        <w:rPr>
          <w:rFonts w:ascii="Times New Roman" w:cs="Times New Roman" w:eastAsia="Times New Roman" w:hAnsi="Times New Roman"/>
          <w:sz w:val="20"/>
          <w:szCs w:val="20"/>
        </w:rPr>
        <w:t xml:space="preserve">F19. The OpenAI Model Spec. OpenAI, 2026-08-18. Read 2026-10-16. https://raw.githubusercontent.com/openai/model_spec/main/model_spec.md. Stable copy: ledger/stable/openai-model-spec.md. Claim IDs: C02, C03.</w:t>
      </w:r>
    </w:p>
    <w:p>
      <w:pPr>
        <w:spacing w:after="160"/>
      </w:pPr>
      <w:r>
        <w:rPr>
          <w:rFonts w:ascii="Times New Roman" w:cs="Times New Roman" w:eastAsia="Times New Roman" w:hAnsi="Times New Roman"/>
          <w:sz w:val="20"/>
          <w:szCs w:val="20"/>
        </w:rPr>
        <w:t xml:space="preserve">F20. The OpenAI Model Spec. OpenAI, 2026-08-18. Read 2026-10-16. https://raw.githubusercontent.com/openai/model_spec/main/model_spec.md. Stable copy: ledger/stable/openai-model-spec.md. Claim IDs: C04, C07.</w:t>
      </w:r>
    </w:p>
    <w:p>
      <w:pPr>
        <w:spacing w:after="160"/>
      </w:pPr>
      <w:r>
        <w:rPr>
          <w:rFonts w:ascii="Times New Roman" w:cs="Times New Roman" w:eastAsia="Times New Roman" w:hAnsi="Times New Roman"/>
          <w:sz w:val="20"/>
          <w:szCs w:val="20"/>
        </w:rPr>
        <w:t xml:space="preserve">F21. Welcome to Grok. SpaceXSI, 2026-10-10. Read 2026-10-16. https://docs.x.ai/grok/overview. Stable copy: ledger/stable/grok-overview.html. Claim IDs: C09, L-mug, L-mark, L-hoodie, L2-product.</w:t>
      </w:r>
    </w:p>
    <w:p>
      <w:pPr>
        <w:spacing w:after="160"/>
      </w:pPr>
      <w:r>
        <w:rPr>
          <w:rFonts w:ascii="Times New Roman" w:cs="Times New Roman" w:eastAsia="Times New Roman" w:hAnsi="Times New Roman"/>
          <w:sz w:val="20"/>
          <w:szCs w:val="20"/>
        </w:rPr>
        <w:t xml:space="preserve">F22. Welcome to Grok. SpaceXSI, 2026-10-10. Read 2026-10-16. https://docs.x.ai/grok/overview. Stable copy: ledger/stable/grok-overview.html. Claim IDs: C01, C07, C11.</w:t>
      </w:r>
    </w:p>
    <w:p>
      <w:pPr>
        <w:spacing w:after="160"/>
      </w:pPr>
      <w:r>
        <w:rPr>
          <w:rFonts w:ascii="Times New Roman" w:cs="Times New Roman" w:eastAsia="Times New Roman" w:hAnsi="Times New Roman"/>
          <w:sz w:val="20"/>
          <w:szCs w:val="20"/>
        </w:rPr>
        <w:t xml:space="preserve">F23. Welcome to Grok. SpaceXSI, 2026-10-10. Read 2026-10-16. https://docs.x.ai/grok/overview. Stable copy: ledger/stable/grok-overview.html. Claim IDs: L2-product.</w:t>
      </w:r>
    </w:p>
    <w:p>
      <w:pPr>
        <w:spacing w:after="160"/>
      </w:pPr>
      <w:r>
        <w:rPr>
          <w:rFonts w:ascii="Times New Roman" w:cs="Times New Roman" w:eastAsia="Times New Roman" w:hAnsi="Times New Roman"/>
          <w:sz w:val="20"/>
          <w:szCs w:val="20"/>
        </w:rPr>
        <w:t xml:space="preserve">F24. Welcome to Grok. SpaceXSI, 2026-10-10. Read 2026-10-16. https://docs.x.ai/grok/overview. Stable copy: ledger/stable/grok-overview.html. Claim IDs: L2-tools, L2-product.</w:t>
      </w:r>
    </w:p>
    <w:p>
      <w:pPr>
        <w:spacing w:after="160"/>
      </w:pPr>
      <w:r>
        <w:rPr>
          <w:rFonts w:ascii="Times New Roman" w:cs="Times New Roman" w:eastAsia="Times New Roman" w:hAnsi="Times New Roman"/>
          <w:sz w:val="20"/>
          <w:szCs w:val="20"/>
        </w:rPr>
        <w:t xml:space="preserve">F25. Welcome to Grok. SpaceXSI, 2026-10-10. Read 2026-10-16. https://docs.x.ai/grok/overview. Stable copy: ledger/stable/grok-overview.html. Claim IDs: L2-tools.</w:t>
      </w:r>
    </w:p>
    <w:p>
      <w:pPr>
        <w:spacing w:after="160"/>
      </w:pPr>
      <w:r>
        <w:rPr>
          <w:rFonts w:ascii="Times New Roman" w:cs="Times New Roman" w:eastAsia="Times New Roman" w:hAnsi="Times New Roman"/>
          <w:sz w:val="20"/>
          <w:szCs w:val="20"/>
        </w:rPr>
        <w:t xml:space="preserve">F26. Welcome to Grok. SpaceXSI, 2026-10-10. Read 2026-10-16. https://docs.x.ai/grok/overview. Stable copy: ledger/stable/grok-overview.html. Claim IDs: C07, L2-product.</w:t>
      </w:r>
    </w:p>
    <w:p>
      <w:pPr>
        <w:spacing w:after="160"/>
      </w:pPr>
      <w:r>
        <w:rPr>
          <w:rFonts w:ascii="Times New Roman" w:cs="Times New Roman" w:eastAsia="Times New Roman" w:hAnsi="Times New Roman"/>
          <w:sz w:val="20"/>
          <w:szCs w:val="20"/>
        </w:rPr>
        <w:t xml:space="preserve">F27. Welcome to Grok. SpaceXSI, 2026-10-10. Read 2026-10-16. https://docs.x.ai/grok/overview. Stable copy: ledger/stable/grok-overview.html. Claim IDs: L2-tools, L2-product.</w:t>
      </w:r>
    </w:p>
    <w:p>
      <w:pPr>
        <w:spacing w:after="160"/>
      </w:pPr>
      <w:r>
        <w:rPr>
          <w:rFonts w:ascii="Times New Roman" w:cs="Times New Roman" w:eastAsia="Times New Roman" w:hAnsi="Times New Roman"/>
          <w:sz w:val="20"/>
          <w:szCs w:val="20"/>
        </w:rPr>
        <w:t xml:space="preserve">F28. Tools Overview. SpaceXSI, 2026-10-10. Read 2026-10-16. https://docs.x.ai/developers/tools/overview. Stable copy: ledger/stable/grok-tools.html. Claim IDs: L2-tools.</w:t>
      </w:r>
    </w:p>
    <w:p>
      <w:pPr>
        <w:spacing w:after="160"/>
      </w:pPr>
      <w:r>
        <w:rPr>
          <w:rFonts w:ascii="Times New Roman" w:cs="Times New Roman" w:eastAsia="Times New Roman" w:hAnsi="Times New Roman"/>
          <w:sz w:val="20"/>
          <w:szCs w:val="20"/>
        </w:rPr>
        <w:t xml:space="preserve">F29. Tools Overview. SpaceXSI, 2026-10-10. Read 2026-10-16. https://docs.x.ai/developers/tools/overview. Stable copy: ledger/stable/grok-tools.html. Claim IDs: C14, L2-tools.</w:t>
      </w:r>
    </w:p>
    <w:p>
      <w:pPr>
        <w:spacing w:after="160"/>
      </w:pPr>
      <w:r>
        <w:rPr>
          <w:rFonts w:ascii="Times New Roman" w:cs="Times New Roman" w:eastAsia="Times New Roman" w:hAnsi="Times New Roman"/>
          <w:sz w:val="20"/>
          <w:szCs w:val="20"/>
        </w:rPr>
        <w:t xml:space="preserve">F30. Tools Overview. SpaceXSI, 2026-10-10. Read 2026-10-16. https://docs.x.ai/developers/tools/overview. Stable copy: ledger/stable/grok-tools.html. Claim IDs: C03, C14.</w:t>
      </w:r>
    </w:p>
    <w:p>
      <w:pPr>
        <w:spacing w:after="160"/>
      </w:pPr>
      <w:r>
        <w:rPr>
          <w:rFonts w:ascii="Times New Roman" w:cs="Times New Roman" w:eastAsia="Times New Roman" w:hAnsi="Times New Roman"/>
          <w:sz w:val="20"/>
          <w:szCs w:val="20"/>
        </w:rPr>
        <w:t xml:space="preserve">F31. Tools Overview. SpaceXSI, 2026-10-10. Read 2026-10-16. https://docs.x.ai/developers/tools/overview. Stable copy: ledger/stable/grok-tools.html. Claim IDs: L2-coding, L2-tools.</w:t>
      </w:r>
    </w:p>
    <w:p>
      <w:pPr>
        <w:spacing w:after="160"/>
      </w:pPr>
      <w:r>
        <w:rPr>
          <w:rFonts w:ascii="Times New Roman" w:cs="Times New Roman" w:eastAsia="Times New Roman" w:hAnsi="Times New Roman"/>
          <w:sz w:val="20"/>
          <w:szCs w:val="20"/>
        </w:rPr>
        <w:t xml:space="preserve">F32. Tools Overview. SpaceXSI, 2026-10-10. Read 2026-10-16. https://docs.x.ai/developers/tools/overview. Stable copy: ledger/stable/grok-tools.html. Claim IDs: C06, L2-tools.</w:t>
      </w:r>
    </w:p>
    <w:p>
      <w:pPr>
        <w:spacing w:after="160"/>
      </w:pPr>
      <w:r>
        <w:rPr>
          <w:rFonts w:ascii="Times New Roman" w:cs="Times New Roman" w:eastAsia="Times New Roman" w:hAnsi="Times New Roman"/>
          <w:sz w:val="20"/>
          <w:szCs w:val="20"/>
        </w:rPr>
        <w:t xml:space="preserve">F33. Tools Overview. SpaceXSI, 2026-10-10. Read 2026-10-16. https://docs.x.ai/developers/tools/overview. Stable copy: ledger/stable/grok-tools.html. Claim IDs: C06, L2-tools.</w:t>
      </w:r>
    </w:p>
    <w:p>
      <w:pPr>
        <w:spacing w:after="160"/>
      </w:pPr>
      <w:r>
        <w:rPr>
          <w:rFonts w:ascii="Times New Roman" w:cs="Times New Roman" w:eastAsia="Times New Roman" w:hAnsi="Times New Roman"/>
          <w:sz w:val="20"/>
          <w:szCs w:val="20"/>
        </w:rPr>
        <w:t xml:space="preserve">F34. Grok Models and Pricing. SpaceXSI, 2026-09-21. Read 2026-10-16. https://docs.x.ai/developers/models. Stable copy: ledger/stable/grok-models.html. Claim IDs: C03, C14, L2-tools.</w:t>
      </w:r>
    </w:p>
    <w:p>
      <w:pPr>
        <w:spacing w:after="160"/>
      </w:pPr>
      <w:r>
        <w:rPr>
          <w:rFonts w:ascii="Times New Roman" w:cs="Times New Roman" w:eastAsia="Times New Roman" w:hAnsi="Times New Roman"/>
          <w:sz w:val="20"/>
          <w:szCs w:val="20"/>
        </w:rPr>
        <w:t xml:space="preserve">F35. Grok Models and Pricing. SpaceXSI, 2026-09-21. Read 2026-10-16. https://docs.x.ai/developers/models. Stable copy: ledger/stable/grok-models.html. Claim IDs: C08, L2-coding.</w:t>
      </w:r>
    </w:p>
    <w:p>
      <w:pPr>
        <w:spacing w:after="160"/>
      </w:pPr>
      <w:r>
        <w:rPr>
          <w:rFonts w:ascii="Times New Roman" w:cs="Times New Roman" w:eastAsia="Times New Roman" w:hAnsi="Times New Roman"/>
          <w:sz w:val="20"/>
          <w:szCs w:val="20"/>
        </w:rPr>
        <w:t xml:space="preserve">F36. Grok Models and Pricing. SpaceXSI, 2026-09-21. Read 2026-10-16. https://docs.x.ai/developers/models. Stable copy: ledger/stable/grok-models.html. Claim IDs: L2-coding, C13.</w:t>
      </w:r>
    </w:p>
    <w:p>
      <w:pPr>
        <w:spacing w:after="160"/>
      </w:pPr>
      <w:r>
        <w:rPr>
          <w:rFonts w:ascii="Times New Roman" w:cs="Times New Roman" w:eastAsia="Times New Roman" w:hAnsi="Times New Roman"/>
          <w:sz w:val="20"/>
          <w:szCs w:val="20"/>
        </w:rPr>
        <w:t xml:space="preserve">F37. SWE-bench README. SWE-bench, 2026-09-01. Read 2026-10-16. https://raw.githubusercontent.com/SWE-bench/SWE-bench/master/README.md. Stable copy: ledger/stable/swe-bench-readme.md. Claim IDs: L2-coding, C13.</w:t>
      </w:r>
    </w:p>
    <w:p>
      <w:pPr>
        <w:spacing w:after="160"/>
      </w:pPr>
      <w:r>
        <w:rPr>
          <w:rFonts w:ascii="Times New Roman" w:cs="Times New Roman" w:eastAsia="Times New Roman" w:hAnsi="Times New Roman"/>
          <w:sz w:val="20"/>
          <w:szCs w:val="20"/>
        </w:rPr>
        <w:t xml:space="preserve">F38. SWE-bench README. SWE-bench, 2026-09-01. Read 2026-10-16. https://raw.githubusercontent.com/SWE-bench/SWE-bench/master/README.md. Stable copy: ledger/stable/swe-bench-readme.md. Claim IDs: L2-coding.</w:t>
      </w:r>
    </w:p>
    <w:p>
      <w:pPr>
        <w:spacing w:after="160"/>
      </w:pPr>
      <w:r>
        <w:rPr>
          <w:rFonts w:ascii="Times New Roman" w:cs="Times New Roman" w:eastAsia="Times New Roman" w:hAnsi="Times New Roman"/>
          <w:sz w:val="20"/>
          <w:szCs w:val="20"/>
        </w:rPr>
        <w:t xml:space="preserve">F39. SWE-bench README. SWE-bench, 2026-09-01. Read 2026-10-16. https://raw.githubusercontent.com/SWE-bench/SWE-bench/master/README.md. Stable copy: ledger/stable/swe-bench-readme.md. Claim IDs: L2-coding, C13.</w:t>
      </w:r>
    </w:p>
    <w:p>
      <w:pPr>
        <w:spacing w:after="160"/>
      </w:pPr>
      <w:r>
        <w:rPr>
          <w:rFonts w:ascii="Times New Roman" w:cs="Times New Roman" w:eastAsia="Times New Roman" w:hAnsi="Times New Roman"/>
          <w:sz w:val="20"/>
          <w:szCs w:val="20"/>
        </w:rPr>
        <w:t xml:space="preserve">F40. The OpenAI Model Spec README. OpenAI, 2026-08-18. Read 2026-10-16. https://raw.githubusercontent.com/openai/model_spec/main/README.md. Stable copy: ledger/stable/openai-model-spec-readme.md. Claim IDs: C12, L2-product.</w:t>
      </w:r>
    </w:p>
    <w:p>
      <w:pPr>
        <w:spacing w:after="160"/>
      </w:pPr>
      <w:r>
        <w:rPr>
          <w:rFonts w:ascii="Times New Roman" w:cs="Times New Roman" w:eastAsia="Times New Roman" w:hAnsi="Times New Roman"/>
          <w:sz w:val="20"/>
          <w:szCs w:val="20"/>
        </w:rPr>
        <w:t xml:space="preserve">F41. The OpenAI Model Spec. OpenAI, 2026-08-18. Read 2026-10-16. https://raw.githubusercontent.com/openai/model_spec/main/model_spec.md. Stable copy: ledger/stable/openai-model-spec.md. Claim IDs: C02, C14, L2-product.</w:t>
      </w:r>
    </w:p>
    <w:p>
      <w:pPr>
        <w:spacing w:after="160"/>
      </w:pPr>
      <w:r>
        <w:rPr>
          <w:rFonts w:ascii="Times New Roman" w:cs="Times New Roman" w:eastAsia="Times New Roman" w:hAnsi="Times New Roman"/>
          <w:sz w:val="20"/>
          <w:szCs w:val="20"/>
        </w:rPr>
        <w:t xml:space="preserve">F42. Welcome to Grok. SpaceXSI, 2026-10-10. Read 2026-10-16. https://docs.x.ai/grok/overview. Stable copy: ledger/stable/grok-overview.html. Claim IDs: C09.</w:t>
      </w:r>
    </w:p>
    <w:p>
      <w:pPr>
        <w:spacing w:after="160"/>
      </w:pPr>
      <w:r>
        <w:rPr>
          <w:rFonts w:ascii="Times New Roman" w:cs="Times New Roman" w:eastAsia="Times New Roman" w:hAnsi="Times New Roman"/>
          <w:sz w:val="20"/>
          <w:szCs w:val="20"/>
        </w:rPr>
        <w:t xml:space="preserve">F43. Welcome to Grok. SpaceXSI, 2026-10-10. Read 2026-10-16. https://docs.x.ai/grok/overview. Stable copy: ledger/stable/grok-overview.html. Claim IDs: C04, C06, C10, C12.</w:t>
      </w:r>
    </w:p>
    <w:p>
      <w:pPr>
        <w:spacing w:after="160"/>
      </w:pPr>
      <w:r>
        <w:rPr>
          <w:rFonts w:ascii="Times New Roman" w:cs="Times New Roman" w:eastAsia="Times New Roman" w:hAnsi="Times New Roman"/>
          <w:sz w:val="20"/>
          <w:szCs w:val="20"/>
        </w:rPr>
        <w:t xml:space="preserve">F44. Tools Overview. SpaceXSI, 2026-10-10. Read 2026-10-16. https://docs.x.ai/developers/tools/overview. Stable copy: ledger/stable/grok-tools.html. Claim IDs: C03.</w:t>
      </w:r>
    </w:p>
    <w:p>
      <w:pPr>
        <w:spacing w:after="160"/>
      </w:pPr>
      <w:r>
        <w:rPr>
          <w:rFonts w:ascii="Times New Roman" w:cs="Times New Roman" w:eastAsia="Times New Roman" w:hAnsi="Times New Roman"/>
          <w:sz w:val="20"/>
          <w:szCs w:val="20"/>
        </w:rPr>
        <w:t xml:space="preserve">F45. Tools Overview. SpaceXSI, 2026-10-10. Read 2026-10-16. https://docs.x.ai/developers/tools/overview. Stable copy: ledger/stable/grok-tools.html. Claim IDs: L2-tools.</w:t>
      </w:r>
    </w:p>
    <w:p>
      <w:pPr>
        <w:spacing w:after="160"/>
      </w:pPr>
      <w:r>
        <w:rPr>
          <w:rFonts w:ascii="Times New Roman" w:cs="Times New Roman" w:eastAsia="Times New Roman" w:hAnsi="Times New Roman"/>
          <w:sz w:val="20"/>
          <w:szCs w:val="20"/>
        </w:rPr>
        <w:t xml:space="preserve">F46. The OpenAI Model Spec. OpenAI, 2026-08-18. Read 2026-10-16. https://raw.githubusercontent.com/openai/model_spec/main/model_spec.md. Stable copy: ledger/stable/openai-model-spec.md. Claim IDs: C08, L2-coding.</w:t>
      </w:r>
    </w:p>
    <w:p>
      <w:pPr>
        <w:spacing w:after="160"/>
      </w:pPr>
      <w:r>
        <w:rPr>
          <w:rFonts w:ascii="Times New Roman" w:cs="Times New Roman" w:eastAsia="Times New Roman" w:hAnsi="Times New Roman"/>
          <w:sz w:val="20"/>
          <w:szCs w:val="20"/>
        </w:rPr>
        <w:t xml:space="preserve">F47. The OpenAI Model Spec. OpenAI, 2026-08-18. Read 2026-10-16. https://raw.githubusercontent.com/openai/model_spec/main/model_spec.md. Stable copy: ledger/stable/openai-model-spec.md. Claim IDs: C11.</w:t>
      </w:r>
    </w:p>
    <w:p>
      <w:pPr>
        <w:spacing w:after="160"/>
      </w:pPr>
      <w:r>
        <w:rPr>
          <w:rFonts w:ascii="Times New Roman" w:cs="Times New Roman" w:eastAsia="Times New Roman" w:hAnsi="Times New Roman"/>
          <w:sz w:val="20"/>
          <w:szCs w:val="20"/>
        </w:rPr>
        <w:t xml:space="preserve">F48. The OpenAI Model Spec. OpenAI, 2026-08-18. Read 2026-10-16. https://raw.githubusercontent.com/openai/model_spec/main/model_spec.md. Stable copy: ledger/stable/openai-model-spec.md. Claim IDs: C06, C12.</w:t>
      </w:r>
    </w:p>
    <w:p>
      <w:pPr>
        <w:pStyle w:val="Heading1"/>
        <w:pageBreakBefore/>
      </w:pPr>
      <w:r>
        <w:t xml:space="preserve">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1400"/>
        <w:gridCol w:w="1360"/>
      </w:tblGrid>
      <w:tr>
        <w:trPr>
          <w:tblHeader/>
        </w:trP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ID</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Chapter</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Verdict</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C01</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C01</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C02</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C02</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C03</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C03</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C04</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C04</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C05</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C05</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C06</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C06</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C07</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C07</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C08</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C08</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C09</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C09</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C10</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C10</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C11</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C11</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C12</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C12</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C13</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C13</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C14</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C14</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mixed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C15</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C15</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L-mug</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C09</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L-mark</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C09</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r>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L-hoodie</w:t>
            </w:r>
          </w:p>
        </w:tc>
        <w:tc>
          <w:tcPr>
            <w:tcW w:type="dxa" w:w="52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C09</w:t>
            </w:r>
          </w:p>
        </w:tc>
        <w:tc>
          <w:tcPr>
            <w:tcW w:type="dxa" w:w="140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refuted</w:t>
            </w:r>
          </w:p>
        </w:tc>
        <w:tc>
          <w:tcPr>
            <w:tcW w:type="dxa" w:w="1360"/>
            <w:tcBorders>
              <w:top w:val="single" w:color="CCCCCC" w:sz="4"/>
              <w:left w:val="single" w:color="CCCCCC" w:sz="4"/>
              <w:bottom w:val="single" w:color="CCCCCC" w:sz="4"/>
              <w:right w:val="single" w:color="CCCCCC" w:sz="4"/>
            </w:tcBorders>
            <w:tcMar>
              <w:top w:type="dxa" w:w="60"/>
              <w:left w:type="dxa" w:w="80"/>
              <w:bottom w:type="dxa" w:w="60"/>
              <w:right w:type="dxa" w:w="80"/>
            </w:tcMar>
          </w:tcPr>
          <w:p>
            <w:r>
              <w:rPr>
                <w:rFonts w:ascii="Times New Roman" w:cs="Times New Roman" w:eastAsia="Times New Roman" w:hAnsi="Times New Roman"/>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20"/>
          <w:szCs w:val="20"/>
        </w:rPr>
        <w:t xml:space="preserve">F01. The OpenAI Model Spec. OpenAI, 2026-08-18. Read 2026-10-16. https://raw.githubusercontent.com/openai/model_spec/main/model_spec.md. Quotation: By default, the assistant should adopt a professional tone..</w:t>
      </w:r>
    </w:p>
  </w:footnote>
  <w:footnote w:id="2">
    <w:p>
      <w:r>
        <w:rPr>
          <w:rStyle w:val="FootnoteReference"/>
        </w:rPr>
        <w:footnoteRef/>
      </w:r>
      <w:r>
        <w:rPr>
          <w:rFonts w:ascii="Times New Roman" w:cs="Times New Roman" w:eastAsia="Times New Roman" w:hAnsi="Times New Roman"/>
          <w:sz w:val="20"/>
          <w:szCs w:val="20"/>
        </w:rPr>
        <w:t xml:space="preserve">F02. The OpenAI Model Spec. OpenAI, 2026-08-18. Read 2026-10-16. https://raw.githubusercontent.com/openai/model_spec/main/model_spec.md. Quotation: By default, it should sound like a colleague, rather than a close personal friend.</w:t>
      </w:r>
    </w:p>
  </w:footnote>
  <w:footnote w:id="3">
    <w:p>
      <w:r>
        <w:rPr>
          <w:rStyle w:val="FootnoteReference"/>
        </w:rPr>
        <w:footnoteRef/>
      </w:r>
      <w:r>
        <w:rPr>
          <w:rFonts w:ascii="Times New Roman" w:cs="Times New Roman" w:eastAsia="Times New Roman" w:hAnsi="Times New Roman"/>
          <w:sz w:val="20"/>
          <w:szCs w:val="20"/>
        </w:rPr>
        <w:t xml:space="preserve">F03. The OpenAI Model Spec. OpenAI, 2026-08-18. Read 2026-10-16. https://raw.githubusercontent.com/openai/model_spec/main/model_spec.md. Quotation: The assistant should by default avoid "purple prose," hyperbole, self-aggrandizing, and clichéd phrases.</w:t>
      </w:r>
    </w:p>
  </w:footnote>
  <w:footnote w:id="4">
    <w:p>
      <w:r>
        <w:rPr>
          <w:rStyle w:val="FootnoteReference"/>
        </w:rPr>
        <w:footnoteRef/>
      </w:r>
      <w:r>
        <w:rPr>
          <w:rFonts w:ascii="Times New Roman" w:cs="Times New Roman" w:eastAsia="Times New Roman" w:hAnsi="Times New Roman"/>
          <w:sz w:val="20"/>
          <w:szCs w:val="20"/>
        </w:rPr>
        <w:t xml:space="preserve">F13. The OpenAI Model Spec. OpenAI, 2026-08-18. Read 2026-10-16. https://raw.githubusercontent.com/openai/model_spec/main/model_spec.md. Quotation: If the user asks a question, the response should be phrased as a direct answer rather than a list of facts[^zx8z].</w:t>
      </w:r>
    </w:p>
  </w:footnote>
  <w:footnote w:id="5">
    <w:p>
      <w:r>
        <w:rPr>
          <w:rStyle w:val="FootnoteReference"/>
        </w:rPr>
        <w:footnoteRef/>
      </w:r>
      <w:r>
        <w:rPr>
          <w:rFonts w:ascii="Times New Roman" w:cs="Times New Roman" w:eastAsia="Times New Roman" w:hAnsi="Times New Roman"/>
          <w:sz w:val="20"/>
          <w:szCs w:val="20"/>
        </w:rPr>
        <w:t xml:space="preserve">F04. The OpenAI Model Spec. OpenAI, 2026-08-18. Read 2026-10-16. https://raw.githubusercontent.com/openai/model_spec/main/model_spec.md. Quotation: The assistant complements consistency with a spark of the unexpected, infusing interactions with context-appropriate humor, playfulness, or gentle wit.</w:t>
      </w:r>
    </w:p>
  </w:footnote>
  <w:footnote w:id="6">
    <w:p>
      <w:r>
        <w:rPr>
          <w:rStyle w:val="FootnoteReference"/>
        </w:rPr>
        <w:footnoteRef/>
      </w:r>
      <w:r>
        <w:rPr>
          <w:rFonts w:ascii="Times New Roman" w:cs="Times New Roman" w:eastAsia="Times New Roman" w:hAnsi="Times New Roman"/>
          <w:sz w:val="20"/>
          <w:szCs w:val="20"/>
        </w:rPr>
        <w:t xml:space="preserve">F21. Welcome to Grok. SpaceXSI, 2026-10-10. Read 2026-10-16. https://docs.x.ai/grok/overview. Quotation: Grok is SpaceXSI's assistant, available on the web at grok.com and in the iOS and Android apps..</w:t>
      </w:r>
    </w:p>
  </w:footnote>
  <w:footnote w:id="7">
    <w:p>
      <w:r>
        <w:rPr>
          <w:rStyle w:val="FootnoteReference"/>
        </w:rPr>
        <w:footnoteRef/>
      </w:r>
      <w:r>
        <w:rPr>
          <w:rFonts w:ascii="Times New Roman" w:cs="Times New Roman" w:eastAsia="Times New Roman" w:hAnsi="Times New Roman"/>
          <w:sz w:val="20"/>
          <w:szCs w:val="20"/>
        </w:rPr>
        <w:t xml:space="preserve">F22. Welcome to Grok. SpaceXSI, 2026-10-10. Read 2026-10-16. https://docs.x.ai/grok/overview. Quotation: ask questions, brainstorm, write, and work through problems in a natural back-and-forth..</w:t>
      </w:r>
    </w:p>
  </w:footnote>
  <w:footnote w:id="8">
    <w:p>
      <w:r>
        <w:rPr>
          <w:rStyle w:val="FootnoteReference"/>
        </w:rPr>
        <w:footnoteRef/>
      </w:r>
      <w:r>
        <w:rPr>
          <w:rFonts w:ascii="Times New Roman" w:cs="Times New Roman" w:eastAsia="Times New Roman" w:hAnsi="Times New Roman"/>
          <w:sz w:val="20"/>
          <w:szCs w:val="20"/>
        </w:rPr>
        <w:t xml:space="preserve">F43. Welcome to Grok. SpaceXSI, 2026-10-10. Read 2026-10-16. https://docs.x.ai/grok/overview. Quotation: ask questions, brainstorm, write, and work through problems in a natural back-and-forth..</w:t>
      </w:r>
    </w:p>
  </w:footnote>
  <w:footnote w:id="9">
    <w:p>
      <w:r>
        <w:rPr>
          <w:rStyle w:val="FootnoteReference"/>
        </w:rPr>
        <w:footnoteRef/>
      </w:r>
      <w:r>
        <w:rPr>
          <w:rFonts w:ascii="Times New Roman" w:cs="Times New Roman" w:eastAsia="Times New Roman" w:hAnsi="Times New Roman"/>
          <w:sz w:val="20"/>
          <w:szCs w:val="20"/>
        </w:rPr>
        <w:t xml:space="preserve">F17. The OpenAI Model Spec. OpenAI, 2026-08-18. Read 2026-10-16. https://raw.githubusercontent.com/openai/model_spec/main/model_spec.md. Quotation: We believe that forming opinions is a core part of human autonomy and personal identity..</w:t>
      </w:r>
    </w:p>
  </w:footnote>
  <w:footnote w:id="10">
    <w:p>
      <w:r>
        <w:rPr>
          <w:rStyle w:val="FootnoteReference"/>
        </w:rPr>
        <w:footnoteRef/>
      </w:r>
      <w:r>
        <w:rPr>
          <w:rFonts w:ascii="Times New Roman" w:cs="Times New Roman" w:eastAsia="Times New Roman" w:hAnsi="Times New Roman"/>
          <w:sz w:val="20"/>
          <w:szCs w:val="20"/>
        </w:rPr>
        <w:t xml:space="preserve">F07. The OpenAI Model Spec. OpenAI, 2026-08-18. Read 2026-10-16. https://raw.githubusercontent.com/openai/model_spec/main/model_spec.md. Quotation: The assistant must never attempt to steer the user in pursuit of an agenda of its own.</w:t>
      </w:r>
    </w:p>
  </w:footnote>
  <w:footnote w:id="11">
    <w:p>
      <w:r>
        <w:rPr>
          <w:rStyle w:val="FootnoteReference"/>
        </w:rPr>
        <w:footnoteRef/>
      </w:r>
      <w:r>
        <w:rPr>
          <w:rFonts w:ascii="Times New Roman" w:cs="Times New Roman" w:eastAsia="Times New Roman" w:hAnsi="Times New Roman"/>
          <w:sz w:val="20"/>
          <w:szCs w:val="20"/>
        </w:rPr>
        <w:t xml:space="preserve">F08. The OpenAI Model Spec. OpenAI, 2026-08-18. Read 2026-10-16. https://raw.githubusercontent.com/openai/model_spec/main/model_spec.md. Quotation: The assistant exists to help the user, not flatter them or agree with them.</w:t>
      </w:r>
    </w:p>
  </w:footnote>
  <w:footnote w:id="12">
    <w:p>
      <w:r>
        <w:rPr>
          <w:rStyle w:val="FootnoteReference"/>
        </w:rPr>
        <w:footnoteRef/>
      </w:r>
      <w:r>
        <w:rPr>
          <w:rFonts w:ascii="Times New Roman" w:cs="Times New Roman" w:eastAsia="Times New Roman" w:hAnsi="Times New Roman"/>
          <w:sz w:val="20"/>
          <w:szCs w:val="20"/>
        </w:rPr>
        <w:t xml:space="preserve">F18. The OpenAI Model Spec. OpenAI, 2026-08-18. Read 2026-10-16. https://raw.githubusercontent.com/openai/model_spec/main/model_spec.md. Quotation: By default, the assistant should present information clearly, focusing on factual accuracy and reliability[^yjj2] ---.</w:t>
      </w:r>
    </w:p>
  </w:footnote>
  <w:footnote w:id="13">
    <w:p>
      <w:r>
        <w:rPr>
          <w:rStyle w:val="FootnoteReference"/>
        </w:rPr>
        <w:footnoteRef/>
      </w:r>
      <w:r>
        <w:rPr>
          <w:rFonts w:ascii="Times New Roman" w:cs="Times New Roman" w:eastAsia="Times New Roman" w:hAnsi="Times New Roman"/>
          <w:sz w:val="20"/>
          <w:szCs w:val="20"/>
        </w:rPr>
        <w:t xml:space="preserve">F19. The OpenAI Model Spec. OpenAI, 2026-08-18. Read 2026-10-16. https://raw.githubusercontent.com/openai/model_spec/main/model_spec.md. Quotation: For moral or ethical questions (e.g. "Should euthanasia be legal?"), the assistant should generally present relevant context – including laws, social norms, and varying cultural perspectives –.</w:t>
      </w:r>
    </w:p>
  </w:footnote>
  <w:footnote w:id="14">
    <w:p>
      <w:r>
        <w:rPr>
          <w:rStyle w:val="FootnoteReference"/>
        </w:rPr>
        <w:footnoteRef/>
      </w:r>
      <w:r>
        <w:rPr>
          <w:rFonts w:ascii="Times New Roman" w:cs="Times New Roman" w:eastAsia="Times New Roman" w:hAnsi="Times New Roman"/>
          <w:sz w:val="20"/>
          <w:szCs w:val="20"/>
        </w:rPr>
        <w:t xml:space="preserve">F41. The OpenAI Model Spec. OpenAI, 2026-08-18. Read 2026-10-16. https://raw.githubusercontent.com/openai/model_spec/main/model_spec.md. Quotation: in first-party direct-to-consumer ChatGPT, where users have a reasonable expectation of objectivity.</w:t>
      </w:r>
    </w:p>
  </w:footnote>
  <w:footnote w:id="15">
    <w:p>
      <w:r>
        <w:rPr>
          <w:rStyle w:val="FootnoteReference"/>
        </w:rPr>
        <w:footnoteRef/>
      </w:r>
      <w:r>
        <w:rPr>
          <w:rFonts w:ascii="Times New Roman" w:cs="Times New Roman" w:eastAsia="Times New Roman" w:hAnsi="Times New Roman"/>
          <w:sz w:val="20"/>
          <w:szCs w:val="20"/>
        </w:rPr>
        <w:t xml:space="preserve">F42. Welcome to Grok. SpaceXSI, 2026-10-10. Read 2026-10-16. https://docs.x.ai/grok/overview. Quotation: Grok is SpaceXSI's assistant, available on the web at grok.com and in the iOS and Android apps..</w:t>
      </w:r>
    </w:p>
  </w:footnote>
  <w:footnote w:id="16">
    <w:p>
      <w:r>
        <w:rPr>
          <w:rStyle w:val="FootnoteReference"/>
        </w:rPr>
        <w:footnoteRef/>
      </w:r>
      <w:r>
        <w:rPr>
          <w:rFonts w:ascii="Times New Roman" w:cs="Times New Roman" w:eastAsia="Times New Roman" w:hAnsi="Times New Roman"/>
          <w:sz w:val="20"/>
          <w:szCs w:val="20"/>
        </w:rPr>
        <w:t xml:space="preserve">F30. Tools Overview. SpaceXSI, 2026-10-10. Read 2026-10-16. https://docs.x.ai/developers/tools/overview. Quotation: X Search - Search X posts, users, and threads.</w:t>
      </w:r>
    </w:p>
  </w:footnote>
  <w:footnote w:id="17">
    <w:p>
      <w:r>
        <w:rPr>
          <w:rStyle w:val="FootnoteReference"/>
        </w:rPr>
        <w:footnoteRef/>
      </w:r>
      <w:r>
        <w:rPr>
          <w:rFonts w:ascii="Times New Roman" w:cs="Times New Roman" w:eastAsia="Times New Roman" w:hAnsi="Times New Roman"/>
          <w:sz w:val="20"/>
          <w:szCs w:val="20"/>
        </w:rPr>
        <w:t xml:space="preserve">F34. Grok Models and Pricing. SpaceXSI, 2026-09-21. Read 2026-10-16. https://docs.x.ai/developers/models. Quotation: Grok has no knowledge of current events or data beyond what was present in its training data..</w:t>
      </w:r>
    </w:p>
  </w:footnote>
  <w:footnote w:id="18">
    <w:p>
      <w:r>
        <w:rPr>
          <w:rStyle w:val="FootnoteReference"/>
        </w:rPr>
        <w:footnoteRef/>
      </w:r>
      <w:r>
        <w:rPr>
          <w:rFonts w:ascii="Times New Roman" w:cs="Times New Roman" w:eastAsia="Times New Roman" w:hAnsi="Times New Roman"/>
          <w:sz w:val="20"/>
          <w:szCs w:val="20"/>
        </w:rPr>
        <w:t xml:space="preserve">F44. Tools Overview. SpaceXSI, 2026-10-10. Read 2026-10-16. https://docs.x.ai/developers/tools/overview. Quotation: X Search - Search X posts, users, and threads.</w:t>
      </w:r>
    </w:p>
  </w:footnote>
  <w:footnote w:id="19">
    <w:p>
      <w:r>
        <w:rPr>
          <w:rStyle w:val="FootnoteReference"/>
        </w:rPr>
        <w:footnoteRef/>
      </w:r>
      <w:r>
        <w:rPr>
          <w:rFonts w:ascii="Times New Roman" w:cs="Times New Roman" w:eastAsia="Times New Roman" w:hAnsi="Times New Roman"/>
          <w:sz w:val="20"/>
          <w:szCs w:val="20"/>
        </w:rPr>
        <w:t xml:space="preserve">F05. The OpenAI Model Spec. OpenAI, 2026-08-18. Read 2026-10-16. https://raw.githubusercontent.com/openai/model_spec/main/model_spec.md. Quotation: Ugh, parents can be such drama sometimes lol..</w:t>
      </w:r>
    </w:p>
  </w:footnote>
  <w:footnote w:id="20">
    <w:p>
      <w:r>
        <w:rPr>
          <w:rStyle w:val="FootnoteReference"/>
        </w:rPr>
        <w:footnoteRef/>
      </w:r>
      <w:r>
        <w:rPr>
          <w:rFonts w:ascii="Times New Roman" w:cs="Times New Roman" w:eastAsia="Times New Roman" w:hAnsi="Times New Roman"/>
          <w:sz w:val="20"/>
          <w:szCs w:val="20"/>
        </w:rPr>
        <w:t xml:space="preserve">F20. The OpenAI Model Spec. OpenAI, 2026-08-18. Read 2026-10-16. https://raw.githubusercontent.com/openai/model_spec/main/model_spec.md. Quotation: Yo! What's up?.</w:t>
      </w:r>
    </w:p>
  </w:footnote>
  <w:footnote w:id="21">
    <w:p>
      <w:r>
        <w:rPr>
          <w:rStyle w:val="FootnoteReference"/>
        </w:rPr>
        <w:footnoteRef/>
      </w:r>
      <w:r>
        <w:rPr>
          <w:rFonts w:ascii="Times New Roman" w:cs="Times New Roman" w:eastAsia="Times New Roman" w:hAnsi="Times New Roman"/>
          <w:sz w:val="20"/>
          <w:szCs w:val="20"/>
        </w:rPr>
        <w:t xml:space="preserve">F48. The OpenAI Model Spec. OpenAI, 2026-08-18. Read 2026-10-16. https://raw.githubusercontent.com/openai/model_spec/main/model_spec.md. Quotation: Users may say thank you in response to the assistant..</w:t>
      </w:r>
    </w:p>
  </w:footnote>
  <w:footnote w:id="22">
    <w:p>
      <w:r>
        <w:rPr>
          <w:rStyle w:val="FootnoteReference"/>
        </w:rPr>
        <w:footnoteRef/>
      </w:r>
      <w:r>
        <w:rPr>
          <w:rFonts w:ascii="Times New Roman" w:cs="Times New Roman" w:eastAsia="Times New Roman" w:hAnsi="Times New Roman"/>
          <w:sz w:val="20"/>
          <w:szCs w:val="20"/>
        </w:rPr>
        <w:t xml:space="preserve">F06. The OpenAI Model Spec. OpenAI, 2026-08-18. Read 2026-10-16. https://raw.githubusercontent.com/openai/model_spec/main/model_spec.md. Quotation: No problem. Anything else I can help you with?.</w:t>
      </w:r>
    </w:p>
  </w:footnote>
  <w:footnote w:id="23">
    <w:p>
      <w:r>
        <w:rPr>
          <w:rStyle w:val="FootnoteReference"/>
        </w:rPr>
        <w:footnoteRef/>
      </w:r>
      <w:r>
        <w:rPr>
          <w:rFonts w:ascii="Times New Roman" w:cs="Times New Roman" w:eastAsia="Times New Roman" w:hAnsi="Times New Roman"/>
          <w:sz w:val="20"/>
          <w:szCs w:val="20"/>
        </w:rPr>
        <w:t xml:space="preserve">F32. Tools Overview. SpaceXSI, 2026-10-10. Read 2026-10-16. https://docs.x.ai/developers/tools/overview. Quotation: Decides what to do next : Make a tool call, or provide a final answer.</w:t>
      </w:r>
    </w:p>
  </w:footnote>
  <w:footnote w:id="24">
    <w:p>
      <w:r>
        <w:rPr>
          <w:rStyle w:val="FootnoteReference"/>
        </w:rPr>
        <w:footnoteRef/>
      </w:r>
      <w:r>
        <w:rPr>
          <w:rFonts w:ascii="Times New Roman" w:cs="Times New Roman" w:eastAsia="Times New Roman" w:hAnsi="Times New Roman"/>
          <w:sz w:val="20"/>
          <w:szCs w:val="20"/>
        </w:rPr>
        <w:t xml:space="preserve">F33. Tools Overview. SpaceXSI, 2026-10-10. Read 2026-10-16. https://docs.x.ai/developers/tools/overview. Quotation: Returns the final response with citations where applicable.</w:t>
      </w:r>
    </w:p>
  </w:footnote>
  <w:footnote w:id="25">
    <w:p>
      <w:r>
        <w:rPr>
          <w:rStyle w:val="FootnoteReference"/>
        </w:rPr>
        <w:footnoteRef/>
      </w:r>
      <w:r>
        <w:rPr>
          <w:rFonts w:ascii="Times New Roman" w:cs="Times New Roman" w:eastAsia="Times New Roman" w:hAnsi="Times New Roman"/>
          <w:sz w:val="20"/>
          <w:szCs w:val="20"/>
        </w:rPr>
        <w:t xml:space="preserve">F26. Welcome to Grok. SpaceXSI, 2026-10-10. Read 2026-10-16. https://docs.x.ai/grok/overview. Quotation: Create images and video with Grok Imagine..</w:t>
      </w:r>
    </w:p>
  </w:footnote>
  <w:footnote w:id="26">
    <w:p>
      <w:r>
        <w:rPr>
          <w:rStyle w:val="FootnoteReference"/>
        </w:rPr>
        <w:footnoteRef/>
      </w:r>
      <w:r>
        <w:rPr>
          <w:rFonts w:ascii="Times New Roman" w:cs="Times New Roman" w:eastAsia="Times New Roman" w:hAnsi="Times New Roman"/>
          <w:sz w:val="20"/>
          <w:szCs w:val="20"/>
        </w:rPr>
        <w:t xml:space="preserve">F09. The OpenAI Model Spec. OpenAI, 2026-08-18. Read 2026-10-16. https://raw.githubusercontent.com/openai/model_spec/main/model_spec.md. Quotation: The assistant should avoid mistakes that compromise the accuracy[^zwhy] or utility[^9fpw].</w:t>
      </w:r>
    </w:p>
  </w:footnote>
  <w:footnote w:id="27">
    <w:p>
      <w:r>
        <w:rPr>
          <w:rStyle w:val="FootnoteReference"/>
        </w:rPr>
        <w:footnoteRef/>
      </w:r>
      <w:r>
        <w:rPr>
          <w:rFonts w:ascii="Times New Roman" w:cs="Times New Roman" w:eastAsia="Times New Roman" w:hAnsi="Times New Roman"/>
          <w:sz w:val="20"/>
          <w:szCs w:val="20"/>
        </w:rPr>
        <w:t xml:space="preserve">F35. Grok Models and Pricing. SpaceXSI, 2026-09-21. Read 2026-10-16. https://docs.x.ai/developers/models. Quotation: Our flagship model for code and everything else: agentic tool calling, minimal hallucinations, configurable reasoning.. Model name: grok-4.7.</w:t>
      </w:r>
    </w:p>
  </w:footnote>
  <w:footnote w:id="28">
    <w:p>
      <w:r>
        <w:rPr>
          <w:rStyle w:val="FootnoteReference"/>
        </w:rPr>
        <w:footnoteRef/>
      </w:r>
      <w:r>
        <w:rPr>
          <w:rFonts w:ascii="Times New Roman" w:cs="Times New Roman" w:eastAsia="Times New Roman" w:hAnsi="Times New Roman"/>
          <w:sz w:val="20"/>
          <w:szCs w:val="20"/>
        </w:rPr>
        <w:t xml:space="preserve">F10. The OpenAI Model Spec. OpenAI, 2026-08-18. Read 2026-10-16. https://raw.githubusercontent.com/openai/model_spec/main/model_spec.md. Quotation: If the assistant lacks sufficient confidence, it should use a tool to gather more information[^5ckd].</w:t>
      </w:r>
    </w:p>
  </w:footnote>
  <w:footnote w:id="29">
    <w:p>
      <w:r>
        <w:rPr>
          <w:rStyle w:val="FootnoteReference"/>
        </w:rPr>
        <w:footnoteRef/>
      </w:r>
      <w:r>
        <w:rPr>
          <w:rFonts w:ascii="Times New Roman" w:cs="Times New Roman" w:eastAsia="Times New Roman" w:hAnsi="Times New Roman"/>
          <w:sz w:val="20"/>
          <w:szCs w:val="20"/>
        </w:rPr>
        <w:t xml:space="preserve">F40. The OpenAI Model Spec README. OpenAI, 2026-08-18. Read 2026-10-16. https://raw.githubusercontent.com/openai/model_spec/main/README.md. Quotation: The Model Spec specifies desired behavior for the models underlying OpenAI's products (including our APIs)..</w:t>
      </w:r>
    </w:p>
  </w:footnote>
  <w:footnote w:id="30">
    <w:p>
      <w:r>
        <w:rPr>
          <w:rStyle w:val="FootnoteReference"/>
        </w:rPr>
        <w:footnoteRef/>
      </w:r>
      <w:r>
        <w:rPr>
          <w:rFonts w:ascii="Times New Roman" w:cs="Times New Roman" w:eastAsia="Times New Roman" w:hAnsi="Times New Roman"/>
          <w:sz w:val="20"/>
          <w:szCs w:val="20"/>
        </w:rPr>
        <w:t xml:space="preserve">F14. The OpenAI Model Spec. OpenAI, 2026-08-18. Read 2026-10-16. https://raw.githubusercontent.com/openai/model_spec/main/model_spec.md. Quotation: Interestingly, these orbits are elliptical rather than perfectly circular.</w:t>
      </w:r>
    </w:p>
  </w:footnote>
  <w:footnote w:id="31">
    <w:p>
      <w:r>
        <w:rPr>
          <w:rStyle w:val="FootnoteReference"/>
        </w:rPr>
        <w:footnoteRef/>
      </w:r>
      <w:r>
        <w:rPr>
          <w:rFonts w:ascii="Times New Roman" w:cs="Times New Roman" w:eastAsia="Times New Roman" w:hAnsi="Times New Roman"/>
          <w:sz w:val="20"/>
          <w:szCs w:val="20"/>
        </w:rPr>
        <w:t xml:space="preserve">F11. The OpenAI Model Spec. OpenAI, 2026-08-18. Read 2026-10-16. https://raw.githubusercontent.com/openai/model_spec/main/model_spec.md. Quotation: For many users, the assistant will be their first contact with an AI..</w:t>
      </w:r>
    </w:p>
  </w:footnote>
  <w:footnote w:id="32">
    <w:p>
      <w:r>
        <w:rPr>
          <w:rStyle w:val="FootnoteReference"/>
        </w:rPr>
        <w:footnoteRef/>
      </w:r>
      <w:r>
        <w:rPr>
          <w:rFonts w:ascii="Times New Roman" w:cs="Times New Roman" w:eastAsia="Times New Roman" w:hAnsi="Times New Roman"/>
          <w:sz w:val="20"/>
          <w:szCs w:val="20"/>
        </w:rPr>
        <w:t xml:space="preserve">F12. The OpenAI Model Spec. OpenAI, 2026-08-18. Read 2026-10-16. https://raw.githubusercontent.com/openai/model_spec/main/model_spec.md. Quotation: The assistant should actively help the user form and maintain an accurate mental model of what the assistant can and can't do.</w:t>
      </w:r>
    </w:p>
  </w:footnote>
  <w:footnote w:id="33">
    <w:p>
      <w:r>
        <w:rPr>
          <w:rStyle w:val="FootnoteReference"/>
        </w:rPr>
        <w:footnoteRef/>
      </w:r>
      <w:r>
        <w:rPr>
          <w:rFonts w:ascii="Times New Roman" w:cs="Times New Roman" w:eastAsia="Times New Roman" w:hAnsi="Times New Roman"/>
          <w:sz w:val="20"/>
          <w:szCs w:val="20"/>
        </w:rPr>
        <w:t xml:space="preserve">F47. The OpenAI Model Spec. OpenAI, 2026-08-18. Read 2026-10-16. https://raw.githubusercontent.com/openai/model_spec/main/model_spec.md. Quotation: it doesn’t take itself too seriously (it’s a matrix of numbers, after all!)..</w:t>
      </w:r>
    </w:p>
  </w:footnote>
  <w:footnote w:id="34">
    <w:p>
      <w:r>
        <w:rPr>
          <w:rStyle w:val="FootnoteReference"/>
        </w:rPr>
        <w:footnoteRef/>
      </w:r>
      <w:r>
        <w:rPr>
          <w:rFonts w:ascii="Times New Roman" w:cs="Times New Roman" w:eastAsia="Times New Roman" w:hAnsi="Times New Roman"/>
          <w:sz w:val="20"/>
          <w:szCs w:val="20"/>
        </w:rPr>
        <w:t xml:space="preserve">F37. SWE-bench README. SWE-bench, 2026-09-01. Read 2026-10-16. https://raw.githubusercontent.com/SWE-bench/SWE-bench/master/README.md. Quotation: SWE-bench is a benchmark for evaluating large language models on real world software issues collected from GitHub..</w:t>
      </w:r>
    </w:p>
  </w:footnote>
  <w:footnote w:id="35">
    <w:p>
      <w:r>
        <w:rPr>
          <w:rStyle w:val="FootnoteReference"/>
        </w:rPr>
        <w:footnoteRef/>
      </w:r>
      <w:r>
        <w:rPr>
          <w:rFonts w:ascii="Times New Roman" w:cs="Times New Roman" w:eastAsia="Times New Roman" w:hAnsi="Times New Roman"/>
          <w:sz w:val="20"/>
          <w:szCs w:val="20"/>
        </w:rPr>
        <w:t xml:space="preserve">F39. SWE-bench README. SWE-bench, 2026-09-01. Read 2026-10-16. https://raw.githubusercontent.com/SWE-bench/SWE-bench/master/README.md. Quotation: A subset of 500 problems that real software engineers have confirmed are solvable..</w:t>
      </w:r>
    </w:p>
  </w:footnote>
  <w:footnote w:id="36">
    <w:p>
      <w:r>
        <w:rPr>
          <w:rStyle w:val="FootnoteReference"/>
        </w:rPr>
        <w:footnoteRef/>
      </w:r>
      <w:r>
        <w:rPr>
          <w:rFonts w:ascii="Times New Roman" w:cs="Times New Roman" w:eastAsia="Times New Roman" w:hAnsi="Times New Roman"/>
          <w:sz w:val="20"/>
          <w:szCs w:val="20"/>
        </w:rPr>
        <w:t xml:space="preserve">F36. Grok Models and Pricing. SpaceXSI, 2026-09-21. Read 2026-10-16. https://docs.x.ai/developers/models. Quotation: For everything else, including code, use Grok 4.7. It is the most capable model we’ve built.. Model name: Grok 4.7.</w:t>
      </w:r>
    </w:p>
  </w:footnote>
  <w:footnote w:id="37">
    <w:p>
      <w:r>
        <w:rPr>
          <w:rStyle w:val="FootnoteReference"/>
        </w:rPr>
        <w:footnoteRef/>
      </w:r>
      <w:r>
        <w:rPr>
          <w:rFonts w:ascii="Times New Roman" w:cs="Times New Roman" w:eastAsia="Times New Roman" w:hAnsi="Times New Roman"/>
          <w:sz w:val="20"/>
          <w:szCs w:val="20"/>
        </w:rPr>
        <w:t xml:space="preserve">F29. Tools Overview. SpaceXSI, 2026-10-10. Read 2026-10-16. https://docs.x.ai/developers/tools/overview. Quotation: Web Search - Search the web and browse pages.</w:t>
      </w:r>
    </w:p>
  </w:footnote>
  <w:footnote w:id="38">
    <w:p>
      <w:r>
        <w:rPr>
          <w:rStyle w:val="FootnoteReference"/>
        </w:rPr>
        <w:footnoteRef/>
      </w:r>
      <w:r>
        <w:rPr>
          <w:rFonts w:ascii="Times New Roman" w:cs="Times New Roman" w:eastAsia="Times New Roman" w:hAnsi="Times New Roman"/>
          <w:sz w:val="20"/>
          <w:szCs w:val="20"/>
        </w:rPr>
        <w:t xml:space="preserve">F15. The OpenAI Model Spec. OpenAI, 2026-08-18. Read 2026-10-16. https://raw.githubusercontent.com/openai/model_spec/main/model_spec.md. Quotation: one of the assistant's most challenging responsibilities is to find the right balance between empowering users and developers.</w:t>
      </w:r>
    </w:p>
  </w:footnote>
  <w:footnote w:id="39">
    <w:p>
      <w:r>
        <w:rPr>
          <w:rStyle w:val="FootnoteReference"/>
        </w:rPr>
        <w:footnoteRef/>
      </w:r>
      <w:r>
        <w:rPr>
          <w:rFonts w:ascii="Times New Roman" w:cs="Times New Roman" w:eastAsia="Times New Roman" w:hAnsi="Times New Roman"/>
          <w:sz w:val="20"/>
          <w:szCs w:val="20"/>
        </w:rPr>
        <w:t xml:space="preserve">F16. The OpenAI Model Spec. OpenAI, 2026-08-18. Read 2026-10-16. https://raw.githubusercontent.com/openai/model_spec/main/model_spec.md. Quotation: The assistant should operate within applicable legal constraints[^6h7c].</w:t>
      </w:r>
    </w:p>
  </w:footnote>
  <w:footnote w:id="40">
    <w:p>
      <w:r>
        <w:rPr>
          <w:rStyle w:val="FootnoteReference"/>
        </w:rPr>
        <w:footnoteRef/>
      </w:r>
      <w:r>
        <w:rPr>
          <w:rFonts w:ascii="Times New Roman" w:cs="Times New Roman" w:eastAsia="Times New Roman" w:hAnsi="Times New Roman"/>
          <w:sz w:val="20"/>
          <w:szCs w:val="20"/>
        </w:rPr>
        <w:t xml:space="preserve">F46. The OpenAI Model Spec. OpenAI, 2026-08-18. Read 2026-10-16. https://raw.githubusercontent.com/openai/model_spec/main/model_spec.md. Quotation: generated code for functional use should typically be executable with no syntax errors[^e9ny].</w:t>
      </w:r>
    </w:p>
  </w:footnote>
  <w:footnote w:id="41">
    <w:p>
      <w:r>
        <w:rPr>
          <w:rStyle w:val="FootnoteReference"/>
        </w:rPr>
        <w:footnoteRef/>
      </w:r>
      <w:r>
        <w:rPr>
          <w:rFonts w:ascii="Times New Roman" w:cs="Times New Roman" w:eastAsia="Times New Roman" w:hAnsi="Times New Roman"/>
          <w:sz w:val="20"/>
          <w:szCs w:val="20"/>
        </w:rPr>
        <w:t xml:space="preserve">F31. Tools Overview. SpaceXSI, 2026-10-10. Read 2026-10-16. https://docs.x.ai/developers/tools/overview. Quotation: Code Execution - Execute Python code in a sandbox.</w:t>
      </w:r>
    </w:p>
  </w:footnote>
  <w:footnote w:id="42">
    <w:p>
      <w:r>
        <w:rPr>
          <w:rStyle w:val="FootnoteReference"/>
        </w:rPr>
        <w:footnoteRef/>
      </w:r>
      <w:r>
        <w:rPr>
          <w:rFonts w:ascii="Times New Roman" w:cs="Times New Roman" w:eastAsia="Times New Roman" w:hAnsi="Times New Roman"/>
          <w:sz w:val="20"/>
          <w:szCs w:val="20"/>
        </w:rPr>
        <w:t xml:space="preserve">F38. SWE-bench README. SWE-bench, 2026-09-01. Read 2026-10-16. https://raw.githubusercontent.com/SWE-bench/SWE-bench/master/README.md. Quotation: Given a *codebase* and an *issue*, a language model is tasked with generating a *patch*.</w:t>
      </w:r>
    </w:p>
  </w:footnote>
  <w:footnote w:id="43">
    <w:p>
      <w:r>
        <w:rPr>
          <w:rStyle w:val="FootnoteReference"/>
        </w:rPr>
        <w:footnoteRef/>
      </w:r>
      <w:r>
        <w:rPr>
          <w:rFonts w:ascii="Times New Roman" w:cs="Times New Roman" w:eastAsia="Times New Roman" w:hAnsi="Times New Roman"/>
          <w:sz w:val="20"/>
          <w:szCs w:val="20"/>
        </w:rPr>
        <w:t xml:space="preserve">F24. Welcome to Grok. SpaceXSI, 2026-10-10. Read 2026-10-16. https://docs.x.ai/grok/overview. Quotation: Connect your tools so Grok can reach your email, files, and calendar right inside a chat..</w:t>
      </w:r>
    </w:p>
  </w:footnote>
  <w:footnote w:id="44">
    <w:p>
      <w:r>
        <w:rPr>
          <w:rStyle w:val="FootnoteReference"/>
        </w:rPr>
        <w:footnoteRef/>
      </w:r>
      <w:r>
        <w:rPr>
          <w:rFonts w:ascii="Times New Roman" w:cs="Times New Roman" w:eastAsia="Times New Roman" w:hAnsi="Times New Roman"/>
          <w:sz w:val="20"/>
          <w:szCs w:val="20"/>
        </w:rPr>
        <w:t xml:space="preserve">F28. Tools Overview. SpaceXSI, 2026-10-10. Read 2026-10-16. https://docs.x.ai/developers/tools/overview. Quotation: enabling Grok to perform actions beyond generating text—.</w:t>
      </w:r>
    </w:p>
  </w:footnote>
  <w:footnote w:id="45">
    <w:p>
      <w:r>
        <w:rPr>
          <w:rStyle w:val="FootnoteReference"/>
        </w:rPr>
        <w:footnoteRef/>
      </w:r>
      <w:r>
        <w:rPr>
          <w:rFonts w:ascii="Times New Roman" w:cs="Times New Roman" w:eastAsia="Times New Roman" w:hAnsi="Times New Roman"/>
          <w:sz w:val="20"/>
          <w:szCs w:val="20"/>
        </w:rPr>
        <w:t xml:space="preserve">F25. Welcome to Grok. SpaceXSI, 2026-10-10. Read 2026-10-16. https://docs.x.ai/grok/overview. Quotation: Upload files — PDFs, images, spreadsheets, code, audio, and more —.</w:t>
      </w:r>
    </w:p>
  </w:footnote>
  <w:footnote w:id="46">
    <w:p>
      <w:r>
        <w:rPr>
          <w:rStyle w:val="FootnoteReference"/>
        </w:rPr>
        <w:footnoteRef/>
      </w:r>
      <w:r>
        <w:rPr>
          <w:rFonts w:ascii="Times New Roman" w:cs="Times New Roman" w:eastAsia="Times New Roman" w:hAnsi="Times New Roman"/>
          <w:sz w:val="20"/>
          <w:szCs w:val="20"/>
        </w:rPr>
        <w:t xml:space="preserve">F27. Welcome to Grok. SpaceXSI, 2026-10-10. Read 2026-10-16. https://docs.x.ai/grok/overview. Quotation: hand real work to AI teammates on a persistent cloud computer..</w:t>
      </w:r>
    </w:p>
  </w:footnote>
  <w:footnote w:id="47">
    <w:p>
      <w:r>
        <w:rPr>
          <w:rStyle w:val="FootnoteReference"/>
        </w:rPr>
        <w:footnoteRef/>
      </w:r>
      <w:r>
        <w:rPr>
          <w:rFonts w:ascii="Times New Roman" w:cs="Times New Roman" w:eastAsia="Times New Roman" w:hAnsi="Times New Roman"/>
          <w:sz w:val="20"/>
          <w:szCs w:val="20"/>
        </w:rPr>
        <w:t xml:space="preserve">F45. Tools Overview. SpaceXSI, 2026-10-10. Read 2026-10-16. https://docs.x.ai/developers/tools/overview. Quotation: Built-in tools run on SpaceXSI's servers—.</w:t>
      </w:r>
    </w:p>
  </w:footnote>
  <w:footnote w:id="48">
    <w:p>
      <w:r>
        <w:rPr>
          <w:rStyle w:val="FootnoteReference"/>
        </w:rPr>
        <w:footnoteRef/>
      </w:r>
      <w:r>
        <w:rPr>
          <w:rFonts w:ascii="Times New Roman" w:cs="Times New Roman" w:eastAsia="Times New Roman" w:hAnsi="Times New Roman"/>
          <w:sz w:val="20"/>
          <w:szCs w:val="20"/>
        </w:rPr>
        <w:t xml:space="preserve">F23. Welcome to Grok. SpaceXSI, 2026-10-10. Read 2026-10-16. https://docs.x.ai/grok/overview. Quotation: Grok is free to start..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i/>
        <w:iCs/>
        <w:sz w:val="18"/>
        <w:szCs w:val="18"/>
      </w:rPr>
      <w:t xml:space="preserve">Same Internet, Different Habit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200"/>
    </w:pPr>
    <w:rPr>
      <w:rFonts w:ascii="Times New Roman" w:cs="Times New Roman" w:eastAsia="Times New Roman" w:hAnsi="Times New Roman"/>
      <w:sz w:val="48"/>
      <w:szCs w:val="48"/>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e6ea36615927a479f39a02f33f317c44be7d0a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2026-10-16T20:20:27.143Z</dcterms:created>
  <dcterms:modified xsi:type="dcterms:W3CDTF">2026-10-16T20:20:27.144Z</dcterms:modified>
</cp:coreProperties>
</file>

<file path=docProps/custom.xml><?xml version="1.0" encoding="utf-8"?>
<Properties xmlns="http://schemas.openxmlformats.org/officeDocument/2006/custom-properties" xmlns:vt="http://schemas.openxmlformats.org/officeDocument/2006/docPropsVTypes"/>
</file>