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166" w:rsidRPr="00F210E8" w:rsidRDefault="00F210E8">
      <w:pPr>
        <w:rPr>
          <w:rFonts w:ascii="Times New Roman" w:hAnsi="Times New Roman" w:cs="Times New Roman"/>
          <w:b/>
          <w:sz w:val="24"/>
          <w:szCs w:val="24"/>
        </w:rPr>
      </w:pPr>
      <w:r w:rsidRPr="00F210E8">
        <w:rPr>
          <w:rFonts w:ascii="Times New Roman" w:hAnsi="Times New Roman" w:cs="Times New Roman"/>
          <w:b/>
          <w:sz w:val="24"/>
          <w:szCs w:val="24"/>
        </w:rPr>
        <w:t xml:space="preserve">Position Paper: </w:t>
      </w:r>
      <w:r w:rsidR="00E16454" w:rsidRPr="00F210E8">
        <w:rPr>
          <w:rFonts w:ascii="Times New Roman" w:hAnsi="Times New Roman" w:cs="Times New Roman"/>
          <w:b/>
          <w:sz w:val="24"/>
          <w:szCs w:val="24"/>
        </w:rPr>
        <w:t xml:space="preserve">The Patreos Airdrop should not be </w:t>
      </w:r>
      <w:r w:rsidRPr="00F210E8">
        <w:rPr>
          <w:rFonts w:ascii="Times New Roman" w:hAnsi="Times New Roman" w:cs="Times New Roman"/>
          <w:b/>
          <w:sz w:val="24"/>
          <w:szCs w:val="24"/>
        </w:rPr>
        <w:t>Regulated as Distribution of a S</w:t>
      </w:r>
      <w:r w:rsidR="00E16454" w:rsidRPr="00F210E8">
        <w:rPr>
          <w:rFonts w:ascii="Times New Roman" w:hAnsi="Times New Roman" w:cs="Times New Roman"/>
          <w:b/>
          <w:sz w:val="24"/>
          <w:szCs w:val="24"/>
        </w:rPr>
        <w:t>ecurity</w:t>
      </w:r>
    </w:p>
    <w:p w:rsidR="00E16454" w:rsidRPr="00CB0089" w:rsidRDefault="00E16454" w:rsidP="00F210E8">
      <w:pPr>
        <w:rPr>
          <w:rFonts w:ascii="Times New Roman" w:hAnsi="Times New Roman" w:cs="Times New Roman"/>
          <w:sz w:val="24"/>
          <w:szCs w:val="24"/>
        </w:rPr>
      </w:pPr>
      <w:r w:rsidRPr="00CB0089">
        <w:rPr>
          <w:rFonts w:ascii="Times New Roman" w:hAnsi="Times New Roman" w:cs="Times New Roman"/>
          <w:sz w:val="24"/>
          <w:szCs w:val="24"/>
        </w:rPr>
        <w:t>The extent to which the federal securities laws apply to cryptoassets and transactions has obviously been something that the SEC’s has been considering for some time</w:t>
      </w:r>
      <w:r w:rsidR="00F210E8">
        <w:rPr>
          <w:rFonts w:ascii="Times New Roman" w:hAnsi="Times New Roman" w:cs="Times New Roman"/>
          <w:sz w:val="24"/>
          <w:szCs w:val="24"/>
        </w:rPr>
        <w:t xml:space="preserve">.  In 2017, the SEC published a report dealing with its conclusions in the context of </w:t>
      </w:r>
      <w:r w:rsidRPr="00CB0089">
        <w:rPr>
          <w:rFonts w:ascii="Times New Roman" w:hAnsi="Times New Roman" w:cs="Times New Roman"/>
          <w:sz w:val="24"/>
          <w:szCs w:val="24"/>
        </w:rPr>
        <w:t xml:space="preserve">The DAO.  </w:t>
      </w:r>
      <w:r w:rsidRPr="00CB0089">
        <w:rPr>
          <w:rFonts w:ascii="Times New Roman" w:hAnsi="Times New Roman" w:cs="Times New Roman"/>
          <w:sz w:val="24"/>
          <w:szCs w:val="24"/>
        </w:rPr>
        <w:t xml:space="preserve">SEC, Report of Investigation Pursuant to Section 21(a) of the Securities Exchange Act of 1934: The </w:t>
      </w:r>
      <w:r w:rsidR="00F210E8">
        <w:rPr>
          <w:rFonts w:ascii="Times New Roman" w:hAnsi="Times New Roman" w:cs="Times New Roman"/>
          <w:sz w:val="24"/>
          <w:szCs w:val="24"/>
        </w:rPr>
        <w:t>DAO</w:t>
      </w:r>
      <w:r w:rsidR="00F210E8" w:rsidRPr="00CB0089">
        <w:rPr>
          <w:rFonts w:ascii="Times New Roman" w:hAnsi="Times New Roman" w:cs="Times New Roman"/>
          <w:sz w:val="24"/>
          <w:szCs w:val="24"/>
        </w:rPr>
        <w:t xml:space="preserve">,’34 Act Release No. </w:t>
      </w:r>
      <w:r w:rsidRPr="00CB0089">
        <w:rPr>
          <w:rFonts w:ascii="Times New Roman" w:hAnsi="Times New Roman" w:cs="Times New Roman"/>
          <w:sz w:val="24"/>
          <w:szCs w:val="24"/>
        </w:rPr>
        <w:t>81207 (July 25, 2017) [archived</w:t>
      </w:r>
      <w:r w:rsidRPr="00CB0089">
        <w:rPr>
          <w:rFonts w:ascii="Times New Roman" w:hAnsi="Times New Roman" w:cs="Times New Roman"/>
          <w:sz w:val="24"/>
          <w:szCs w:val="24"/>
        </w:rPr>
        <w:t xml:space="preserve"> at </w:t>
      </w:r>
      <w:hyperlink r:id="rId6" w:history="1">
        <w:r w:rsidRPr="00CB0089">
          <w:rPr>
            <w:rStyle w:val="Hyperlink"/>
            <w:rFonts w:ascii="Times New Roman" w:hAnsi="Times New Roman" w:cs="Times New Roman"/>
            <w:sz w:val="24"/>
            <w:szCs w:val="24"/>
          </w:rPr>
          <w:t>https://perma.cc/F862-YS5V</w:t>
        </w:r>
      </w:hyperlink>
      <w:r w:rsidRPr="00CB0089">
        <w:rPr>
          <w:rFonts w:ascii="Times New Roman" w:hAnsi="Times New Roman" w:cs="Times New Roman"/>
          <w:sz w:val="24"/>
          <w:szCs w:val="24"/>
        </w:rPr>
        <w:t>]</w:t>
      </w:r>
    </w:p>
    <w:p w:rsidR="00E16454" w:rsidRPr="00CB0089" w:rsidRDefault="00E16454" w:rsidP="00E16454">
      <w:pPr>
        <w:rPr>
          <w:rFonts w:ascii="Times New Roman" w:hAnsi="Times New Roman" w:cs="Times New Roman"/>
          <w:sz w:val="24"/>
          <w:szCs w:val="24"/>
        </w:rPr>
      </w:pPr>
      <w:r w:rsidRPr="00CB0089">
        <w:rPr>
          <w:rFonts w:ascii="Times New Roman" w:hAnsi="Times New Roman" w:cs="Times New Roman"/>
          <w:sz w:val="24"/>
          <w:szCs w:val="24"/>
        </w:rPr>
        <w:t xml:space="preserve">In that report, the SEC took the position that cryptoassets should be evaluated as investment contracts under the rules set out by the U.S. Supreme Court in SEC v. W.J. Howey Co., 328 U.S. 293 (1946). The conclusion of that report was that under the traditional </w:t>
      </w:r>
      <w:r w:rsidRPr="00CB0089">
        <w:rPr>
          <w:rFonts w:ascii="Times New Roman" w:hAnsi="Times New Roman" w:cs="Times New Roman"/>
          <w:i/>
          <w:sz w:val="24"/>
          <w:szCs w:val="24"/>
        </w:rPr>
        <w:t>Howey</w:t>
      </w:r>
      <w:r w:rsidRPr="00CB0089">
        <w:rPr>
          <w:rFonts w:ascii="Times New Roman" w:hAnsi="Times New Roman" w:cs="Times New Roman"/>
          <w:sz w:val="24"/>
          <w:szCs w:val="24"/>
        </w:rPr>
        <w:t xml:space="preserve"> investment contract test, crypto should often be regarded and regulated as a security. The SEC focused on the particular facts and circumstances surrounding The DAO, and concluded that based on longstanding principles, the proposed DAO tokens were indeed investment contracts, and therefore securities. </w:t>
      </w:r>
    </w:p>
    <w:p w:rsidR="00E16454" w:rsidRPr="00CB0089" w:rsidRDefault="00E16454" w:rsidP="00F210E8">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 xml:space="preserve">As explained in </w:t>
      </w:r>
      <w:r w:rsidRPr="00CB0089">
        <w:rPr>
          <w:rFonts w:ascii="Times New Roman" w:hAnsi="Times New Roman" w:cs="Times New Roman"/>
          <w:i/>
          <w:sz w:val="24"/>
          <w:szCs w:val="24"/>
        </w:rPr>
        <w:t>Howey</w:t>
      </w:r>
      <w:r w:rsidRPr="00CB0089">
        <w:rPr>
          <w:rFonts w:ascii="Times New Roman" w:hAnsi="Times New Roman" w:cs="Times New Roman"/>
          <w:sz w:val="24"/>
          <w:szCs w:val="24"/>
        </w:rPr>
        <w:t>, an investment contract is a contract, transaction or scheme where purchasers are "led to invest money in a common enterprise with the expectation that they would earn a profit solely through the efforts of the promoter or of someone other than themselves."</w:t>
      </w:r>
      <w:r w:rsidR="00F210E8">
        <w:rPr>
          <w:rFonts w:ascii="Times New Roman" w:hAnsi="Times New Roman" w:cs="Times New Roman"/>
          <w:sz w:val="24"/>
          <w:szCs w:val="24"/>
        </w:rPr>
        <w:t xml:space="preserve"> 328 U.S. at 298. </w:t>
      </w:r>
      <w:r w:rsidRPr="00CB0089">
        <w:rPr>
          <w:rFonts w:ascii="Times New Roman" w:hAnsi="Times New Roman" w:cs="Times New Roman"/>
          <w:sz w:val="24"/>
          <w:szCs w:val="24"/>
        </w:rPr>
        <w:t xml:space="preserve">This test, now widely referred to simply as the </w:t>
      </w:r>
      <w:r w:rsidRPr="00CB0089">
        <w:rPr>
          <w:rFonts w:ascii="Times New Roman" w:hAnsi="Times New Roman" w:cs="Times New Roman"/>
          <w:i/>
          <w:sz w:val="24"/>
          <w:szCs w:val="24"/>
        </w:rPr>
        <w:t>Howey</w:t>
      </w:r>
      <w:r w:rsidRPr="00CB0089">
        <w:rPr>
          <w:rFonts w:ascii="Times New Roman" w:hAnsi="Times New Roman" w:cs="Times New Roman"/>
          <w:sz w:val="24"/>
          <w:szCs w:val="24"/>
        </w:rPr>
        <w:t xml:space="preserve"> test, has been substantially expanded and clarified over the past decades, but it continues to provide the basis for determining </w:t>
      </w:r>
      <w:r w:rsidR="00F210E8">
        <w:rPr>
          <w:rFonts w:ascii="Times New Roman" w:hAnsi="Times New Roman" w:cs="Times New Roman"/>
          <w:sz w:val="24"/>
          <w:szCs w:val="24"/>
        </w:rPr>
        <w:t>when an interest qualifies as an investment contract.</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 xml:space="preserve">Speaking very broadly, an interest will be classified as an investment contract under </w:t>
      </w:r>
      <w:r w:rsidRPr="00CB0089">
        <w:rPr>
          <w:rFonts w:ascii="Times New Roman" w:hAnsi="Times New Roman" w:cs="Times New Roman"/>
          <w:i/>
          <w:sz w:val="24"/>
          <w:szCs w:val="24"/>
        </w:rPr>
        <w:t>Howey</w:t>
      </w:r>
      <w:r w:rsidRPr="00CB0089">
        <w:rPr>
          <w:rFonts w:ascii="Times New Roman" w:hAnsi="Times New Roman" w:cs="Times New Roman"/>
          <w:sz w:val="24"/>
          <w:szCs w:val="24"/>
        </w:rPr>
        <w:t xml:space="preserve"> if it satisfies </w:t>
      </w:r>
      <w:r w:rsidRPr="00CB0089">
        <w:rPr>
          <w:rFonts w:ascii="Times New Roman" w:hAnsi="Times New Roman" w:cs="Times New Roman"/>
          <w:b/>
          <w:sz w:val="24"/>
          <w:szCs w:val="24"/>
        </w:rPr>
        <w:t>all</w:t>
      </w:r>
      <w:r w:rsidRPr="00CB0089">
        <w:rPr>
          <w:rFonts w:ascii="Times New Roman" w:hAnsi="Times New Roman" w:cs="Times New Roman"/>
          <w:sz w:val="24"/>
          <w:szCs w:val="24"/>
        </w:rPr>
        <w:t xml:space="preserve"> of the following elements: </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ab/>
        <w:t xml:space="preserve">(i) </w:t>
      </w:r>
      <w:r w:rsidRPr="00CB0089">
        <w:rPr>
          <w:rFonts w:ascii="Times New Roman" w:hAnsi="Times New Roman" w:cs="Times New Roman"/>
          <w:sz w:val="24"/>
          <w:szCs w:val="24"/>
        </w:rPr>
        <w:tab/>
        <w:t xml:space="preserve">there is an investment of money (or something else of value); </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ab/>
        <w:t xml:space="preserve">(ii) </w:t>
      </w:r>
      <w:r w:rsidRPr="00CB0089">
        <w:rPr>
          <w:rFonts w:ascii="Times New Roman" w:hAnsi="Times New Roman" w:cs="Times New Roman"/>
          <w:sz w:val="24"/>
          <w:szCs w:val="24"/>
        </w:rPr>
        <w:tab/>
        <w:t xml:space="preserve">in a common enterprise; </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ab/>
        <w:t xml:space="preserve">(iii) </w:t>
      </w:r>
      <w:r w:rsidRPr="00CB0089">
        <w:rPr>
          <w:rFonts w:ascii="Times New Roman" w:hAnsi="Times New Roman" w:cs="Times New Roman"/>
          <w:sz w:val="24"/>
          <w:szCs w:val="24"/>
        </w:rPr>
        <w:tab/>
        <w:t xml:space="preserve">where the purchaser expects to receive profits; and </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r w:rsidRPr="00CB0089">
        <w:rPr>
          <w:rFonts w:ascii="Times New Roman" w:hAnsi="Times New Roman" w:cs="Times New Roman"/>
          <w:sz w:val="24"/>
          <w:szCs w:val="24"/>
        </w:rPr>
        <w:tab/>
        <w:t xml:space="preserve">(iv) </w:t>
      </w:r>
      <w:r w:rsidRPr="00CB0089">
        <w:rPr>
          <w:rFonts w:ascii="Times New Roman" w:hAnsi="Times New Roman" w:cs="Times New Roman"/>
          <w:sz w:val="24"/>
          <w:szCs w:val="24"/>
        </w:rPr>
        <w:tab/>
        <w:t xml:space="preserve">the expectation of profits is from the essential entrepreneurial efforts of others. </w:t>
      </w:r>
    </w:p>
    <w:p w:rsidR="00E16454" w:rsidRPr="00CB0089" w:rsidRDefault="00E16454" w:rsidP="00E16454">
      <w:pPr>
        <w:autoSpaceDE w:val="0"/>
        <w:autoSpaceDN w:val="0"/>
        <w:adjustRightInd w:val="0"/>
        <w:spacing w:after="0" w:line="240" w:lineRule="auto"/>
        <w:rPr>
          <w:rFonts w:ascii="Times New Roman" w:hAnsi="Times New Roman" w:cs="Times New Roman"/>
          <w:sz w:val="24"/>
          <w:szCs w:val="24"/>
        </w:rPr>
      </w:pPr>
    </w:p>
    <w:p w:rsidR="00E16454" w:rsidRPr="00CB0089" w:rsidRDefault="00E16454" w:rsidP="00E16454">
      <w:pPr>
        <w:rPr>
          <w:rFonts w:ascii="Times New Roman" w:hAnsi="Times New Roman" w:cs="Times New Roman"/>
          <w:sz w:val="24"/>
          <w:szCs w:val="24"/>
        </w:rPr>
      </w:pPr>
      <w:r w:rsidRPr="00CB0089">
        <w:rPr>
          <w:rFonts w:ascii="Times New Roman" w:hAnsi="Times New Roman" w:cs="Times New Roman"/>
          <w:sz w:val="24"/>
          <w:szCs w:val="24"/>
        </w:rPr>
        <w:t>With regard to the Patreos airdrop, it is the first of these elements that is missing.</w:t>
      </w:r>
    </w:p>
    <w:p w:rsidR="00E16454" w:rsidRPr="00CB0089" w:rsidRDefault="00E16454" w:rsidP="00E16454">
      <w:pPr>
        <w:rPr>
          <w:rFonts w:ascii="Times New Roman" w:hAnsi="Times New Roman" w:cs="Times New Roman"/>
          <w:sz w:val="24"/>
          <w:szCs w:val="24"/>
        </w:rPr>
      </w:pPr>
      <w:r w:rsidRPr="00CB0089">
        <w:rPr>
          <w:rFonts w:ascii="Times New Roman" w:hAnsi="Times New Roman" w:cs="Times New Roman"/>
          <w:sz w:val="24"/>
          <w:szCs w:val="24"/>
        </w:rPr>
        <w:t>In order to understand this claim, it is obviously important to understand the “airdrop” that took place.  Airdrop is not a regulatory term of art, and instead is a phrase that has come to be used in the crypto-community to mean “</w:t>
      </w:r>
      <w:r w:rsidRPr="00CB0089">
        <w:rPr>
          <w:rFonts w:ascii="Times New Roman" w:hAnsi="Times New Roman" w:cs="Times New Roman"/>
          <w:sz w:val="24"/>
          <w:szCs w:val="24"/>
        </w:rPr>
        <w:t>the process whereby a cryptocurrency enterprise distributes cryptocurrency tokens to the wallets of some users free of charge.”</w:t>
      </w:r>
      <w:r w:rsidRPr="00CB0089">
        <w:rPr>
          <w:rStyle w:val="FootnoteReference"/>
          <w:rFonts w:ascii="Times New Roman" w:hAnsi="Times New Roman" w:cs="Times New Roman"/>
          <w:sz w:val="24"/>
          <w:szCs w:val="24"/>
        </w:rPr>
        <w:footnoteReference w:id="1"/>
      </w:r>
      <w:r w:rsidRPr="00CB0089">
        <w:rPr>
          <w:rFonts w:ascii="Times New Roman" w:hAnsi="Times New Roman" w:cs="Times New Roman"/>
          <w:sz w:val="24"/>
          <w:szCs w:val="24"/>
        </w:rPr>
        <w:t xml:space="preserve">  The critical component of this definition and this process is that the distribution of coins or tokens is essentially free to the recipient.</w:t>
      </w:r>
    </w:p>
    <w:p w:rsidR="00E16454" w:rsidRPr="00CB0089" w:rsidRDefault="00E16454" w:rsidP="00E16454">
      <w:pPr>
        <w:rPr>
          <w:rFonts w:ascii="Times New Roman" w:hAnsi="Times New Roman" w:cs="Times New Roman"/>
          <w:sz w:val="24"/>
          <w:szCs w:val="24"/>
        </w:rPr>
      </w:pPr>
      <w:r w:rsidRPr="00CB0089">
        <w:rPr>
          <w:rFonts w:ascii="Times New Roman" w:hAnsi="Times New Roman" w:cs="Times New Roman"/>
          <w:sz w:val="24"/>
          <w:szCs w:val="24"/>
        </w:rPr>
        <w:t xml:space="preserve">It is also worth noting that not everything that is called an “airdrop” is in fact completely free. </w:t>
      </w:r>
      <w:r w:rsidRPr="00CB0089">
        <w:rPr>
          <w:rFonts w:ascii="Times New Roman" w:hAnsi="Times New Roman" w:cs="Times New Roman"/>
          <w:sz w:val="24"/>
          <w:szCs w:val="24"/>
        </w:rPr>
        <w:t xml:space="preserve">For example, while noting that crypto airdrops generally refer to a distribution of “free tokens,” one source also explains that “[t]o qualify for this free gift, one may need to perform certain tasks that include posting on social media forums, connecting with a particular member of the blockchain </w:t>
      </w:r>
      <w:r w:rsidRPr="00CB0089">
        <w:rPr>
          <w:rFonts w:ascii="Times New Roman" w:hAnsi="Times New Roman" w:cs="Times New Roman"/>
          <w:sz w:val="24"/>
          <w:szCs w:val="24"/>
        </w:rPr>
        <w:lastRenderedPageBreak/>
        <w:t>project, or writing a blog post.”</w:t>
      </w:r>
      <w:r w:rsidRPr="00CB0089">
        <w:rPr>
          <w:rStyle w:val="FootnoteReference"/>
          <w:rFonts w:ascii="Times New Roman" w:hAnsi="Times New Roman" w:cs="Times New Roman"/>
          <w:sz w:val="24"/>
          <w:szCs w:val="24"/>
        </w:rPr>
        <w:footnoteReference w:id="2"/>
      </w:r>
      <w:r w:rsidRPr="00CB0089">
        <w:rPr>
          <w:rFonts w:ascii="Times New Roman" w:hAnsi="Times New Roman" w:cs="Times New Roman"/>
          <w:sz w:val="24"/>
          <w:szCs w:val="24"/>
        </w:rPr>
        <w:t xml:space="preserve"> </w:t>
      </w:r>
      <w:r w:rsidRPr="00CB0089">
        <w:rPr>
          <w:rFonts w:ascii="Times New Roman" w:hAnsi="Times New Roman" w:cs="Times New Roman"/>
          <w:sz w:val="24"/>
          <w:szCs w:val="24"/>
        </w:rPr>
        <w:t>There is even terminology to distinguish between a truly “free” airdrop and one that requires specific protocols to be followed. An “automatic airdrop” does not require the recipient to do anything other than hold a suitable, active wallet. A “manual” airdrop is one where specific requirements are imposed in the protocol devised by the project developers.</w:t>
      </w:r>
      <w:r w:rsidRPr="00CB0089">
        <w:rPr>
          <w:rStyle w:val="FootnoteReference"/>
          <w:rFonts w:ascii="Times New Roman" w:hAnsi="Times New Roman" w:cs="Times New Roman"/>
          <w:sz w:val="24"/>
          <w:szCs w:val="24"/>
        </w:rPr>
        <w:footnoteReference w:id="3"/>
      </w:r>
      <w:r w:rsidRPr="00CB0089">
        <w:rPr>
          <w:rFonts w:ascii="Times New Roman" w:hAnsi="Times New Roman" w:cs="Times New Roman"/>
          <w:sz w:val="24"/>
          <w:szCs w:val="24"/>
        </w:rPr>
        <w:t xml:space="preserve"> Alternative nomenclature sometimes refers to programs that require more substantial efforts from recipients as “bounty programs,” rather than airdrops. Usually these require completion of specific tasks or jobs, such as creation of new graphics, translations, marketing and promotion for the project, or writing content.</w:t>
      </w:r>
      <w:r w:rsidRPr="00CB0089">
        <w:rPr>
          <w:rStyle w:val="FootnoteReference"/>
          <w:rFonts w:ascii="Times New Roman" w:hAnsi="Times New Roman" w:cs="Times New Roman"/>
          <w:sz w:val="24"/>
          <w:szCs w:val="24"/>
        </w:rPr>
        <w:footnoteReference w:id="4"/>
      </w:r>
    </w:p>
    <w:p w:rsidR="00E16454" w:rsidRPr="00CB0089" w:rsidRDefault="00E16454" w:rsidP="00E16454">
      <w:pPr>
        <w:jc w:val="left"/>
        <w:rPr>
          <w:rFonts w:ascii="Times New Roman" w:hAnsi="Times New Roman" w:cs="Times New Roman"/>
          <w:sz w:val="24"/>
          <w:szCs w:val="24"/>
        </w:rPr>
      </w:pPr>
      <w:r w:rsidRPr="00CB0089">
        <w:rPr>
          <w:rFonts w:ascii="Times New Roman" w:hAnsi="Times New Roman" w:cs="Times New Roman"/>
          <w:sz w:val="24"/>
          <w:szCs w:val="24"/>
        </w:rPr>
        <w:t xml:space="preserve">The </w:t>
      </w:r>
      <w:r w:rsidR="000118E3">
        <w:rPr>
          <w:rFonts w:ascii="Times New Roman" w:hAnsi="Times New Roman" w:cs="Times New Roman"/>
          <w:sz w:val="24"/>
          <w:szCs w:val="24"/>
        </w:rPr>
        <w:t>Patreos</w:t>
      </w:r>
      <w:r w:rsidRPr="00CB0089">
        <w:rPr>
          <w:rFonts w:ascii="Times New Roman" w:hAnsi="Times New Roman" w:cs="Times New Roman"/>
          <w:sz w:val="24"/>
          <w:szCs w:val="24"/>
        </w:rPr>
        <w:t xml:space="preserve"> airdrop was a truly free, automatic airdrop. Recipients were not required to opt in, did not need to register, did not have to join any social media groups, and in fact did not have to do anything that they were not already doing. Recipients were persons who already owned EOS tokens and therefore had a wallet capable of holding tokens produced on that blockchain (such as the Patreos token). That is it. Nothing else.</w:t>
      </w:r>
    </w:p>
    <w:p w:rsidR="00E16454" w:rsidRPr="00CB0089" w:rsidRDefault="00E16454" w:rsidP="00F210E8">
      <w:pPr>
        <w:rPr>
          <w:rFonts w:ascii="Times New Roman" w:hAnsi="Times New Roman" w:cs="Times New Roman"/>
          <w:sz w:val="24"/>
          <w:szCs w:val="24"/>
        </w:rPr>
      </w:pPr>
      <w:r w:rsidRPr="00CB0089">
        <w:rPr>
          <w:rFonts w:ascii="Times New Roman" w:hAnsi="Times New Roman" w:cs="Times New Roman"/>
          <w:sz w:val="24"/>
          <w:szCs w:val="24"/>
        </w:rPr>
        <w:t xml:space="preserve">This can be distinguished from all the other instances where something similar was determined to involve a security.  For example, in 1999 the SEC concluded </w:t>
      </w:r>
      <w:r w:rsidRPr="00E16454">
        <w:rPr>
          <w:rFonts w:ascii="Times New Roman" w:hAnsi="Times New Roman" w:cs="Times New Roman"/>
          <w:sz w:val="24"/>
          <w:szCs w:val="24"/>
        </w:rPr>
        <w:t xml:space="preserve">giveaways of stock </w:t>
      </w:r>
      <w:r w:rsidRPr="00CB0089">
        <w:rPr>
          <w:rFonts w:ascii="Times New Roman" w:hAnsi="Times New Roman" w:cs="Times New Roman"/>
          <w:sz w:val="24"/>
          <w:szCs w:val="24"/>
        </w:rPr>
        <w:t xml:space="preserve">still involved the distribution of securities back </w:t>
      </w:r>
      <w:r w:rsidRPr="00E16454">
        <w:rPr>
          <w:rFonts w:ascii="Times New Roman" w:hAnsi="Times New Roman" w:cs="Times New Roman"/>
          <w:sz w:val="24"/>
          <w:szCs w:val="24"/>
        </w:rPr>
        <w:t>in 1999.</w:t>
      </w:r>
      <w:r w:rsidRPr="00CB0089">
        <w:rPr>
          <w:rFonts w:ascii="Times New Roman" w:hAnsi="Times New Roman" w:cs="Times New Roman"/>
          <w:sz w:val="24"/>
          <w:szCs w:val="24"/>
          <w:vertAlign w:val="superscript"/>
        </w:rPr>
        <w:footnoteReference w:id="5"/>
      </w:r>
      <w:r w:rsidRPr="00E16454">
        <w:rPr>
          <w:rFonts w:ascii="Times New Roman" w:hAnsi="Times New Roman" w:cs="Times New Roman"/>
          <w:sz w:val="24"/>
          <w:szCs w:val="24"/>
        </w:rPr>
        <w:t xml:space="preserve"> </w:t>
      </w:r>
      <w:r w:rsidR="00CB0089" w:rsidRPr="00CB0089">
        <w:rPr>
          <w:rFonts w:ascii="Times New Roman" w:hAnsi="Times New Roman" w:cs="Times New Roman"/>
          <w:sz w:val="24"/>
          <w:szCs w:val="24"/>
        </w:rPr>
        <w:t xml:space="preserve">However, the Supreme Court held in Landreth Timber Co. v. Landreth, 471 U.S. 681 (1985) that stock that has the ordinary attributes of stock is always to be treated as a security; there is no requirement that the stock be exchanged for money or something of value. This is different from the </w:t>
      </w:r>
      <w:r w:rsidR="00CB0089" w:rsidRPr="00CB0089">
        <w:rPr>
          <w:rFonts w:ascii="Times New Roman" w:hAnsi="Times New Roman" w:cs="Times New Roman"/>
          <w:i/>
          <w:sz w:val="24"/>
          <w:szCs w:val="24"/>
        </w:rPr>
        <w:t>Howey</w:t>
      </w:r>
      <w:r w:rsidR="00CB0089" w:rsidRPr="00CB0089">
        <w:rPr>
          <w:rFonts w:ascii="Times New Roman" w:hAnsi="Times New Roman" w:cs="Times New Roman"/>
          <w:sz w:val="24"/>
          <w:szCs w:val="24"/>
        </w:rPr>
        <w:t xml:space="preserve"> investment contract analysis, which among other things looks specifically at whether there is an investment of money or something else of value.  </w:t>
      </w:r>
    </w:p>
    <w:p w:rsidR="00E16454" w:rsidRPr="00E16454" w:rsidRDefault="000118E3" w:rsidP="00F210E8">
      <w:pPr>
        <w:rPr>
          <w:rFonts w:ascii="Times New Roman" w:hAnsi="Times New Roman" w:cs="Times New Roman"/>
          <w:sz w:val="24"/>
        </w:rPr>
      </w:pPr>
      <w:r>
        <w:rPr>
          <w:rFonts w:ascii="Times New Roman" w:hAnsi="Times New Roman" w:cs="Times New Roman"/>
          <w:sz w:val="24"/>
        </w:rPr>
        <w:t>Patreos</w:t>
      </w:r>
      <w:r w:rsidR="00CB0089">
        <w:rPr>
          <w:rFonts w:ascii="Times New Roman" w:hAnsi="Times New Roman" w:cs="Times New Roman"/>
          <w:sz w:val="24"/>
        </w:rPr>
        <w:t xml:space="preserve"> is also aware that on</w:t>
      </w:r>
      <w:r w:rsidR="00E16454" w:rsidRPr="00E16454">
        <w:rPr>
          <w:rFonts w:ascii="Times New Roman" w:hAnsi="Times New Roman" w:cs="Times New Roman"/>
          <w:sz w:val="24"/>
        </w:rPr>
        <w:t xml:space="preserve"> August 14, 2018, the SEC issued a cease and desist order (the “Tomahawk Order”) against a company and its founder for actions in connection with an ICO of cryptoassets called “Tomahawkcoins” or “TOM.”</w:t>
      </w:r>
      <w:r w:rsidR="00E16454" w:rsidRPr="00E16454">
        <w:rPr>
          <w:rFonts w:ascii="Times New Roman" w:hAnsi="Times New Roman" w:cs="Times New Roman"/>
          <w:sz w:val="24"/>
          <w:vertAlign w:val="superscript"/>
        </w:rPr>
        <w:footnoteReference w:id="6"/>
      </w:r>
      <w:r w:rsidR="00E16454" w:rsidRPr="00E16454">
        <w:rPr>
          <w:rFonts w:ascii="Times New Roman" w:hAnsi="Times New Roman" w:cs="Times New Roman"/>
          <w:sz w:val="24"/>
        </w:rPr>
        <w:t xml:space="preserve"> In the Tomahawk Order,</w:t>
      </w:r>
      <w:r w:rsidR="00E16454" w:rsidRPr="00E16454">
        <w:rPr>
          <w:rFonts w:ascii="Times New Roman" w:hAnsi="Times New Roman" w:cs="Times New Roman"/>
          <w:sz w:val="24"/>
          <w:vertAlign w:val="superscript"/>
        </w:rPr>
        <w:footnoteReference w:id="7"/>
      </w:r>
      <w:r w:rsidR="00E16454" w:rsidRPr="00E16454">
        <w:rPr>
          <w:rFonts w:ascii="Times New Roman" w:hAnsi="Times New Roman" w:cs="Times New Roman"/>
          <w:sz w:val="24"/>
        </w:rPr>
        <w:t xml:space="preserve"> the SEC found that the issuer’s “Bounty Program” constituted an offer and sale of securities because the company “provided TOM to investors in exchange for services designed to advance Tomahawk’s economic interests and foster a trading market for its securities.”</w:t>
      </w:r>
      <w:r w:rsidR="00E16454" w:rsidRPr="00E16454">
        <w:rPr>
          <w:rFonts w:ascii="Times New Roman" w:hAnsi="Times New Roman" w:cs="Times New Roman"/>
          <w:sz w:val="24"/>
          <w:vertAlign w:val="superscript"/>
        </w:rPr>
        <w:footnoteReference w:id="8"/>
      </w:r>
      <w:r w:rsidR="00E16454" w:rsidRPr="00E16454">
        <w:rPr>
          <w:rFonts w:ascii="Times New Roman" w:hAnsi="Times New Roman" w:cs="Times New Roman"/>
          <w:sz w:val="24"/>
        </w:rPr>
        <w:t xml:space="preserve"> The lack of payment did not prevent the distribution from involving securities, because the company “received value in exchange for the </w:t>
      </w:r>
      <w:r w:rsidR="00E16454" w:rsidRPr="00E16454">
        <w:rPr>
          <w:rFonts w:ascii="Times New Roman" w:hAnsi="Times New Roman" w:cs="Times New Roman"/>
          <w:sz w:val="24"/>
        </w:rPr>
        <w:lastRenderedPageBreak/>
        <w:t>bounty distributions, in the form of online marketing….”</w:t>
      </w:r>
      <w:r w:rsidR="00E16454" w:rsidRPr="00E16454">
        <w:rPr>
          <w:rFonts w:ascii="Times New Roman" w:hAnsi="Times New Roman" w:cs="Times New Roman"/>
          <w:sz w:val="24"/>
          <w:vertAlign w:val="superscript"/>
        </w:rPr>
        <w:footnoteReference w:id="9"/>
      </w:r>
      <w:r w:rsidR="00E16454" w:rsidRPr="00E16454">
        <w:rPr>
          <w:rFonts w:ascii="Times New Roman" w:hAnsi="Times New Roman" w:cs="Times New Roman"/>
          <w:sz w:val="24"/>
        </w:rPr>
        <w:t xml:space="preserve"> </w:t>
      </w:r>
      <w:r w:rsidR="00CB0089">
        <w:rPr>
          <w:rFonts w:ascii="Times New Roman" w:hAnsi="Times New Roman" w:cs="Times New Roman"/>
          <w:sz w:val="24"/>
        </w:rPr>
        <w:t xml:space="preserve">It is really worth emphasizing that Tomohawk program was not an airdrop, was not called an airdrop (even the company categorizing it as </w:t>
      </w:r>
      <w:r w:rsidR="00E16454" w:rsidRPr="00E16454">
        <w:rPr>
          <w:rFonts w:ascii="Times New Roman" w:hAnsi="Times New Roman" w:cs="Times New Roman"/>
          <w:sz w:val="24"/>
        </w:rPr>
        <w:t>a bounty program</w:t>
      </w:r>
      <w:r w:rsidR="00CB0089">
        <w:rPr>
          <w:rFonts w:ascii="Times New Roman" w:hAnsi="Times New Roman" w:cs="Times New Roman"/>
          <w:sz w:val="24"/>
        </w:rPr>
        <w:t>)</w:t>
      </w:r>
      <w:r w:rsidR="00E16454" w:rsidRPr="00E16454">
        <w:rPr>
          <w:rFonts w:ascii="Times New Roman" w:hAnsi="Times New Roman" w:cs="Times New Roman"/>
          <w:sz w:val="24"/>
        </w:rPr>
        <w:t>, and</w:t>
      </w:r>
      <w:r w:rsidR="00857684">
        <w:rPr>
          <w:rFonts w:ascii="Times New Roman" w:hAnsi="Times New Roman" w:cs="Times New Roman"/>
          <w:sz w:val="24"/>
        </w:rPr>
        <w:t xml:space="preserve"> required </w:t>
      </w:r>
      <w:r w:rsidR="00E16454" w:rsidRPr="00E16454">
        <w:rPr>
          <w:rFonts w:ascii="Times New Roman" w:hAnsi="Times New Roman" w:cs="Times New Roman"/>
          <w:sz w:val="24"/>
        </w:rPr>
        <w:t xml:space="preserve"> a </w:t>
      </w:r>
      <w:r w:rsidR="00CB0089">
        <w:rPr>
          <w:rFonts w:ascii="Times New Roman" w:hAnsi="Times New Roman" w:cs="Times New Roman"/>
          <w:sz w:val="24"/>
        </w:rPr>
        <w:t xml:space="preserve">significant </w:t>
      </w:r>
      <w:r w:rsidR="00857684">
        <w:rPr>
          <w:rFonts w:ascii="Times New Roman" w:hAnsi="Times New Roman" w:cs="Times New Roman"/>
          <w:sz w:val="24"/>
        </w:rPr>
        <w:t xml:space="preserve">degree in order </w:t>
      </w:r>
      <w:r w:rsidR="00E16454" w:rsidRPr="00E16454">
        <w:rPr>
          <w:rFonts w:ascii="Times New Roman" w:hAnsi="Times New Roman" w:cs="Times New Roman"/>
          <w:sz w:val="24"/>
        </w:rPr>
        <w:t>to participate.</w:t>
      </w:r>
      <w:r w:rsidR="00857684">
        <w:rPr>
          <w:rFonts w:ascii="Times New Roman" w:hAnsi="Times New Roman" w:cs="Times New Roman"/>
          <w:sz w:val="24"/>
        </w:rPr>
        <w:t xml:space="preserve"> In addition, the determination by the SEC was not confirmed by any court, since Tomohawk settled the proceedings.</w:t>
      </w:r>
    </w:p>
    <w:p w:rsidR="00E16454" w:rsidRPr="00E16454" w:rsidRDefault="00E16454" w:rsidP="00E16454">
      <w:pPr>
        <w:ind w:firstLine="360"/>
        <w:rPr>
          <w:rFonts w:ascii="Times New Roman" w:hAnsi="Times New Roman" w:cs="Times New Roman"/>
          <w:sz w:val="24"/>
        </w:rPr>
      </w:pPr>
      <w:r w:rsidRPr="00E16454">
        <w:rPr>
          <w:rFonts w:ascii="Times New Roman" w:hAnsi="Times New Roman" w:cs="Times New Roman"/>
          <w:sz w:val="24"/>
        </w:rPr>
        <w:t>Certainly</w:t>
      </w:r>
      <w:r w:rsidR="00CB0089">
        <w:rPr>
          <w:rFonts w:ascii="Times New Roman" w:hAnsi="Times New Roman" w:cs="Times New Roman"/>
          <w:sz w:val="24"/>
        </w:rPr>
        <w:t>,</w:t>
      </w:r>
      <w:r w:rsidRPr="00E16454">
        <w:rPr>
          <w:rFonts w:ascii="Times New Roman" w:hAnsi="Times New Roman" w:cs="Times New Roman"/>
          <w:sz w:val="24"/>
        </w:rPr>
        <w:t xml:space="preserve"> U.S. law on airdrops is unclear, </w:t>
      </w:r>
      <w:r w:rsidR="00CB0089">
        <w:rPr>
          <w:rFonts w:ascii="Times New Roman" w:hAnsi="Times New Roman" w:cs="Times New Roman"/>
          <w:sz w:val="24"/>
        </w:rPr>
        <w:t>and no formal pronouncements have been made</w:t>
      </w:r>
      <w:r w:rsidR="00857684">
        <w:rPr>
          <w:rFonts w:ascii="Times New Roman" w:hAnsi="Times New Roman" w:cs="Times New Roman"/>
          <w:sz w:val="24"/>
        </w:rPr>
        <w:t xml:space="preserve"> by the SEC</w:t>
      </w:r>
      <w:r w:rsidR="00CB0089">
        <w:rPr>
          <w:rFonts w:ascii="Times New Roman" w:hAnsi="Times New Roman" w:cs="Times New Roman"/>
          <w:sz w:val="24"/>
        </w:rPr>
        <w:t xml:space="preserve">. But the </w:t>
      </w:r>
      <w:bookmarkStart w:id="0" w:name="_GoBack"/>
      <w:r w:rsidR="000118E3">
        <w:rPr>
          <w:rFonts w:ascii="Times New Roman" w:hAnsi="Times New Roman" w:cs="Times New Roman"/>
          <w:sz w:val="24"/>
        </w:rPr>
        <w:t>Patr</w:t>
      </w:r>
      <w:bookmarkEnd w:id="0"/>
      <w:r w:rsidR="000118E3">
        <w:rPr>
          <w:rFonts w:ascii="Times New Roman" w:hAnsi="Times New Roman" w:cs="Times New Roman"/>
          <w:sz w:val="24"/>
        </w:rPr>
        <w:t>eos</w:t>
      </w:r>
      <w:r w:rsidR="00CB0089">
        <w:rPr>
          <w:rFonts w:ascii="Times New Roman" w:hAnsi="Times New Roman" w:cs="Times New Roman"/>
          <w:sz w:val="24"/>
        </w:rPr>
        <w:t xml:space="preserve"> distribution did not even come close to the line</w:t>
      </w:r>
      <w:r w:rsidR="00857684">
        <w:rPr>
          <w:rFonts w:ascii="Times New Roman" w:hAnsi="Times New Roman" w:cs="Times New Roman"/>
          <w:sz w:val="24"/>
        </w:rPr>
        <w:t xml:space="preserve"> articulated in </w:t>
      </w:r>
      <w:r w:rsidR="00857684" w:rsidRPr="00857684">
        <w:rPr>
          <w:rFonts w:ascii="Times New Roman" w:hAnsi="Times New Roman" w:cs="Times New Roman"/>
          <w:i/>
          <w:sz w:val="24"/>
        </w:rPr>
        <w:t>Howey</w:t>
      </w:r>
      <w:r w:rsidR="00CB0089" w:rsidRPr="00857684">
        <w:rPr>
          <w:rFonts w:ascii="Times New Roman" w:hAnsi="Times New Roman" w:cs="Times New Roman"/>
          <w:i/>
          <w:sz w:val="24"/>
        </w:rPr>
        <w:t>.</w:t>
      </w:r>
      <w:r w:rsidR="00CB0089">
        <w:rPr>
          <w:rFonts w:ascii="Times New Roman" w:hAnsi="Times New Roman" w:cs="Times New Roman"/>
          <w:sz w:val="24"/>
        </w:rPr>
        <w:t xml:space="preserve"> </w:t>
      </w:r>
      <w:r w:rsidR="00857684">
        <w:rPr>
          <w:rFonts w:ascii="Times New Roman" w:hAnsi="Times New Roman" w:cs="Times New Roman"/>
          <w:sz w:val="24"/>
        </w:rPr>
        <w:t>N</w:t>
      </w:r>
      <w:r w:rsidR="00CB0089">
        <w:rPr>
          <w:rFonts w:ascii="Times New Roman" w:hAnsi="Times New Roman" w:cs="Times New Roman"/>
          <w:sz w:val="24"/>
        </w:rPr>
        <w:t>othing of value was required to be contributed</w:t>
      </w:r>
      <w:r w:rsidR="00857684">
        <w:rPr>
          <w:rFonts w:ascii="Times New Roman" w:hAnsi="Times New Roman" w:cs="Times New Roman"/>
          <w:sz w:val="24"/>
        </w:rPr>
        <w:t>, and no effort was required</w:t>
      </w:r>
      <w:r w:rsidRPr="00E16454">
        <w:rPr>
          <w:rFonts w:ascii="Times New Roman" w:hAnsi="Times New Roman" w:cs="Times New Roman"/>
          <w:sz w:val="24"/>
        </w:rPr>
        <w:t>.</w:t>
      </w:r>
    </w:p>
    <w:p w:rsidR="00E16454" w:rsidRDefault="00E16454"/>
    <w:p w:rsidR="00E16454" w:rsidRDefault="00E16454"/>
    <w:sectPr w:rsidR="00E164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B21" w:rsidRDefault="00997B21" w:rsidP="00E16454">
      <w:pPr>
        <w:spacing w:after="0" w:line="240" w:lineRule="auto"/>
      </w:pPr>
      <w:r>
        <w:separator/>
      </w:r>
    </w:p>
  </w:endnote>
  <w:endnote w:type="continuationSeparator" w:id="0">
    <w:p w:rsidR="00997B21" w:rsidRDefault="00997B21" w:rsidP="00E1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B21" w:rsidRDefault="00997B21" w:rsidP="00E16454">
      <w:pPr>
        <w:spacing w:after="0" w:line="240" w:lineRule="auto"/>
      </w:pPr>
      <w:r>
        <w:separator/>
      </w:r>
    </w:p>
  </w:footnote>
  <w:footnote w:type="continuationSeparator" w:id="0">
    <w:p w:rsidR="00997B21" w:rsidRDefault="00997B21" w:rsidP="00E16454">
      <w:pPr>
        <w:spacing w:after="0" w:line="240" w:lineRule="auto"/>
      </w:pPr>
      <w:r>
        <w:continuationSeparator/>
      </w:r>
    </w:p>
  </w:footnote>
  <w:footnote w:id="1">
    <w:p w:rsidR="00E16454" w:rsidRDefault="00E16454" w:rsidP="00E16454">
      <w:pPr>
        <w:pStyle w:val="FootnoteText"/>
      </w:pPr>
      <w:r>
        <w:rPr>
          <w:rStyle w:val="FootnoteReference"/>
        </w:rPr>
        <w:footnoteRef/>
      </w:r>
      <w:r>
        <w:t xml:space="preserve"> </w:t>
      </w:r>
      <w:r>
        <w:tab/>
      </w:r>
      <w:r w:rsidRPr="00A6209F">
        <w:t xml:space="preserve">Katalyse.io, Mission.Org, </w:t>
      </w:r>
      <w:r w:rsidRPr="00A6209F">
        <w:rPr>
          <w:i/>
        </w:rPr>
        <w:t>What are “Airdrops” in Crypto World?</w:t>
      </w:r>
      <w:r w:rsidRPr="00A6209F">
        <w:t xml:space="preserve"> M</w:t>
      </w:r>
      <w:r w:rsidRPr="00A6209F">
        <w:rPr>
          <w:smallCaps/>
        </w:rPr>
        <w:t>edium</w:t>
      </w:r>
      <w:r w:rsidRPr="00A6209F">
        <w:t xml:space="preserve"> (Feb 15, 2018) [archived</w:t>
      </w:r>
      <w:r>
        <w:t xml:space="preserve"> at </w:t>
      </w:r>
      <w:hyperlink r:id="rId1" w:history="1">
        <w:r w:rsidRPr="00A80591">
          <w:rPr>
            <w:rStyle w:val="Hyperlink"/>
          </w:rPr>
          <w:t>https://perma.cc/DCN8-TB8E</w:t>
        </w:r>
      </w:hyperlink>
      <w:r>
        <w:t xml:space="preserve">] (this same source also notes that </w:t>
      </w:r>
      <w:r w:rsidRPr="00A6209F">
        <w:t xml:space="preserve">established blockchain-based enterprises </w:t>
      </w:r>
      <w:r>
        <w:t>such as trading platforms or wallet services can conduct airdrops as well.)</w:t>
      </w:r>
    </w:p>
  </w:footnote>
  <w:footnote w:id="2">
    <w:p w:rsidR="00E16454" w:rsidRDefault="00E16454" w:rsidP="00E16454">
      <w:pPr>
        <w:pStyle w:val="FootnoteText"/>
      </w:pPr>
      <w:r>
        <w:rPr>
          <w:rStyle w:val="FootnoteReference"/>
        </w:rPr>
        <w:footnoteRef/>
      </w:r>
      <w:r>
        <w:t xml:space="preserve"> </w:t>
      </w:r>
      <w:r>
        <w:tab/>
        <w:t xml:space="preserve">CoinBundle Team, </w:t>
      </w:r>
      <w:r w:rsidRPr="000E013E">
        <w:rPr>
          <w:i/>
        </w:rPr>
        <w:t>What Are Airdrops,</w:t>
      </w:r>
      <w:r>
        <w:t xml:space="preserve"> </w:t>
      </w:r>
      <w:r w:rsidRPr="000E013E">
        <w:rPr>
          <w:smallCaps/>
        </w:rPr>
        <w:t xml:space="preserve">Medium </w:t>
      </w:r>
      <w:r>
        <w:t xml:space="preserve">(Sept. 14, 2018) [archived at </w:t>
      </w:r>
      <w:hyperlink r:id="rId2" w:history="1">
        <w:r w:rsidRPr="00A80591">
          <w:rPr>
            <w:rStyle w:val="Hyperlink"/>
          </w:rPr>
          <w:t>https://perma.cc/U5SE-TUPJ</w:t>
        </w:r>
      </w:hyperlink>
      <w:r>
        <w:t>].</w:t>
      </w:r>
    </w:p>
  </w:footnote>
  <w:footnote w:id="3">
    <w:p w:rsidR="00E16454" w:rsidRDefault="00E16454" w:rsidP="00E16454">
      <w:pPr>
        <w:pStyle w:val="FootnoteText"/>
      </w:pPr>
      <w:r>
        <w:rPr>
          <w:rStyle w:val="FootnoteReference"/>
        </w:rPr>
        <w:footnoteRef/>
      </w:r>
      <w:r>
        <w:t xml:space="preserve"> </w:t>
      </w:r>
      <w:r w:rsidRPr="00E65513">
        <w:rPr>
          <w:i/>
        </w:rPr>
        <w:tab/>
        <w:t>See</w:t>
      </w:r>
      <w:r>
        <w:t xml:space="preserve"> Marko Vidrih, </w:t>
      </w:r>
      <w:r w:rsidRPr="00E65513">
        <w:rPr>
          <w:i/>
        </w:rPr>
        <w:t>Airdrops — What exactly is an Airdrop?,</w:t>
      </w:r>
      <w:r>
        <w:t xml:space="preserve"> M</w:t>
      </w:r>
      <w:r w:rsidRPr="00E65513">
        <w:rPr>
          <w:smallCaps/>
        </w:rPr>
        <w:t>edium</w:t>
      </w:r>
      <w:r>
        <w:t xml:space="preserve"> (Jun. 12, 2018) [archived at </w:t>
      </w:r>
      <w:hyperlink r:id="rId3" w:history="1">
        <w:r w:rsidRPr="00A80591">
          <w:rPr>
            <w:rStyle w:val="Hyperlink"/>
          </w:rPr>
          <w:t>https://perma.cc/8WM9-7YA6</w:t>
        </w:r>
      </w:hyperlink>
      <w:r>
        <w:t xml:space="preserve">]. </w:t>
      </w:r>
    </w:p>
  </w:footnote>
  <w:footnote w:id="4">
    <w:p w:rsidR="00E16454" w:rsidRDefault="00E16454" w:rsidP="00E16454">
      <w:pPr>
        <w:pStyle w:val="FootnoteText"/>
      </w:pPr>
      <w:r>
        <w:rPr>
          <w:rStyle w:val="FootnoteReference"/>
        </w:rPr>
        <w:footnoteRef/>
      </w:r>
      <w:r>
        <w:t xml:space="preserve"> </w:t>
      </w:r>
      <w:r w:rsidRPr="00CB1250">
        <w:rPr>
          <w:i/>
        </w:rPr>
        <w:tab/>
        <w:t>See generally</w:t>
      </w:r>
      <w:r>
        <w:t xml:space="preserve"> Winco, </w:t>
      </w:r>
      <w:r w:rsidRPr="00CB1250">
        <w:rPr>
          <w:i/>
        </w:rPr>
        <w:t>What is the difference between Faucets, Airdrops, and Bounties?</w:t>
      </w:r>
      <w:r>
        <w:rPr>
          <w:i/>
        </w:rPr>
        <w:t>,</w:t>
      </w:r>
      <w:r>
        <w:t xml:space="preserve"> </w:t>
      </w:r>
      <w:r w:rsidRPr="00CB1250">
        <w:rPr>
          <w:smallCaps/>
        </w:rPr>
        <w:t>Good Audience</w:t>
      </w:r>
      <w:r>
        <w:t xml:space="preserve"> </w:t>
      </w:r>
      <w:r w:rsidRPr="00CB1250">
        <w:rPr>
          <w:smallCaps/>
        </w:rPr>
        <w:t>Blog</w:t>
      </w:r>
      <w:r>
        <w:t xml:space="preserve"> (Oct. 10, 2018) [archived at </w:t>
      </w:r>
      <w:hyperlink r:id="rId4" w:history="1">
        <w:r w:rsidRPr="00A80591">
          <w:rPr>
            <w:rStyle w:val="Hyperlink"/>
          </w:rPr>
          <w:t>https://perma.cc/V6WP-SZ68</w:t>
        </w:r>
      </w:hyperlink>
      <w:r>
        <w:t xml:space="preserve">]. </w:t>
      </w:r>
    </w:p>
  </w:footnote>
  <w:footnote w:id="5">
    <w:p w:rsidR="00E16454" w:rsidRPr="00841F38" w:rsidRDefault="00E16454" w:rsidP="00E16454">
      <w:pPr>
        <w:pStyle w:val="FootnoteText"/>
      </w:pPr>
      <w:r>
        <w:rPr>
          <w:rStyle w:val="FootnoteReference"/>
        </w:rPr>
        <w:footnoteRef/>
      </w:r>
      <w:r>
        <w:t xml:space="preserve"> </w:t>
      </w:r>
      <w:r>
        <w:tab/>
      </w:r>
      <w:r w:rsidRPr="00212CC2">
        <w:rPr>
          <w:i/>
        </w:rPr>
        <w:t>See</w:t>
      </w:r>
      <w:r>
        <w:t xml:space="preserve"> </w:t>
      </w:r>
      <w:r w:rsidR="00CB0089" w:rsidRPr="00CB0089">
        <w:t xml:space="preserve">Brady Dale, </w:t>
      </w:r>
      <w:r w:rsidR="00CB0089" w:rsidRPr="00CB0089">
        <w:rPr>
          <w:i/>
        </w:rPr>
        <w:t>So Long ICOs, Hello Airdrops: The Free Token Giveaway Craze Is Here</w:t>
      </w:r>
      <w:r w:rsidR="00CB0089" w:rsidRPr="00CB0089">
        <w:rPr>
          <w:smallCaps/>
        </w:rPr>
        <w:t xml:space="preserve">, CoinDesk </w:t>
      </w:r>
      <w:r w:rsidR="00CB0089" w:rsidRPr="00CB0089">
        <w:t xml:space="preserve">(Updated Mar. 17, 2018) [archived at https://perma.cc/H2DU-7RDN]. </w:t>
      </w:r>
      <w:r>
        <w:t>citing</w:t>
      </w:r>
      <w:r w:rsidRPr="00ED5A24">
        <w:t xml:space="preserve"> Todd Kornfeld, counsel at the Pepper Hamilton LLP law firm, as expressing concern based on SEC actions from 1999 that targeted giveaways of free equity interests.</w:t>
      </w:r>
      <w:r w:rsidRPr="00212CC2">
        <w:t xml:space="preserve"> </w:t>
      </w:r>
    </w:p>
  </w:footnote>
  <w:footnote w:id="6">
    <w:p w:rsidR="00E16454" w:rsidRPr="00ED5A24" w:rsidRDefault="00E16454" w:rsidP="00E16454">
      <w:pPr>
        <w:pStyle w:val="FootnoteText"/>
      </w:pPr>
      <w:r>
        <w:rPr>
          <w:rStyle w:val="FootnoteReference"/>
        </w:rPr>
        <w:footnoteRef/>
      </w:r>
      <w:r>
        <w:t xml:space="preserve"> </w:t>
      </w:r>
      <w:r>
        <w:tab/>
        <w:t xml:space="preserve">U.S. </w:t>
      </w:r>
      <w:r w:rsidRPr="00ED5A24">
        <w:t xml:space="preserve">SEC, Press Release, </w:t>
      </w:r>
      <w:r w:rsidRPr="00ED5A24">
        <w:rPr>
          <w:i/>
        </w:rPr>
        <w:t>SEC Bars Perpetrator of Initial Coin Offering Fraud</w:t>
      </w:r>
      <w:r w:rsidRPr="00ED5A24">
        <w:t xml:space="preserve">, 2018-152 (Aug. 14, 2018) [archived at </w:t>
      </w:r>
      <w:hyperlink r:id="rId5" w:history="1">
        <w:r w:rsidRPr="00A80591">
          <w:rPr>
            <w:rStyle w:val="Hyperlink"/>
          </w:rPr>
          <w:t>https://perma.cc/G2G2-3N2P</w:t>
        </w:r>
      </w:hyperlink>
      <w:r w:rsidRPr="00ED5A24">
        <w:t>]</w:t>
      </w:r>
      <w:r>
        <w:t xml:space="preserve">. </w:t>
      </w:r>
    </w:p>
  </w:footnote>
  <w:footnote w:id="7">
    <w:p w:rsidR="00E16454" w:rsidRDefault="00E16454" w:rsidP="00E16454">
      <w:pPr>
        <w:pStyle w:val="FootnoteText"/>
      </w:pPr>
      <w:r>
        <w:rPr>
          <w:rStyle w:val="FootnoteReference"/>
        </w:rPr>
        <w:footnoteRef/>
      </w:r>
      <w:r>
        <w:t xml:space="preserve"> </w:t>
      </w:r>
      <w:r>
        <w:tab/>
        <w:t xml:space="preserve">A copy of the Tomahawk Cease and Desist Order is archived at </w:t>
      </w:r>
      <w:hyperlink r:id="rId6" w:history="1">
        <w:r w:rsidRPr="00A80591">
          <w:rPr>
            <w:rStyle w:val="Hyperlink"/>
          </w:rPr>
          <w:t>https://perma.cc/3ZGB-BD79</w:t>
        </w:r>
      </w:hyperlink>
      <w:r>
        <w:t xml:space="preserve"> .</w:t>
      </w:r>
    </w:p>
  </w:footnote>
  <w:footnote w:id="8">
    <w:p w:rsidR="00E16454" w:rsidRDefault="00E16454" w:rsidP="00E16454">
      <w:pPr>
        <w:pStyle w:val="FootnoteText"/>
      </w:pPr>
      <w:r>
        <w:rPr>
          <w:rStyle w:val="FootnoteReference"/>
        </w:rPr>
        <w:footnoteRef/>
      </w:r>
      <w:r>
        <w:t xml:space="preserve"> </w:t>
      </w:r>
      <w:r>
        <w:tab/>
        <w:t xml:space="preserve">The specific things for which “bounties” were offered included things such as “as making requests to list TOM on token trading platforms, promoting TOM on blogs and other online forums like Twitter or Facebook, and creating professional picture file designs, YouTube videos or other promotional materials.” Tomahawk Order, </w:t>
      </w:r>
      <w:r w:rsidRPr="00B745DE">
        <w:rPr>
          <w:i/>
        </w:rPr>
        <w:t xml:space="preserve">supra </w:t>
      </w:r>
      <w:r>
        <w:t>note 28 at ¶ 21.</w:t>
      </w:r>
    </w:p>
  </w:footnote>
  <w:footnote w:id="9">
    <w:p w:rsidR="00E16454" w:rsidRDefault="00E16454" w:rsidP="00E16454">
      <w:pPr>
        <w:pStyle w:val="FootnoteText"/>
      </w:pPr>
      <w:r>
        <w:rPr>
          <w:rStyle w:val="FootnoteReference"/>
        </w:rPr>
        <w:footnoteRef/>
      </w:r>
      <w:r>
        <w:t xml:space="preserve"> </w:t>
      </w:r>
      <w:r>
        <w:tab/>
      </w:r>
      <w:r w:rsidRPr="00ED5A24">
        <w:rPr>
          <w:i/>
        </w:rPr>
        <w:t>Id.</w:t>
      </w:r>
      <w:r>
        <w:t xml:space="preserve"> at ¶ 34.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23658"/>
      <w:docPartObj>
        <w:docPartGallery w:val="Page Numbers (Top of Page)"/>
        <w:docPartUnique/>
      </w:docPartObj>
    </w:sdtPr>
    <w:sdtEndPr>
      <w:rPr>
        <w:noProof/>
      </w:rPr>
    </w:sdtEndPr>
    <w:sdtContent>
      <w:p w:rsidR="00F210E8" w:rsidRDefault="00F210E8">
        <w:pPr>
          <w:pStyle w:val="Header"/>
          <w:jc w:val="right"/>
        </w:pPr>
        <w:r>
          <w:fldChar w:fldCharType="begin"/>
        </w:r>
        <w:r>
          <w:instrText xml:space="preserve"> PAGE   \* MERGEFORMAT </w:instrText>
        </w:r>
        <w:r>
          <w:fldChar w:fldCharType="separate"/>
        </w:r>
        <w:r w:rsidR="000118E3">
          <w:rPr>
            <w:noProof/>
          </w:rPr>
          <w:t>3</w:t>
        </w:r>
        <w:r>
          <w:rPr>
            <w:noProof/>
          </w:rPr>
          <w:fldChar w:fldCharType="end"/>
        </w:r>
      </w:p>
    </w:sdtContent>
  </w:sdt>
  <w:p w:rsidR="00F210E8" w:rsidRDefault="00F210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4"/>
    <w:rsid w:val="000118E3"/>
    <w:rsid w:val="00857684"/>
    <w:rsid w:val="00997B21"/>
    <w:rsid w:val="00A11166"/>
    <w:rsid w:val="00CB0089"/>
    <w:rsid w:val="00DA4CAD"/>
    <w:rsid w:val="00E16454"/>
    <w:rsid w:val="00F2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4260B"/>
  <w15:chartTrackingRefBased/>
  <w15:docId w15:val="{0B5E8F22-4F4F-49D1-95AB-ACC0CD94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6454"/>
    <w:pPr>
      <w:spacing w:after="0" w:line="240" w:lineRule="auto"/>
      <w:ind w:firstLine="360"/>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E1645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16454"/>
    <w:rPr>
      <w:vertAlign w:val="superscript"/>
    </w:rPr>
  </w:style>
  <w:style w:type="character" w:styleId="Hyperlink">
    <w:name w:val="Hyperlink"/>
    <w:basedOn w:val="DefaultParagraphFont"/>
    <w:uiPriority w:val="99"/>
    <w:unhideWhenUsed/>
    <w:rsid w:val="00E16454"/>
    <w:rPr>
      <w:color w:val="0563C1" w:themeColor="hyperlink"/>
      <w:u w:val="single"/>
    </w:rPr>
  </w:style>
  <w:style w:type="paragraph" w:styleId="Header">
    <w:name w:val="header"/>
    <w:basedOn w:val="Normal"/>
    <w:link w:val="HeaderChar"/>
    <w:uiPriority w:val="99"/>
    <w:unhideWhenUsed/>
    <w:rsid w:val="00F21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0E8"/>
  </w:style>
  <w:style w:type="paragraph" w:styleId="Footer">
    <w:name w:val="footer"/>
    <w:basedOn w:val="Normal"/>
    <w:link w:val="FooterChar"/>
    <w:uiPriority w:val="99"/>
    <w:unhideWhenUsed/>
    <w:rsid w:val="00F21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ma.cc/F862-YS5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rma.cc/8WM9-7YA6" TargetMode="External"/><Relationship Id="rId2" Type="http://schemas.openxmlformats.org/officeDocument/2006/relationships/hyperlink" Target="https://perma.cc/U5SE-TUPJ" TargetMode="External"/><Relationship Id="rId1" Type="http://schemas.openxmlformats.org/officeDocument/2006/relationships/hyperlink" Target="https://perma.cc/DCN8-TB8E" TargetMode="External"/><Relationship Id="rId6" Type="http://schemas.openxmlformats.org/officeDocument/2006/relationships/hyperlink" Target="https://perma.cc/3ZGB-BD79" TargetMode="External"/><Relationship Id="rId5" Type="http://schemas.openxmlformats.org/officeDocument/2006/relationships/hyperlink" Target="https://perma.cc/G2G2-3N2P" TargetMode="External"/><Relationship Id="rId4" Type="http://schemas.openxmlformats.org/officeDocument/2006/relationships/hyperlink" Target="https://perma.cc/V6WP-SZ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Rose Goforth</dc:creator>
  <cp:keywords/>
  <dc:description/>
  <cp:lastModifiedBy>Carol Rose Goforth</cp:lastModifiedBy>
  <cp:revision>2</cp:revision>
  <dcterms:created xsi:type="dcterms:W3CDTF">2019-03-06T20:27:00Z</dcterms:created>
  <dcterms:modified xsi:type="dcterms:W3CDTF">2019-03-06T21:11:00Z</dcterms:modified>
</cp:coreProperties>
</file>