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B2EA" w14:textId="378F9092" w:rsidR="004F09C1" w:rsidRPr="004F09C1" w:rsidRDefault="004F09C1" w:rsidP="004F09C1">
      <w:pPr>
        <w:rPr>
          <w:b/>
          <w:bCs/>
        </w:rPr>
      </w:pPr>
      <w:r w:rsidRPr="004F09C1">
        <w:rPr>
          <w:rFonts w:ascii="Segoe UI Emoji" w:hAnsi="Segoe UI Emoji" w:cs="Segoe UI Emoji"/>
          <w:b/>
          <w:bCs/>
        </w:rPr>
        <w:t>📊</w:t>
      </w:r>
      <w:r w:rsidRPr="004F09C1">
        <w:rPr>
          <w:b/>
          <w:bCs/>
        </w:rPr>
        <w:t xml:space="preserve"> Informe de </w:t>
      </w:r>
      <w:proofErr w:type="spellStart"/>
      <w:r w:rsidRPr="004F09C1">
        <w:rPr>
          <w:b/>
          <w:bCs/>
        </w:rPr>
        <w:t>Insights</w:t>
      </w:r>
      <w:proofErr w:type="spellEnd"/>
      <w:r w:rsidRPr="004F09C1">
        <w:rPr>
          <w:b/>
          <w:bCs/>
        </w:rPr>
        <w:t xml:space="preserve"> </w:t>
      </w:r>
    </w:p>
    <w:p w14:paraId="411C6737" w14:textId="77777777" w:rsidR="004F09C1" w:rsidRPr="004F09C1" w:rsidRDefault="004F09C1" w:rsidP="004F09C1">
      <w:pPr>
        <w:rPr>
          <w:b/>
          <w:bCs/>
        </w:rPr>
      </w:pPr>
      <w:proofErr w:type="spellStart"/>
      <w:r w:rsidRPr="004F09C1">
        <w:rPr>
          <w:b/>
          <w:bCs/>
        </w:rPr>
        <w:t>Insight</w:t>
      </w:r>
      <w:proofErr w:type="spellEnd"/>
      <w:r w:rsidRPr="004F09C1">
        <w:rPr>
          <w:b/>
          <w:bCs/>
        </w:rPr>
        <w:t xml:space="preserve"> 1 – Rentabilidad por familia</w:t>
      </w:r>
    </w:p>
    <w:p w14:paraId="79B08943" w14:textId="77777777" w:rsidR="004F09C1" w:rsidRPr="004F09C1" w:rsidRDefault="004F09C1" w:rsidP="004F09C1">
      <w:r w:rsidRPr="004F09C1">
        <w:t xml:space="preserve">La familia </w:t>
      </w:r>
      <w:proofErr w:type="spellStart"/>
      <w:r w:rsidRPr="004F09C1">
        <w:rPr>
          <w:b/>
          <w:bCs/>
        </w:rPr>
        <w:t>Bikes</w:t>
      </w:r>
      <w:proofErr w:type="spellEnd"/>
      <w:r w:rsidRPr="004F09C1">
        <w:t xml:space="preserve"> presenta márgenes negativos en determinados periodos, mientras que </w:t>
      </w:r>
      <w:proofErr w:type="spellStart"/>
      <w:r w:rsidRPr="004F09C1">
        <w:rPr>
          <w:b/>
          <w:bCs/>
        </w:rPr>
        <w:t>Components</w:t>
      </w:r>
      <w:proofErr w:type="spellEnd"/>
      <w:r w:rsidRPr="004F09C1">
        <w:t xml:space="preserve"> y </w:t>
      </w:r>
      <w:proofErr w:type="spellStart"/>
      <w:r w:rsidRPr="004F09C1">
        <w:rPr>
          <w:b/>
          <w:bCs/>
        </w:rPr>
        <w:t>Accessories</w:t>
      </w:r>
      <w:proofErr w:type="spellEnd"/>
      <w:r w:rsidRPr="004F09C1">
        <w:t xml:space="preserve"> aportan margen positivo de forma consistente.</w:t>
      </w:r>
    </w:p>
    <w:p w14:paraId="048EB8D8" w14:textId="77777777" w:rsidR="004F09C1" w:rsidRPr="004F09C1" w:rsidRDefault="004F09C1" w:rsidP="004F09C1">
      <w:r w:rsidRPr="004F09C1">
        <w:rPr>
          <w:b/>
          <w:bCs/>
        </w:rPr>
        <w:t>Implicación:</w:t>
      </w:r>
      <w:r w:rsidRPr="004F09C1">
        <w:br/>
        <w:t xml:space="preserve">Revisión de estructura de costes, precios o promociones en la familia </w:t>
      </w:r>
      <w:proofErr w:type="spellStart"/>
      <w:r w:rsidRPr="004F09C1">
        <w:t>Bikes</w:t>
      </w:r>
      <w:proofErr w:type="spellEnd"/>
      <w:r w:rsidRPr="004F09C1">
        <w:t>.</w:t>
      </w:r>
    </w:p>
    <w:p w14:paraId="7255E05A" w14:textId="77777777" w:rsidR="004F09C1" w:rsidRPr="004F09C1" w:rsidRDefault="004F09C1" w:rsidP="004F09C1">
      <w:r w:rsidRPr="004F09C1">
        <w:pict w14:anchorId="7798E55A">
          <v:rect id="_x0000_i1049" style="width:0;height:1.5pt" o:hralign="center" o:hrstd="t" o:hr="t" fillcolor="#a0a0a0" stroked="f"/>
        </w:pict>
      </w:r>
    </w:p>
    <w:p w14:paraId="638CCB23" w14:textId="77777777" w:rsidR="004F09C1" w:rsidRPr="004F09C1" w:rsidRDefault="004F09C1" w:rsidP="004F09C1">
      <w:pPr>
        <w:rPr>
          <w:b/>
          <w:bCs/>
        </w:rPr>
      </w:pPr>
      <w:proofErr w:type="spellStart"/>
      <w:r w:rsidRPr="004F09C1">
        <w:rPr>
          <w:b/>
          <w:bCs/>
        </w:rPr>
        <w:t>Insight</w:t>
      </w:r>
      <w:proofErr w:type="spellEnd"/>
      <w:r w:rsidRPr="004F09C1">
        <w:rPr>
          <w:b/>
          <w:bCs/>
        </w:rPr>
        <w:t xml:space="preserve"> 2 – País con mayor margen</w:t>
      </w:r>
    </w:p>
    <w:p w14:paraId="2B59F407" w14:textId="77777777" w:rsidR="004F09C1" w:rsidRPr="004F09C1" w:rsidRDefault="004F09C1" w:rsidP="004F09C1">
      <w:r w:rsidRPr="004F09C1">
        <w:t xml:space="preserve">El país </w:t>
      </w:r>
      <w:r w:rsidRPr="004F09C1">
        <w:rPr>
          <w:b/>
          <w:bCs/>
        </w:rPr>
        <w:t>AU</w:t>
      </w:r>
      <w:r w:rsidRPr="004F09C1">
        <w:t xml:space="preserve"> presenta el mayor porcentaje de margen comercial.</w:t>
      </w:r>
    </w:p>
    <w:p w14:paraId="34F3831D" w14:textId="77777777" w:rsidR="004F09C1" w:rsidRPr="004F09C1" w:rsidRDefault="004F09C1" w:rsidP="004F09C1">
      <w:r w:rsidRPr="004F09C1">
        <w:rPr>
          <w:b/>
          <w:bCs/>
        </w:rPr>
        <w:t>Implicación:</w:t>
      </w:r>
      <w:r w:rsidRPr="004F09C1">
        <w:br/>
        <w:t xml:space="preserve">Analizar el </w:t>
      </w:r>
      <w:proofErr w:type="spellStart"/>
      <w:r w:rsidRPr="004F09C1">
        <w:t>mix</w:t>
      </w:r>
      <w:proofErr w:type="spellEnd"/>
      <w:r w:rsidRPr="004F09C1">
        <w:t xml:space="preserve"> de producto y política de precios para replicar buenas prácticas en otros mercados.</w:t>
      </w:r>
    </w:p>
    <w:p w14:paraId="7CF9CFD1" w14:textId="77777777" w:rsidR="004F09C1" w:rsidRPr="004F09C1" w:rsidRDefault="004F09C1" w:rsidP="004F09C1">
      <w:r w:rsidRPr="004F09C1">
        <w:pict w14:anchorId="3FA3B6BD">
          <v:rect id="_x0000_i1050" style="width:0;height:1.5pt" o:hralign="center" o:hrstd="t" o:hr="t" fillcolor="#a0a0a0" stroked="f"/>
        </w:pict>
      </w:r>
    </w:p>
    <w:p w14:paraId="16A66E6D" w14:textId="77777777" w:rsidR="004F09C1" w:rsidRPr="004F09C1" w:rsidRDefault="004F09C1" w:rsidP="004F09C1">
      <w:pPr>
        <w:rPr>
          <w:b/>
          <w:bCs/>
        </w:rPr>
      </w:pPr>
      <w:proofErr w:type="spellStart"/>
      <w:r w:rsidRPr="004F09C1">
        <w:rPr>
          <w:b/>
          <w:bCs/>
        </w:rPr>
        <w:t>Insight</w:t>
      </w:r>
      <w:proofErr w:type="spellEnd"/>
      <w:r w:rsidRPr="004F09C1">
        <w:rPr>
          <w:b/>
          <w:bCs/>
        </w:rPr>
        <w:t xml:space="preserve"> 3 – Calidad del dato: ventas sin vendedor</w:t>
      </w:r>
    </w:p>
    <w:p w14:paraId="09E71BD9" w14:textId="77777777" w:rsidR="004F09C1" w:rsidRPr="004F09C1" w:rsidRDefault="004F09C1" w:rsidP="004F09C1">
      <w:r w:rsidRPr="004F09C1">
        <w:t>Se detecta un volumen relevante de ventas sin vendedor asignado.</w:t>
      </w:r>
    </w:p>
    <w:p w14:paraId="02241BEB" w14:textId="77777777" w:rsidR="004F09C1" w:rsidRPr="004F09C1" w:rsidRDefault="004F09C1" w:rsidP="004F09C1">
      <w:r w:rsidRPr="004F09C1">
        <w:rPr>
          <w:b/>
          <w:bCs/>
        </w:rPr>
        <w:t>Implicación:</w:t>
      </w:r>
      <w:r w:rsidRPr="004F09C1">
        <w:br/>
        <w:t>El análisis de rendimiento comercial puede estar sesgado. Es necesario mejorar la calidad del dato o excluir estos registros en ciertos análisis.</w:t>
      </w:r>
    </w:p>
    <w:p w14:paraId="3E4FAFCF" w14:textId="77777777" w:rsidR="004F09C1" w:rsidRPr="004F09C1" w:rsidRDefault="004F09C1" w:rsidP="004F09C1">
      <w:r w:rsidRPr="004F09C1">
        <w:pict w14:anchorId="06A6530B">
          <v:rect id="_x0000_i1051" style="width:0;height:1.5pt" o:hralign="center" o:hrstd="t" o:hr="t" fillcolor="#a0a0a0" stroked="f"/>
        </w:pict>
      </w:r>
    </w:p>
    <w:p w14:paraId="12185CD7" w14:textId="77777777" w:rsidR="004F09C1" w:rsidRPr="004F09C1" w:rsidRDefault="004F09C1" w:rsidP="004F09C1">
      <w:pPr>
        <w:rPr>
          <w:b/>
          <w:bCs/>
        </w:rPr>
      </w:pPr>
      <w:proofErr w:type="spellStart"/>
      <w:r w:rsidRPr="004F09C1">
        <w:rPr>
          <w:b/>
          <w:bCs/>
        </w:rPr>
        <w:t>Insight</w:t>
      </w:r>
      <w:proofErr w:type="spellEnd"/>
      <w:r w:rsidRPr="004F09C1">
        <w:rPr>
          <w:b/>
          <w:bCs/>
        </w:rPr>
        <w:t xml:space="preserve"> 4 – Estacionalidad</w:t>
      </w:r>
    </w:p>
    <w:p w14:paraId="4BAE56E8" w14:textId="77777777" w:rsidR="004F09C1" w:rsidRPr="004F09C1" w:rsidRDefault="004F09C1" w:rsidP="004F09C1">
      <w:r w:rsidRPr="004F09C1">
        <w:t>Las ventas presentan picos en los últimos meses del año.</w:t>
      </w:r>
    </w:p>
    <w:p w14:paraId="7A48E1F6" w14:textId="77777777" w:rsidR="004F09C1" w:rsidRPr="004F09C1" w:rsidRDefault="004F09C1" w:rsidP="004F09C1">
      <w:r w:rsidRPr="004F09C1">
        <w:rPr>
          <w:b/>
          <w:bCs/>
        </w:rPr>
        <w:t>Implicación:</w:t>
      </w:r>
      <w:r w:rsidRPr="004F09C1">
        <w:br/>
        <w:t>Optimización de inventario, planificación de campañas y refuerzo comercial en periodos clave.</w:t>
      </w:r>
    </w:p>
    <w:p w14:paraId="591198D8" w14:textId="77777777" w:rsidR="004F09C1" w:rsidRPr="004F09C1" w:rsidRDefault="004F09C1" w:rsidP="004F09C1">
      <w:r w:rsidRPr="004F09C1">
        <w:pict w14:anchorId="35CC936E">
          <v:rect id="_x0000_i1052" style="width:0;height:1.5pt" o:hralign="center" o:hrstd="t" o:hr="t" fillcolor="#a0a0a0" stroked="f"/>
        </w:pict>
      </w:r>
    </w:p>
    <w:p w14:paraId="132187B0" w14:textId="77777777" w:rsidR="004F09C1" w:rsidRPr="004F09C1" w:rsidRDefault="004F09C1" w:rsidP="004F09C1">
      <w:pPr>
        <w:rPr>
          <w:b/>
          <w:bCs/>
        </w:rPr>
      </w:pPr>
      <w:proofErr w:type="spellStart"/>
      <w:r w:rsidRPr="004F09C1">
        <w:rPr>
          <w:b/>
          <w:bCs/>
        </w:rPr>
        <w:t>Insight</w:t>
      </w:r>
      <w:proofErr w:type="spellEnd"/>
      <w:r w:rsidRPr="004F09C1">
        <w:rPr>
          <w:b/>
          <w:bCs/>
        </w:rPr>
        <w:t xml:space="preserve"> 5 – Evolución interanual</w:t>
      </w:r>
    </w:p>
    <w:p w14:paraId="085F3006" w14:textId="77777777" w:rsidR="004F09C1" w:rsidRPr="004F09C1" w:rsidRDefault="004F09C1" w:rsidP="004F09C1">
      <w:r w:rsidRPr="004F09C1">
        <w:t>Las comparativas YoY permiten identificar años con caída de margen pese al aumento de ventas.</w:t>
      </w:r>
    </w:p>
    <w:p w14:paraId="46C21BCA" w14:textId="77777777" w:rsidR="004F09C1" w:rsidRPr="004F09C1" w:rsidRDefault="004F09C1" w:rsidP="004F09C1">
      <w:r w:rsidRPr="004F09C1">
        <w:rPr>
          <w:b/>
          <w:bCs/>
        </w:rPr>
        <w:t>Implicación:</w:t>
      </w:r>
      <w:r w:rsidRPr="004F09C1">
        <w:br/>
        <w:t xml:space="preserve">No siempre vender más implica mayor rentabilidad; es clave controlar costes y </w:t>
      </w:r>
      <w:proofErr w:type="spellStart"/>
      <w:r w:rsidRPr="004F09C1">
        <w:t>mix</w:t>
      </w:r>
      <w:proofErr w:type="spellEnd"/>
      <w:r w:rsidRPr="004F09C1">
        <w:t>.</w:t>
      </w:r>
    </w:p>
    <w:p w14:paraId="0B8867A3" w14:textId="77777777" w:rsidR="0019096E" w:rsidRDefault="0019096E"/>
    <w:sectPr w:rsidR="00190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C1"/>
    <w:rsid w:val="0019096E"/>
    <w:rsid w:val="00266BD9"/>
    <w:rsid w:val="004F09C1"/>
    <w:rsid w:val="00C831E2"/>
    <w:rsid w:val="00DA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0153"/>
  <w15:chartTrackingRefBased/>
  <w15:docId w15:val="{988BECBD-2480-4CCA-AE73-FBDA548B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9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9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9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9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9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9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9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Vílchez López</dc:creator>
  <cp:keywords/>
  <dc:description/>
  <cp:lastModifiedBy>Patricia Vílchez López</cp:lastModifiedBy>
  <cp:revision>1</cp:revision>
  <dcterms:created xsi:type="dcterms:W3CDTF">2026-01-31T09:58:00Z</dcterms:created>
  <dcterms:modified xsi:type="dcterms:W3CDTF">2026-01-31T09:58:00Z</dcterms:modified>
</cp:coreProperties>
</file>