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  <w:r>
        <w:rPr>
          <w:rFonts w:ascii="Calibri" w:cs="Calibri" w:eastAsia="Calibri" w:hAnsi="Calibri"/>
          <w:b/>
          <w:bCs/>
          <w:color w:val="2E5C9A"/>
          <w:spacing w:val="60"/>
          <w:sz w:val="24"/>
          <w:szCs w:val="24"/>
        </w:rPr>
        <w:t xml:space="preserve">PROPOSTA DE SOLUÇÃO</w:t>
      </w:r>
    </w:p>
    <w:p>
      <w:pPr>
        <w:pBdr>
          <w:bottom w:val="single" w:color="1F3864" w:sz="12"/>
        </w:pBdr>
        <w:spacing w:after="120" w:before="12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Painel de Custos e Aderência de Programas Governamentais</w:t>
      </w:r>
    </w:p>
    <w:p>
      <w:pPr>
        <w:spacing w:after="600" w:line="300"/>
      </w:pPr>
      <w:r>
        <w:rPr>
          <w:rFonts w:ascii="Calibri" w:cs="Calibri" w:eastAsia="Calibri" w:hAnsi="Calibri"/>
          <w:color w:val="44546A"/>
          <w:sz w:val="24"/>
          <w:szCs w:val="24"/>
        </w:rPr>
        <w:t xml:space="preserve">Integração entre planejamento (PPA), execução orçamentária e contratos, com uso de inteligência artificial para apuração de custos por programa e verificação de aderência contratual.</w:t>
      </w:r>
    </w:p>
    <w:tbl>
      <w:tblPr>
        <w:tblW w:type="dxa" w:w="9026"/>
        <w:tblBorders>
          <w:top w:val="single" w:color="B7C4D6" w:sz="4"/>
          <w:left w:val="single" w:color="B7C4D6" w:sz="4"/>
          <w:bottom w:val="single" w:color="B7C4D6" w:sz="4"/>
          <w:right w:val="single" w:color="B7C4D6" w:sz="4"/>
          <w:insideH w:val="single" w:color="D6DEE9" w:sz="4"/>
          <w:insideV w:val="single" w:color="D6DEE9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2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Objeto</w:t>
            </w:r>
          </w:p>
        </w:tc>
        <w:tc>
          <w:tcPr>
            <w:tcW w:type="dxa" w:w="68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analítico com extração, normalização e cruzamento de dados de planejamento, execução e contratos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Fases da solução</w:t>
            </w:r>
          </w:p>
        </w:tc>
        <w:tc>
          <w:tcPr>
            <w:tcW w:type="dxa" w:w="6826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Planejamento (PPA → Programa → Ação → Meta física)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Execução (Empenho → Liquidação → Pagamento)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Cruzamento IA: custo do programa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Cruzamento IA: aderência contrato × finalidade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do desenho</w:t>
            </w:r>
          </w:p>
        </w:tc>
        <w:tc>
          <w:tcPr>
            <w:tcW w:type="dxa" w:w="68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Esquema conceitual elaborado em rascunho pela equipe demandante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Versão</w:t>
            </w:r>
          </w:p>
        </w:tc>
        <w:tc>
          <w:tcPr>
            <w:tcW w:type="dxa" w:w="6826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 — documento para validação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</w:t>
            </w:r>
          </w:p>
        </w:tc>
        <w:tc>
          <w:tcPr>
            <w:tcW w:type="dxa" w:w="68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 de agosto de 2026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Sumário executivo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Esta proposta descreve a construção de um painel analítico capaz de responder, de forma objetiva e rastreável, a duas perguntas que hoje exigem trabalho manual e demorado de conferência: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Quanto custa, de fato, cada programa governamental — confrontando as metas físicas e financeiras previstas no planejamento, no PPA para o quadriênio e na LOA para o exercício, com as quantidades e os valores efetivamente liquidados na execução.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Os contratos celebrados atendem à finalidade do programa que os financia — comparando o objeto contratual com o objetivo e o público-alvo declarados no programa.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A solução organiza-se em quatro fases encadeadas. As duas primeiras são de extração e normalização de dados estruturados; as duas seguintes aplicam inteligência artificial para produzir os cruzamentos analíticos. O resultado é entregue em um dashboard com indicadores, alertas e trilha de auditoria, permitindo que cada número exibido seja rastreado até o documento de origem.</w:t>
      </w:r>
    </w:p>
    <w:tbl>
      <w:tblPr>
        <w:tblW w:type="dxa" w:w="9026"/>
        <w:tblBorders>
          <w:top w:val="single" w:color="B7C4D6" w:sz="4"/>
          <w:left w:val="single" w:color="2E5C9A" w:sz="18"/>
          <w:bottom w:val="single" w:color="B7C4D6" w:sz="4"/>
          <w:right w:val="single" w:color="B7C4D6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5F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Resultado esperado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Custo apurado por programa, ação e meta física, com percentual de execução e custo unitário por unidade entregue.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Conciliação entre o previsto no plano e o autorizado no orçamento do exercício, com as divergências visíveis.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Classificação automática de aderência de cada contrato à finalidade do programa, com justificativa textual e nível de confiança.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Redução do esforço manual de conferência e antecipação de desvios ainda durante o exercício financeiro.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Contexto e problema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 ciclo orçamentário público produz informação em bases distintas e com estruturas próprias. O planejamento se distribui por três leis: o Plano Plurianual projeta o programa para quatro anos, a Lei de Diretrizes Orçamentárias elege as prioridades e fixa as metas fiscais do exercício, e a Lei Orçamentária Anual repete a estrutura de programas e ações e fixa a despesa que pode ser executada. A execução é registrada nos sistemas orçamentários e financeiros, por meio de empenho, liquidação e pagamento. Os contratos, por sua vez, vivem em sistemas de compras e gestão contratual, com objeto descrito em linguagem livre.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Essas três bases raramente conversam entre si de forma analítica. As consequências práticas são conhecidas: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 custo real de um programa só é conhecido ao final do exercício, quando a correção de rota já não é possível.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 comparação entre meta física prevista e valor liquidado é feita em planilhas, de forma pontual e não auditável.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 verificação de que um contrato serve à finalidade do programa depende de leitura humana caso a caso, inviável em grande volume.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Divergências de classificação e de nomenclatura entre as bases dificultam a consolidação.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A proposta ataca exatamente esse vazio entre planejar, executar e contratar.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Visão geral da solução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 fluxo reproduz o esquema conceitual apresentado pela equipe demandante, com duas trilhas paralelas que se encontram nos módulos de inteligência artificial: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do planejamento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PPA e LOA → Programa → Ação → Meta física e meta financeira. Dessa trilha extrai-se o que foi prometido: o objetivo do programa, sua finalidade, o público-alvo, as ações vinculadas e, para cada ação, a meta física e a meta financeira. O PPA cobre o quadriênio; a LOA detalha o mesmo programa para o exercício e é ela que autoriza a despesa. A LDO entra com as prioridades do ano e as metas fiscais.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da execução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Execução orçamentária → Empenho → Liquidação → Pagamento. Dessa trilha extrai-se o que foi realizado, com destaque para a liquidação, que representa o reconhecimento da despesa após verificação do direito adquirido pelo credor. A liquidação devolve duas medidas: o valor reconhecido e a quantidade registrada no documento comprobatório — nota fiscal ou boletim de medição.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dos contratos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Contrato → objeto, valor, vigência, fornecedor, unidade gestora, dotação vinculada. Essa trilha alimenta tanto a análise de aderência quanto a reconciliação com a execução.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Encontro das trilhas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Dois módulos de inteligência artificial concentram a análise. O primeiro trabalha em duas frentes paralelas: confronta a meta física com a quantidade liquidada e a meta financeira com o valor liquidado, e das duas juntas extrai o custo por unidade entregue. O segundo confronta o objeto do contrato com a finalidade do programa para gerar o índice de aderência.</w:t>
      </w:r>
    </w:p>
    <w:tbl>
      <w:tblPr>
        <w:tblW w:type="dxa" w:w="9026"/>
        <w:tblBorders>
          <w:top w:val="single" w:color="B7C4D6" w:sz="4"/>
          <w:left w:val="single" w:color="B7C4D6" w:sz="4"/>
          <w:bottom w:val="single" w:color="B7C4D6" w:sz="4"/>
          <w:right w:val="single" w:color="B7C4D6" w:sz="4"/>
          <w:insideH w:val="single" w:color="D6DEE9" w:sz="4"/>
          <w:insideV w:val="single" w:color="D6DEE9" w:sz="4"/>
        </w:tblBorders>
      </w:tblPr>
      <w:tblGrid>
        <w:gridCol w:w="1900"/>
        <w:gridCol w:w="2100"/>
        <w:gridCol w:w="2500"/>
        <w:gridCol w:w="2526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25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252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Saída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1 — Planejamento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PPA, LDO e LOA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Extração, normalização e conciliação entre os instrumentos</w:t>
            </w:r>
          </w:p>
        </w:tc>
        <w:tc>
          <w:tcPr>
            <w:tcW w:type="dxa" w:w="25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Programa, ação, meta física e meta financeira padronizados</w:t>
            </w:r>
          </w:p>
        </w:tc>
      </w:tr>
      <w:tr>
        <w:tc>
          <w:tcPr>
            <w:tcW w:type="dxa" w:w="19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2 — Execução</w:t>
            </w:r>
          </w:p>
        </w:tc>
        <w:tc>
          <w:tcPr>
            <w:tcW w:type="dxa" w:w="21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Empenho, liquidação, pagamento</w:t>
            </w:r>
          </w:p>
        </w:tc>
        <w:tc>
          <w:tcPr>
            <w:tcW w:type="dxa" w:w="25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Extração e normalização estruturada</w:t>
            </w:r>
          </w:p>
        </w:tc>
        <w:tc>
          <w:tcPr>
            <w:tcW w:type="dxa" w:w="2526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Despesa liquidada e quantidades entregues, por ação e período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3 — Custo (IA)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Metas do plano, valor e quantidade liquidados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Conciliação semântica de unidades e escopo</w:t>
            </w:r>
          </w:p>
        </w:tc>
        <w:tc>
          <w:tcPr>
            <w:tcW w:type="dxa" w:w="25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 do programa e custo unitário por meta</w:t>
            </w:r>
          </w:p>
        </w:tc>
      </w:tr>
      <w:tr>
        <w:tc>
          <w:tcPr>
            <w:tcW w:type="dxa" w:w="19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4 — Aderência (IA)</w:t>
            </w:r>
          </w:p>
        </w:tc>
        <w:tc>
          <w:tcPr>
            <w:tcW w:type="dxa" w:w="21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Objeto do contrato + finalidade do programa</w:t>
            </w:r>
          </w:p>
        </w:tc>
        <w:tc>
          <w:tcPr>
            <w:tcW w:type="dxa" w:w="25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semântica e classificação</w:t>
            </w:r>
          </w:p>
        </w:tc>
        <w:tc>
          <w:tcPr>
            <w:tcW w:type="dxa" w:w="2526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Índice de aderência com justificativa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Fase 1 — Extração dos dados de planejamento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Objetivo: transformar o Plano Plurianual, a Lei de Diretrizes Orçamentárias e a Lei Orçamentária Anual em uma base estruturada, comparável e conciliada entre si.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Planejamento não é sinônimo de PPA. O mesmo programa aparece em instrumentos com horizontes diferentes: o PPA projeta quatro anos, a LDO elege as prioridades do exercício, e a LOA fixa a despesa que pode efetivamente ser executada naquele ano. A liquidação que será analisada na fase 3 se ancora em uma dotação da LOA, não em uma previsão do PPA — daí a necessidade de extrair os três e conferi-los entre si.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9A"/>
          <w:sz w:val="25"/>
          <w:szCs w:val="25"/>
        </w:rPr>
        <w:t xml:space="preserve">4.1 Escopo da extração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Programa: código, denominação, objetivo, finalidade, público-alvo, órgão responsável, indicadores e período de vigência.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Ação: código, denominação, produto, unidade de medida, meta física e meta financeira.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Meta física: quantidade prevista, unidade de medida, distribuição por exercício e por região, quando houver.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Meta financeira: valor previsto por exercício, no PPA, e dotação autorizada, na LOA.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Prioridades e metas fiscais do exercício, extraídas da LDO.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Dotação da LOA por ação: unidade orçamentária e gestora, função, subfunção, natureza da despesa e fonte ou destinação de recurso.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Vínculos: programa temático, subfunção, natureza da despesa e fonte de recurso.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9A"/>
          <w:sz w:val="25"/>
          <w:szCs w:val="25"/>
        </w:rPr>
        <w:t xml:space="preserve">4.2 Tratamento aplicado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Os textos de objetivo e finalidade são preservados na íntegra para uso posterior pelo módulo de aderência. As metas físicas recebem normalização de unidade de medida — quilômetro, atendimento, unidade construída, beneficiário — condição indispensável para o cálculo posterior de custo unitário. Códigos e denominações passam por padronização e deduplicação, mantendo-se sempre o valor original ao lado do valor tratado.</w:t>
      </w:r>
    </w:p>
    <w:tbl>
      <w:tblPr>
        <w:tblW w:type="dxa" w:w="9026"/>
        <w:tblBorders>
          <w:top w:val="single" w:color="B7C4D6" w:sz="4"/>
          <w:left w:val="single" w:color="2E5C9A" w:sz="18"/>
          <w:bottom w:val="single" w:color="B7C4D6" w:sz="4"/>
          <w:right w:val="single" w:color="B7C4D6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5F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Regra de conciliação entre plano e orçamento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 programa da LOA deve ser o mesmo do PPA, com igual código de programa e de ação — é esse par que amarra as duas leis.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LOA detalha um exercício. Somadas as leis orçamentárias do ciclo, os valores devem reconciliar com o previsto no plano.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Divergir dessa identidade não é, por si, irregularidade: o PPA pode ser revisto por lei e a LOA pode incorporar créditos adicionais. Por isso a divergência é tratada como exceção a explicar, nunca como erro presumido.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Ação do PPA sem dotação na LOA, ou dotação sem correspondência no plano, é registrada como exceção visível — nunca ajustada em silêncio.</w:t>
            </w:r>
          </w:p>
        </w:tc>
      </w:tr>
    </w:tbl>
    <w:tbl>
      <w:tblPr>
        <w:tblW w:type="dxa" w:w="9026"/>
        <w:tblBorders>
          <w:top w:val="single" w:color="B7C4D6" w:sz="4"/>
          <w:left w:val="single" w:color="2E5C9A" w:sz="18"/>
          <w:bottom w:val="single" w:color="B7C4D6" w:sz="4"/>
          <w:right w:val="single" w:color="B7C4D6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5F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Regra de rastreabilidade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Todo campo extraído carrega a identificação do documento de origem, a página ou o registro e a data da extração. Nenhum número aparece no painel sem essa referência.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Fase 2 — Extração dos dados de execução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Objetivo: apurar o que foi efetivamente realizado, com foco na liquidação.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9A"/>
          <w:sz w:val="25"/>
          <w:szCs w:val="25"/>
        </w:rPr>
        <w:t xml:space="preserve">5.1 Escopo da extração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Empenho: número, data, valor, credor, unidade gestora, elemento de despesa e ação vinculada.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Liquidação: número, data, valor liquidado, quantidade e unidade registradas no documento, documento comprobatório e empenho de origem.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Pagamento: número, data, valor pago e liquidação de origem.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Contrato vinculado, quando existente, e respectivos aditivos.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9A"/>
          <w:sz w:val="25"/>
          <w:szCs w:val="25"/>
        </w:rPr>
        <w:t xml:space="preserve">5.2 Por que a liquidação é o marco escolhido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 empenho representa apenas reserva de dotação e pode ser cancelado; o pagamento sofre defasagem em relação ao fato gerador e distorce a análise temporal. A liquidação é o estágio em que a despesa é reconhecida após a verificação do cumprimento da obrigação pelo credor — é, portanto, a medida mais fiel do custo incorrido no período. Empenho e pagamento permanecem disponíveis no painel como camadas complementares de análise.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Há uma segunda razão para eleger a liquidação. É nela que a quantidade aparece: a nota fiscal, a fatura ou o boletim de medição registram quantos itens foram entregues, quantos metros foram executados, quantos atendimentos foram prestados. Sem essa informação, a meta física do plano não teria com o que ser confrontada, e o custo por unidade entregue seria impossível de apurar.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9A"/>
          <w:sz w:val="25"/>
          <w:szCs w:val="25"/>
        </w:rPr>
        <w:t xml:space="preserve">5.3 Consolidação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A execução é consolidada por ação, por período e por fonte de recurso, gerando a série que será confrontada com as metas físicas na fase seguinte. Restos a pagar recebem tratamento em separado, para não contaminar o custo do exercício corrente.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Fase 3 — Cruzamento com IA: custo do programa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Objetivo: relacionar o que foi planejado com o que foi executado, para produzir o custo do programa e o custo por unidade entregue.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Não se trata de um cruzamento, e sim de dois, feitos em paralelo. O plano prevê duas metas e a liquidação devolve duas medidas. A meta física é confrontada com a quantidade apurada nas liquidações do período, o que revela quanto da entrega prometida foi realizado. A meta financeira é confrontada com o valor liquidado, o que revela quanto da despesa autorizada foi consumida. Só das duas juntas nasce o custo por unidade entregue — valor liquidado dividido pela quantidade liquidada —, comparável ao que o plano previa gastar por unidade.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9A"/>
          <w:sz w:val="25"/>
          <w:szCs w:val="25"/>
        </w:rPr>
        <w:t xml:space="preserve">6.1 O que a inteligência artificial resolve aqui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 cruzamento não é uma simples divisão entre valor e meta. Ele exige decisões que a máquina precisa tomar com apoio de análise semântica: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Reconhecer que a mesma meta física aparece descrita de formas diferentes entre exercícios e entre órgãos.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Conciliar a unidade do documento fiscal com a unidade da meta. A meta pode ser expressa em quilômetro pavimentado enquanto a nota fiscal traz toneladas de asfalto e metros quadrados de imprimação. Cabe converter, buscar a quantidade no boletim de medição ou declarar a quantidade indisponível — sempre com a decisão registrada.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Identificar quando uma liquidação pertence parcialmente a mais de uma ação e propor critério de rateio.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Sinalizar liquidações cuja descrição não guarda relação com o produto da ação a que estão vinculadas.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9A"/>
          <w:sz w:val="25"/>
          <w:szCs w:val="25"/>
        </w:rPr>
        <w:t xml:space="preserve">6.2 Indicadores gerados</w:t>
      </w:r>
    </w:p>
    <w:tbl>
      <w:tblPr>
        <w:tblW w:type="dxa" w:w="9026"/>
        <w:tblBorders>
          <w:top w:val="single" w:color="B7C4D6" w:sz="4"/>
          <w:left w:val="single" w:color="B7C4D6" w:sz="4"/>
          <w:bottom w:val="single" w:color="B7C4D6" w:sz="4"/>
          <w:right w:val="single" w:color="B7C4D6" w:sz="4"/>
          <w:insideH w:val="single" w:color="D6DEE9" w:sz="4"/>
          <w:insideV w:val="single" w:color="D6DEE9" w:sz="4"/>
        </w:tblBorders>
      </w:tblPr>
      <w:tblGrid>
        <w:gridCol w:w="2300"/>
        <w:gridCol w:w="3600"/>
        <w:gridCol w:w="3126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Fórmula ou critério</w:t>
            </w:r>
          </w:p>
        </w:tc>
        <w:tc>
          <w:tcPr>
            <w:tcW w:type="dxa" w:w="312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Leitura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 do programa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Soma das liquidações das ações vinculadas ao programa no período</w:t>
            </w:r>
          </w:p>
        </w:tc>
        <w:tc>
          <w:tcPr>
            <w:tcW w:type="dxa" w:w="31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Quanto o programa consumiu</w:t>
            </w:r>
          </w:p>
        </w:tc>
      </w:tr>
      <w:tr>
        <w:tc>
          <w:tcPr>
            <w:tcW w:type="dxa" w:w="23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Execução da meta física</w:t>
            </w:r>
          </w:p>
        </w:tc>
        <w:tc>
          <w:tcPr>
            <w:tcW w:type="dxa" w:w="36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Quantidade liquidada ÷ meta física prevista</w:t>
            </w:r>
          </w:p>
        </w:tc>
        <w:tc>
          <w:tcPr>
            <w:tcW w:type="dxa" w:w="3126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Quanto da entrega prevista foi realizado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 unitário apurado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Valor liquidado ÷ quantidade liquidada</w:t>
            </w:r>
          </w:p>
        </w:tc>
        <w:tc>
          <w:tcPr>
            <w:tcW w:type="dxa" w:w="31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Quanto custou cada unidade efetivamente entregue</w:t>
            </w:r>
          </w:p>
        </w:tc>
      </w:tr>
      <w:tr>
        <w:tc>
          <w:tcPr>
            <w:tcW w:type="dxa" w:w="23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 unitário planejado</w:t>
            </w:r>
          </w:p>
        </w:tc>
        <w:tc>
          <w:tcPr>
            <w:tcW w:type="dxa" w:w="36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 financeira ÷ meta física prevista</w:t>
            </w:r>
          </w:p>
        </w:tc>
        <w:tc>
          <w:tcPr>
            <w:tcW w:type="dxa" w:w="3126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Quanto se previa gastar por unidade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Desvio de custo unitário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 unitário apurado ÷ custo unitário planejado</w:t>
            </w:r>
          </w:p>
        </w:tc>
        <w:tc>
          <w:tcPr>
            <w:tcW w:type="dxa" w:w="31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Sobrecusto ou economia por unidade</w:t>
            </w:r>
          </w:p>
        </w:tc>
      </w:tr>
      <w:tr>
        <w:tc>
          <w:tcPr>
            <w:tcW w:type="dxa" w:w="23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Ritmo de execução</w:t>
            </w:r>
          </w:p>
        </w:tc>
        <w:tc>
          <w:tcPr>
            <w:tcW w:type="dxa" w:w="36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Liquidação acumulada ÷ meta financeira anual, no mês de referência</w:t>
            </w:r>
          </w:p>
        </w:tc>
        <w:tc>
          <w:tcPr>
            <w:tcW w:type="dxa" w:w="3126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Risco de não execução no exercício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B7C4D6" w:sz="4"/>
          <w:left w:val="single" w:color="2E5C9A" w:sz="18"/>
          <w:bottom w:val="single" w:color="B7C4D6" w:sz="4"/>
          <w:right w:val="single" w:color="B7C4D6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5F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Advertência sobre o desvio de custo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Sobrecusto não é sobrepreço nem superfaturamento. Sobrepreço é vício do preço unitário no momento da contratação; superfaturamento pressupõe dano ao erário e é conclusão jurídica, não medida contábil.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 desvio de custo unitário indica onde a diferença é grande o bastante para merecer explicação — e a explicação pode ser inteiramente legítima: insumo que encareceu, escopo revisado, condição de execução mais difícil.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9A"/>
          <w:sz w:val="25"/>
          <w:szCs w:val="25"/>
        </w:rPr>
        <w:t xml:space="preserve">6.3 Alertas automáticos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Dotação autorizada na LOA divergente do previsto no PPA para o exercício, o que pode indicar remanejamento legítimo ou erro de vinculação.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Programa com meta física expressiva e liquidação próxima de zero após o primeiro semestre.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Custo unitário fora da faixa observada em programas comparáveis.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Liquidação superior à meta financeira da ação.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Ação sem meta física informada, o que impede o cálculo de custo unitário.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Fase 4 — Cruzamento com IA: aderência do contrato ao programa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Objetivo: verificar se o objeto contratado serve à finalidade declarada do programa que o financia.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9A"/>
          <w:sz w:val="25"/>
          <w:szCs w:val="25"/>
        </w:rPr>
        <w:t xml:space="preserve">7.1 Método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 módulo recebe, de um lado, o texto da finalidade, do objetivo e do público-alvo do programa; de outro, o objeto do contrato, sua justificativa, os itens contratados e a ação orçamentária a que está vinculado. A análise semântica produz uma classificação com quatro elementos obrigatórios: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Classificação de aderência: aderente, parcialmente aderente, não aderente ou inconclusivo.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Justificativa textual, escrita em linguagem clara, apontando os trechos que sustentam a conclusão.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Nível de confiança da análise, que determina se o caso segue para revisão humana obrigatória.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Referência aos documentos e trechos utilizados, garantindo rastreabilidade.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9A"/>
          <w:sz w:val="25"/>
          <w:szCs w:val="25"/>
        </w:rPr>
        <w:t xml:space="preserve">7.2 Casos de atenção priorizados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Contrato de valor elevado classificado como não aderente ou parcialmente aderente.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Objeto genérico, que impede a verificação de finalidade e exige diligência.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Contrato vinculado a ação de programa distinto daquele cuja finalidade ele atende.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Aditivos que ampliam o objeto para além da finalidade original do programa.</w:t>
      </w:r>
    </w:p>
    <w:tbl>
      <w:tblPr>
        <w:tblW w:type="dxa" w:w="9026"/>
        <w:tblBorders>
          <w:top w:val="single" w:color="B7C4D6" w:sz="4"/>
          <w:left w:val="single" w:color="2E5C9A" w:sz="18"/>
          <w:bottom w:val="single" w:color="B7C4D6" w:sz="4"/>
          <w:right w:val="single" w:color="B7C4D6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5F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Decisão humana preservada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classificação produzida pela inteligência artificial é um instrumento de triagem e priorização. Ela não substitui o juízo técnico do gestor, do controle interno ou do órgão de controle externo. Todo caso classificado como não aderente ou inconclusivo, e todo caso acima do valor de corte definido pela instituição, segue obrigatoriamente para revisão humana registrada no sistema.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Arquitetura da solução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9A"/>
          <w:sz w:val="25"/>
          <w:szCs w:val="25"/>
        </w:rPr>
        <w:t xml:space="preserve">8.1 Camadas</w:t>
      </w:r>
    </w:p>
    <w:tbl>
      <w:tblPr>
        <w:tblW w:type="dxa" w:w="9026"/>
        <w:tblBorders>
          <w:top w:val="single" w:color="B7C4D6" w:sz="4"/>
          <w:left w:val="single" w:color="B7C4D6" w:sz="4"/>
          <w:bottom w:val="single" w:color="B7C4D6" w:sz="4"/>
          <w:right w:val="single" w:color="B7C4D6" w:sz="4"/>
          <w:insideH w:val="single" w:color="D6DEE9" w:sz="4"/>
          <w:insideV w:val="single" w:color="D6DEE9" w:sz="4"/>
        </w:tblBorders>
      </w:tblPr>
      <w:tblGrid>
        <w:gridCol w:w="1700"/>
        <w:gridCol w:w="3400"/>
        <w:gridCol w:w="3926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92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Componentes típicos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Ingestão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Coleta dos dados nas fontes, por integração ou carga de arquivos</w:t>
            </w:r>
          </w:p>
        </w:tc>
        <w:tc>
          <w:tcPr>
            <w:tcW w:type="dxa" w:w="39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Conectores, agendador, área de recepção de arquivos</w:t>
            </w:r>
          </w:p>
        </w:tc>
      </w:tr>
      <w:tr>
        <w:tc>
          <w:tcPr>
            <w:tcW w:type="dxa" w:w="17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Armazenamento bruto</w:t>
            </w:r>
          </w:p>
        </w:tc>
        <w:tc>
          <w:tcPr>
            <w:tcW w:type="dxa" w:w="34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Guarda do dado original, sem transformação</w:t>
            </w:r>
          </w:p>
        </w:tc>
        <w:tc>
          <w:tcPr>
            <w:tcW w:type="dxa" w:w="3926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Repositório de arquivos e tabelas de origem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Tratamento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Padronização, deduplicação, validação e chaveamento</w:t>
            </w:r>
          </w:p>
        </w:tc>
        <w:tc>
          <w:tcPr>
            <w:tcW w:type="dxa" w:w="39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Rotinas de transformação e regras de qualidade</w:t>
            </w:r>
          </w:p>
        </w:tc>
      </w:tr>
      <w:tr>
        <w:tc>
          <w:tcPr>
            <w:tcW w:type="dxa" w:w="17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Inteligência</w:t>
            </w:r>
          </w:p>
        </w:tc>
        <w:tc>
          <w:tcPr>
            <w:tcW w:type="dxa" w:w="34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Módulos de custo e de aderência</w:t>
            </w:r>
          </w:p>
        </w:tc>
        <w:tc>
          <w:tcPr>
            <w:tcW w:type="dxa" w:w="3926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Modelo de linguagem, base vetorial, regras de negócio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Consumo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Modelo dimensional pronto para leitura analítica</w:t>
            </w:r>
          </w:p>
        </w:tc>
        <w:tc>
          <w:tcPr>
            <w:tcW w:type="dxa" w:w="39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Tabelas de fatos e dimensões</w:t>
            </w:r>
          </w:p>
        </w:tc>
      </w:tr>
      <w:tr>
        <w:tc>
          <w:tcPr>
            <w:tcW w:type="dxa" w:w="17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Apresentação</w:t>
            </w:r>
          </w:p>
        </w:tc>
        <w:tc>
          <w:tcPr>
            <w:tcW w:type="dxa" w:w="34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Dashboard, filtros, alertas e exportações</w:t>
            </w:r>
          </w:p>
        </w:tc>
        <w:tc>
          <w:tcPr>
            <w:tcW w:type="dxa" w:w="3926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Ferramenta de visualização e trilha de auditoria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9A"/>
          <w:sz w:val="25"/>
          <w:szCs w:val="25"/>
        </w:rPr>
        <w:t xml:space="preserve">8.2 Chaves de integração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ligação entre as bases apoia-se em chaves já existentes na estrutura orçamentária: código do programa, código da ação, unidade gestora, exercício, número do empenho e número do contrato. Quando a chave direta falha, o sistema registra a exceção e aciona a conciliação assistida, em vez de descartar o registro silenciosamente.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9A"/>
          <w:sz w:val="25"/>
          <w:szCs w:val="25"/>
        </w:rPr>
        <w:t xml:space="preserve">8.3 Qualidade do dado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Painel próprio de qualidade, com percentual de registros conciliados, pendentes e rejeitados.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Registro de toda exceção com motivo, para correção na origem.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Versionamento das cargas, permitindo reprocessamento e comparação entre versões.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Estrutura do dashboard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 painel é organizado em visões que acompanham a lógica das quatro fases: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Visão geral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Custo total apurado, execução das metas físicas no consolidado, número de contratos analisados e distribuição das classificações de aderência.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Visão por programa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Objetivo e finalidade do programa, ações vinculadas, meta física e meta financeira previstas, dotação autorizada, quantidade e valor liquidados, custo unitário e evolução mensal.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Visão de execução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Série de empenho, liquidação e pagamento por período, com identificação de ações paradas ou com ritmo incompatível com o exercício.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Visão de contratos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Lista de contratos com valor, vigência, fornecedor, programa vinculado, classificação de aderência e justificativa da análise.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Visão de alertas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Fila priorizada por materialidade e risco, com registro de tratativa e responsável pela decisão.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de auditoria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Para cada indicador exibido, acesso à origem do dado, à data da carga e ao histórico de revisões humanas.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Governança, segurança e transparência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Perfis de acesso diferenciados para gestor de programa, controle interno, auditoria e consulta pública, quando aplicável.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Registro imutável das análises geradas pela inteligência artificial, com data, versão do modelo e insumos utilizados.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Publicação da metodologia de cálculo do custo unitário e dos critérios de classificação de aderência.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Tratamento dos dados conforme a legislação aplicável, com atenção aos dados pessoais eventualmente presentes em documentos contratuais.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Revisão periódica dos resultados por amostragem, comparando a classificação automática com a avaliação humana, para calibração contínua.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Riscos e mitigação</w:t>
      </w:r>
    </w:p>
    <w:tbl>
      <w:tblPr>
        <w:tblW w:type="dxa" w:w="9026"/>
        <w:tblBorders>
          <w:top w:val="single" w:color="B7C4D6" w:sz="4"/>
          <w:left w:val="single" w:color="B7C4D6" w:sz="4"/>
          <w:bottom w:val="single" w:color="B7C4D6" w:sz="4"/>
          <w:right w:val="single" w:color="B7C4D6" w:sz="4"/>
          <w:insideH w:val="single" w:color="D6DEE9" w:sz="4"/>
          <w:insideV w:val="single" w:color="D6DEE9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  <w:tc>
          <w:tcPr>
            <w:tcW w:type="dxa" w:w="402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de origem incompletos ou inconsistentes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Indicadores distorcidos</w:t>
            </w:r>
          </w:p>
        </w:tc>
        <w:tc>
          <w:tcPr>
            <w:tcW w:type="dxa" w:w="4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Painel de qualidade, exceções visíveis e correção na fonte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Ação sem meta física informada</w:t>
            </w:r>
          </w:p>
        </w:tc>
        <w:tc>
          <w:tcPr>
            <w:tcW w:type="dxa" w:w="26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Impossibilidade de calcular custo unitário</w:t>
            </w:r>
          </w:p>
        </w:tc>
        <w:tc>
          <w:tcPr>
            <w:tcW w:type="dxa" w:w="4026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Sinalização explícita da lacuna, sem estimativa artificial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Classificação incorreta de aderência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Desgaste institucional e retrabalho</w:t>
            </w:r>
          </w:p>
        </w:tc>
        <w:tc>
          <w:tcPr>
            <w:tcW w:type="dxa" w:w="4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Nível de confiança, revisão humana obrigatória e amostragem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Objeto contratual genérico</w:t>
            </w:r>
          </w:p>
        </w:tc>
        <w:tc>
          <w:tcPr>
            <w:tcW w:type="dxa" w:w="26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inconclusiva</w:t>
            </w:r>
          </w:p>
        </w:tc>
        <w:tc>
          <w:tcPr>
            <w:tcW w:type="dxa" w:w="4026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Classificação própria de inconclusivo e recomendação de diligência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Excesso de confiança no resultado automático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Decisão mal fundamentada</w:t>
            </w:r>
          </w:p>
        </w:tc>
        <w:tc>
          <w:tcPr>
            <w:tcW w:type="dxa" w:w="4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Justificativa sempre visível e decisão registrada em nome de pessoa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Mudança de estrutura do PPA entre ciclos</w:t>
            </w:r>
          </w:p>
        </w:tc>
        <w:tc>
          <w:tcPr>
            <w:tcW w:type="dxa" w:w="26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Quebra de série histórica</w:t>
            </w:r>
          </w:p>
        </w:tc>
        <w:tc>
          <w:tcPr>
            <w:tcW w:type="dxa" w:w="4026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Versionamento das estruturas e mapeamento entre ciclos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Programa da LOA sem correspondência no PPA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Execução à margem do plano</w:t>
            </w:r>
          </w:p>
        </w:tc>
        <w:tc>
          <w:tcPr>
            <w:tcW w:type="dxa" w:w="4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Conciliação por código de programa e ação, com exceção visível e registrada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12. Plano de implantação</w:t>
      </w:r>
    </w:p>
    <w:tbl>
      <w:tblPr>
        <w:tblW w:type="dxa" w:w="9026"/>
        <w:tblBorders>
          <w:top w:val="single" w:color="B7C4D6" w:sz="4"/>
          <w:left w:val="single" w:color="B7C4D6" w:sz="4"/>
          <w:bottom w:val="single" w:color="B7C4D6" w:sz="4"/>
          <w:right w:val="single" w:color="B7C4D6" w:sz="4"/>
          <w:insideH w:val="single" w:color="D6DEE9" w:sz="4"/>
          <w:insideV w:val="single" w:color="D6DEE9" w:sz="4"/>
        </w:tblBorders>
      </w:tblPr>
      <w:tblGrid>
        <w:gridCol w:w="2200"/>
        <w:gridCol w:w="4400"/>
        <w:gridCol w:w="2426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 principal</w:t>
            </w:r>
          </w:p>
        </w:tc>
        <w:tc>
          <w:tcPr>
            <w:tcW w:type="dxa" w:w="242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Duração estimada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Diagnóstico das fontes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Inventário de bases, campos disponíveis e forma de acesso</w:t>
            </w:r>
          </w:p>
        </w:tc>
        <w:tc>
          <w:tcPr>
            <w:tcW w:type="dxa" w:w="2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a 3 semanas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Fases 1 e 2</w:t>
            </w:r>
          </w:p>
        </w:tc>
        <w:tc>
          <w:tcPr>
            <w:tcW w:type="dxa" w:w="44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Extração e normalização de planejamento e execução</w:t>
            </w:r>
          </w:p>
        </w:tc>
        <w:tc>
          <w:tcPr>
            <w:tcW w:type="dxa" w:w="2426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a 6 semanas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Fase 3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Módulo de custo por programa e custo unitário</w:t>
            </w:r>
          </w:p>
        </w:tc>
        <w:tc>
          <w:tcPr>
            <w:tcW w:type="dxa" w:w="2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semanas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Fase 4</w:t>
            </w:r>
          </w:p>
        </w:tc>
        <w:tc>
          <w:tcPr>
            <w:tcW w:type="dxa" w:w="44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Módulo de aderência contrato × finalidade</w:t>
            </w:r>
          </w:p>
        </w:tc>
        <w:tc>
          <w:tcPr>
            <w:tcW w:type="dxa" w:w="2426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a 6 semanas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Dashboard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Visões, alertas e trilha de auditoria</w:t>
            </w:r>
          </w:p>
        </w:tc>
        <w:tc>
          <w:tcPr>
            <w:tcW w:type="dxa" w:w="2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a 4 semanas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Piloto assistido</w:t>
            </w:r>
          </w:p>
        </w:tc>
        <w:tc>
          <w:tcPr>
            <w:tcW w:type="dxa" w:w="44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Validação em um conjunto de programas selecionados</w:t>
            </w:r>
          </w:p>
        </w:tc>
        <w:tc>
          <w:tcPr>
            <w:tcW w:type="dxa" w:w="2426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semanas</w:t>
            </w:r>
          </w:p>
        </w:tc>
      </w:tr>
    </w:tbl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As durações são estimativas e dependem diretamente da forma de acesso às bases de origem. Recomenda-se iniciar o piloto por um número reduzido de programas de alta materialidade, o que permite calibrar os critérios antes da expansão.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13. Próximos passos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Validar este documento e ajustar o escopo das fases conforme a prioridade institucional.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Definir os programas que integrarão o piloto, preferencialmente de alta materialidade e com metas físicas bem definidas.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Levantar a forma de acesso a cada base de origem: integração direta, exportação periódica ou carga manual.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Definir os critérios de corte para revisão humana obrigatória na análise de aderência.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Designar os responsáveis por programa que farão a validação dos resultados durante o piloto.</w:t>
      </w:r>
    </w:p>
    <w:p>
      <w:pPr>
        <w:pBdr>
          <w:top w:val="single" w:color="B7C4D6" w:sz="6"/>
        </w:pBdr>
        <w:spacing w:before="32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Documento elaborado a partir do esquema conceitual apresentado pela equipe demandante. Versão 1.0, sujeita a revisão após validação.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Painel de Custos e Aderência de Programas Governamentais  | 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59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59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Painel de Custos e Aderência de Programas Governamentais</dc:title>
  <dc:creator>Equipe de Projeto</dc:creator>
  <dc:description>Proposta de solução</dc:description>
  <cp:lastModifiedBy>Un-named</cp:lastModifiedBy>
  <cp:revision>1</cp:revision>
  <dcterms:created xsi:type="dcterms:W3CDTF">2026-08-20T14:33:33.783Z</dcterms:created>
  <dcterms:modified xsi:type="dcterms:W3CDTF">2026-08-20T14:33:33.800Z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