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2717D8">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2717D8">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2717D8">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2717D8"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2717D8"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2717D8"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2717D8"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2717D8"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2717D8">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2717D8"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2717D8"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2717D8"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2717D8"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2717D8"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2717D8"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2717D8">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2717D8"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2717D8"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2717D8"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2717D8"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2717D8"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2717D8">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2717D8"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2717D8"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2717D8"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2717D8"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2717D8">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2717D8"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2717D8">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2717D8">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2717D8">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2717D8">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2717D8">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483C1CCD"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DF5D8B" w:rsidRPr="00DF5D8B">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253C831"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2544B1">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A43B1B9"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DF5D8B" w:rsidRPr="00DF5D8B">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1E6B390B"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175EAE75"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DF5D8B" w:rsidRPr="00DF5D8B">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FD8A2A2"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proofErr w:type="spellStart"/>
            <w:r w:rsidRPr="00F75B5F">
              <w:rPr>
                <w:rFonts w:ascii="Times New Roman" w:hAnsi="Times New Roman"/>
                <w:color w:val="000000"/>
                <w:sz w:val="20"/>
                <w:szCs w:val="20"/>
              </w:rPr>
              <w:t>Distimia</w:t>
            </w:r>
            <w:proofErr w:type="spellEnd"/>
            <w:r w:rsidRPr="00F75B5F">
              <w:rPr>
                <w:rFonts w:ascii="Times New Roman" w:hAnsi="Times New Roman"/>
                <w:color w:val="000000"/>
                <w:sz w:val="20"/>
                <w:szCs w:val="20"/>
              </w:rPr>
              <w:t xml:space="preserve">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307E0C2"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DF5D8B" w:rsidRPr="00DF5D8B">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9360BC2"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2544B1">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5D1F21AF" w:rsidR="002C1F5A" w:rsidRDefault="00E3466F" w:rsidP="00EB2FF4">
      <w:pPr>
        <w:pStyle w:val="Textoindependiente2"/>
        <w:spacing w:line="276" w:lineRule="auto"/>
        <w:jc w:val="both"/>
      </w:pPr>
      <w:r>
        <w:t xml:space="preserve">Los especialistas indican que muy aparte de la depresión, baja autoestima y tendencia a la obesidad pueden causar estos trastornos en los pacientes, también puede ser causado por provenir de hogares disfuncionales, violencia sexual, víctimas de </w:t>
      </w:r>
      <w:proofErr w:type="spellStart"/>
      <w:r>
        <w:t>bullying</w:t>
      </w:r>
      <w:proofErr w:type="spellEnd"/>
      <w:r>
        <w:t>,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DF5D8B">
            <w:rPr>
              <w:noProof/>
              <w:lang w:val="es-PE"/>
            </w:rPr>
            <w:t xml:space="preserve"> </w:t>
          </w:r>
          <w:r w:rsidR="00DF5D8B" w:rsidRPr="00DF5D8B">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 xml:space="preserve">web utilizando </w:t>
      </w:r>
      <w:proofErr w:type="spellStart"/>
      <w:r w:rsidRPr="0001670D">
        <w:rPr>
          <w:rFonts w:ascii="Times New Roman" w:hAnsi="Times New Roman"/>
          <w:color w:val="000000"/>
          <w:sz w:val="24"/>
          <w:szCs w:val="24"/>
        </w:rPr>
        <w:t>gamificación</w:t>
      </w:r>
      <w:proofErr w:type="spellEnd"/>
      <w:r w:rsidRPr="0001670D">
        <w:rPr>
          <w:rFonts w:ascii="Times New Roman" w:hAnsi="Times New Roman"/>
          <w:color w:val="000000"/>
          <w:sz w:val="24"/>
          <w:szCs w:val="24"/>
        </w:rPr>
        <w:t xml:space="preserve">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Revisar la bibliografía sobre la </w:t>
      </w:r>
      <w:proofErr w:type="spellStart"/>
      <w:r>
        <w:rPr>
          <w:rFonts w:ascii="Times New Roman" w:hAnsi="Times New Roman"/>
          <w:color w:val="000000"/>
          <w:sz w:val="24"/>
          <w:szCs w:val="24"/>
          <w:lang w:val="es-ES"/>
        </w:rPr>
        <w:t>gamificación</w:t>
      </w:r>
      <w:proofErr w:type="spellEnd"/>
      <w:r>
        <w:rPr>
          <w:rFonts w:ascii="Times New Roman" w:hAnsi="Times New Roman"/>
          <w:color w:val="000000"/>
          <w:sz w:val="24"/>
          <w:szCs w:val="24"/>
          <w:lang w:val="es-ES"/>
        </w:rPr>
        <w:t>,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w:t>
      </w:r>
      <w:proofErr w:type="spellStart"/>
      <w:r w:rsidR="00625B2C">
        <w:rPr>
          <w:rFonts w:ascii="Times New Roman" w:hAnsi="Times New Roman"/>
          <w:color w:val="000000"/>
          <w:sz w:val="24"/>
          <w:szCs w:val="24"/>
          <w:lang w:val="es-ES"/>
        </w:rPr>
        <w:t>gamificación</w:t>
      </w:r>
      <w:proofErr w:type="spellEnd"/>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w:t>
      </w:r>
      <w:proofErr w:type="spellStart"/>
      <w:r w:rsidR="00A74EB7">
        <w:rPr>
          <w:rFonts w:ascii="Times New Roman" w:hAnsi="Times New Roman"/>
          <w:color w:val="000000"/>
          <w:sz w:val="24"/>
          <w:szCs w:val="24"/>
          <w:lang w:val="es-ES"/>
        </w:rPr>
        <w:t>gamificación</w:t>
      </w:r>
      <w:proofErr w:type="spellEnd"/>
      <w:r w:rsidR="00A74EB7">
        <w:rPr>
          <w:rFonts w:ascii="Times New Roman" w:hAnsi="Times New Roman"/>
          <w:color w:val="000000"/>
          <w:sz w:val="24"/>
          <w:szCs w:val="24"/>
          <w:lang w:val="es-ES"/>
        </w:rPr>
        <w:t xml:space="preserve">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w:t>
      </w:r>
      <w:proofErr w:type="spellStart"/>
      <w:r w:rsidR="00625B2C">
        <w:rPr>
          <w:rFonts w:ascii="Times New Roman" w:hAnsi="Times New Roman"/>
          <w:color w:val="000000"/>
          <w:sz w:val="24"/>
          <w:szCs w:val="24"/>
          <w:lang w:val="es-ES"/>
        </w:rPr>
        <w:t>gamificación</w:t>
      </w:r>
      <w:proofErr w:type="spellEnd"/>
      <w:r w:rsidR="00625B2C">
        <w:rPr>
          <w:rFonts w:ascii="Times New Roman" w:hAnsi="Times New Roman"/>
          <w:color w:val="000000"/>
          <w:sz w:val="24"/>
          <w:szCs w:val="24"/>
          <w:lang w:val="es-ES"/>
        </w:rPr>
        <w:t xml:space="preserve">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5F2E491"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85B4CF"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0891AA3"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15933229"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1BEC115"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B8428AC"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2619DFB9"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0D50E80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A290B48" w:rsidR="00210A33" w:rsidRDefault="002717D8"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3EB3DE52" w:rsidR="00466DFB" w:rsidRDefault="002717D8"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94E26B3"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EAF59A3"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se encuentra en mayor riesgo es la formada por atletas, modelos, deportistas, personas con antecedentes familiares con TCA o con antecedentes de obesidad en la niñez, víctimas de abuso sexual, de maltrato, antecedentes de depresión y </w:t>
      </w:r>
      <w:proofErr w:type="spellStart"/>
      <w:r w:rsidR="004B6F77">
        <w:rPr>
          <w:rFonts w:ascii="Times New Roman" w:hAnsi="Times New Roman"/>
          <w:bCs/>
          <w:color w:val="000000"/>
          <w:sz w:val="24"/>
          <w:szCs w:val="24"/>
        </w:rPr>
        <w:t>alexitimia</w:t>
      </w:r>
      <w:proofErr w:type="spellEnd"/>
      <w:r w:rsidR="004B6F77">
        <w:rPr>
          <w:rFonts w:ascii="Times New Roman" w:hAnsi="Times New Roman"/>
          <w:bCs/>
          <w:color w:val="000000"/>
          <w:sz w:val="24"/>
          <w:szCs w:val="24"/>
        </w:rPr>
        <w:t>.</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7D5DBF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221BBF4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 xml:space="preserve">presencia de psicopatología previa o su desarrollo como efecto secundario de la desnutrición, así como características personales como una baja autoestima y un alto nivel de </w:t>
      </w:r>
      <w:proofErr w:type="spellStart"/>
      <w:r w:rsidR="00870004">
        <w:rPr>
          <w:rFonts w:ascii="Times New Roman" w:hAnsi="Times New Roman"/>
          <w:bCs/>
          <w:color w:val="000000"/>
          <w:sz w:val="24"/>
          <w:szCs w:val="24"/>
        </w:rPr>
        <w:t>autoexigencia</w:t>
      </w:r>
      <w:proofErr w:type="spellEnd"/>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0E58392"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EA781A9"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69191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F4EF21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Pr>
              <w:rFonts w:ascii="Times New Roman" w:hAnsi="Times New Roman"/>
              <w:bCs/>
              <w:noProof/>
              <w:color w:val="000000"/>
              <w:sz w:val="24"/>
              <w:szCs w:val="24"/>
            </w:rPr>
            <w:t xml:space="preserve"> </w:t>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0CABE11"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2F1D0B5C"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2D8FBD5" w:rsidR="000E4D7A" w:rsidRDefault="002717D8"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58C11E03"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39C1A0B3"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6A1F21BA" w:rsidR="000E4D7A" w:rsidRDefault="002717D8"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5E5B7A38" w:rsidR="000E4D7A" w:rsidRDefault="002717D8"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17262FAB"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4A2BB930"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0DF8AE1"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A3C8F0"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3E28E0ED"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303A4F81"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56E65E25"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26EC66F"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02A46E4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13DA71A0"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298E4CF3"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6CCB844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de la AN y BN. El EDI contiene 64 reactivos agrupados en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conciencia o identificación interoceptiva y miedo a madurar. Las tres primeras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 xml:space="preserve">expresados en estas áreas no son específicos de la AN, ya que aparecen respuestas similares en grupos de personas preocupadas por su dieta. Mientras que las otras cinco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3FF08B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posee mayor relevancia el valor cuantitativo de cada una de las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42 puntos en las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alta en ambos trastornos alimentarios. Mientras que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sujetos control.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A807983"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13201BB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1823C4B"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6C0D52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7E8111D"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488483EE"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E4B17E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00F3CD56"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2544B1">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4F400264"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543470A0"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4E81DF6C"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proofErr w:type="spellStart"/>
      <w:r w:rsidR="00FC4803" w:rsidRPr="00116727">
        <w:t>Gamificación</w:t>
      </w:r>
      <w:bookmarkEnd w:id="187"/>
      <w:proofErr w:type="spellEnd"/>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3E2A87C2"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que la </w:t>
      </w:r>
      <w:proofErr w:type="spellStart"/>
      <w:r w:rsidRPr="00FC72A7">
        <w:rPr>
          <w:rFonts w:ascii="Times New Roman" w:hAnsi="Times New Roman"/>
          <w:bCs/>
          <w:color w:val="000000"/>
          <w:sz w:val="24"/>
          <w:szCs w:val="24"/>
        </w:rPr>
        <w:t>gamificación</w:t>
      </w:r>
      <w:proofErr w:type="spellEnd"/>
      <w:r w:rsidRPr="00FC72A7">
        <w:rPr>
          <w:rFonts w:ascii="Times New Roman" w:hAnsi="Times New Roman"/>
          <w:bCs/>
          <w:color w:val="000000"/>
          <w:sz w:val="24"/>
          <w:szCs w:val="24"/>
        </w:rPr>
        <w:t xml:space="preserve">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6A77B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 xml:space="preserve">Es importante no confundir el concepto de </w:t>
      </w:r>
      <w:proofErr w:type="spellStart"/>
      <w:r w:rsidRPr="00FC72A7">
        <w:rPr>
          <w:rFonts w:ascii="Times New Roman" w:hAnsi="Times New Roman"/>
          <w:bCs/>
          <w:color w:val="000000"/>
          <w:sz w:val="24"/>
          <w:szCs w:val="24"/>
        </w:rPr>
        <w:t>gamificac</w:t>
      </w:r>
      <w:r w:rsidR="00116727">
        <w:rPr>
          <w:rFonts w:ascii="Times New Roman" w:hAnsi="Times New Roman"/>
          <w:bCs/>
          <w:color w:val="000000"/>
          <w:sz w:val="24"/>
          <w:szCs w:val="24"/>
        </w:rPr>
        <w:t>ión</w:t>
      </w:r>
      <w:proofErr w:type="spellEnd"/>
      <w:r w:rsidR="00116727">
        <w:rPr>
          <w:rFonts w:ascii="Times New Roman" w:hAnsi="Times New Roman"/>
          <w:bCs/>
          <w:color w:val="000000"/>
          <w:sz w:val="24"/>
          <w:szCs w:val="24"/>
        </w:rPr>
        <w:t xml:space="preserve">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proofErr w:type="spellStart"/>
      <w:r>
        <w:rPr>
          <w:rFonts w:ascii="Times New Roman" w:hAnsi="Times New Roman"/>
          <w:bCs/>
          <w:color w:val="000000"/>
          <w:sz w:val="24"/>
          <w:szCs w:val="24"/>
        </w:rPr>
        <w:t>gamificación</w:t>
      </w:r>
      <w:proofErr w:type="spellEnd"/>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o creado con el objetivo de aprender, mientras que la </w:t>
      </w:r>
      <w:proofErr w:type="spellStart"/>
      <w:r w:rsidRPr="00FC72A7">
        <w:rPr>
          <w:rFonts w:ascii="Times New Roman" w:hAnsi="Times New Roman"/>
          <w:bCs/>
          <w:color w:val="000000"/>
          <w:sz w:val="24"/>
          <w:szCs w:val="24"/>
        </w:rPr>
        <w:t>gamificación</w:t>
      </w:r>
      <w:proofErr w:type="spellEnd"/>
      <w:r w:rsidRPr="00FC72A7">
        <w:rPr>
          <w:rFonts w:ascii="Times New Roman" w:hAnsi="Times New Roman"/>
          <w:bCs/>
          <w:color w:val="000000"/>
          <w:sz w:val="24"/>
          <w:szCs w:val="24"/>
        </w:rPr>
        <w:t>,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bingo que puede ser utilizado para repaso de contenido, y un ejemplo de </w:t>
      </w:r>
      <w:proofErr w:type="spellStart"/>
      <w:r w:rsidRPr="00FC72A7">
        <w:rPr>
          <w:rFonts w:ascii="Times New Roman" w:hAnsi="Times New Roman"/>
          <w:bCs/>
          <w:color w:val="000000"/>
          <w:sz w:val="24"/>
          <w:szCs w:val="24"/>
        </w:rPr>
        <w:t>gamificación</w:t>
      </w:r>
      <w:proofErr w:type="spellEnd"/>
      <w:r w:rsidRPr="00FC72A7">
        <w:rPr>
          <w:rFonts w:ascii="Times New Roman" w:hAnsi="Times New Roman"/>
          <w:bCs/>
          <w:color w:val="000000"/>
          <w:sz w:val="24"/>
          <w:szCs w:val="24"/>
        </w:rPr>
        <w:t xml:space="preserve">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 xml:space="preserve">Elementos de la </w:t>
      </w:r>
      <w:proofErr w:type="spellStart"/>
      <w:r w:rsidRPr="00116727">
        <w:t>Gamificación</w:t>
      </w:r>
      <w:bookmarkEnd w:id="214"/>
      <w:proofErr w:type="spellEnd"/>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0389E392"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w:t>
      </w:r>
      <w:proofErr w:type="spellStart"/>
      <w:r>
        <w:t>gamificación</w:t>
      </w:r>
      <w:proofErr w:type="spellEnd"/>
      <w:r>
        <w:t xml:space="preserve">. </w:t>
      </w:r>
      <w:r w:rsidR="0012381D" w:rsidRPr="0012381D">
        <w:t>Adapt</w:t>
      </w:r>
      <w:r w:rsidR="0012381D">
        <w:t>ada de</w:t>
      </w:r>
      <w:r w:rsidRPr="0012381D">
        <w:t xml:space="preserve"> Blog: </w:t>
      </w:r>
      <w:proofErr w:type="spellStart"/>
      <w:proofErr w:type="gramStart"/>
      <w:r w:rsidRPr="0012381D">
        <w:t>Gamificación</w:t>
      </w:r>
      <w:proofErr w:type="spellEnd"/>
      <w:r w:rsidRPr="0012381D">
        <w:t xml:space="preserve">,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651B0B65"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práctica de la </w:t>
      </w:r>
      <w:proofErr w:type="spellStart"/>
      <w:r w:rsidRPr="00FC72A7">
        <w:rPr>
          <w:rFonts w:ascii="Times New Roman" w:hAnsi="Times New Roman"/>
          <w:bCs/>
          <w:color w:val="000000"/>
          <w:sz w:val="24"/>
          <w:szCs w:val="24"/>
        </w:rPr>
        <w:t>gamificación</w:t>
      </w:r>
      <w:proofErr w:type="spellEnd"/>
      <w:r w:rsidRPr="00FC72A7">
        <w:rPr>
          <w:rFonts w:ascii="Times New Roman" w:hAnsi="Times New Roman"/>
          <w:bCs/>
          <w:color w:val="000000"/>
          <w:sz w:val="24"/>
          <w:szCs w:val="24"/>
        </w:rPr>
        <w:t>.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728CF8C"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Otro elemento que debemos tener en cuenta antes de implementar una estrategia o un elemento de la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 xml:space="preserve">Tipos de </w:t>
      </w:r>
      <w:proofErr w:type="spellStart"/>
      <w:r w:rsidRPr="00AC0484">
        <w:t>Gamificación</w:t>
      </w:r>
      <w:bookmarkEnd w:id="220"/>
      <w:proofErr w:type="spellEnd"/>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07A5104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En cuanto a lo que se refiere a la inclusión de las estrategias de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en el currículo de un curso de lengua extranjera, existen dos tipos de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Por un lado, entendemos como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superficial o de contenido la que se utiliza en periodos cortos y de forma puntual en nuestra actividad docente; por ejemplo, en una clase o en una actividad concreta. Por otro lado, nos referimos a </w:t>
      </w:r>
      <w:proofErr w:type="spellStart"/>
      <w:r w:rsidRPr="008D3580">
        <w:rPr>
          <w:rFonts w:ascii="Times New Roman" w:hAnsi="Times New Roman"/>
          <w:bCs/>
          <w:color w:val="000000"/>
          <w:sz w:val="24"/>
          <w:szCs w:val="24"/>
        </w:rPr>
        <w:t>gamificación</w:t>
      </w:r>
      <w:proofErr w:type="spellEnd"/>
      <w:r w:rsidRPr="008D3580">
        <w:rPr>
          <w:rFonts w:ascii="Times New Roman" w:hAnsi="Times New Roman"/>
          <w:bCs/>
          <w:color w:val="000000"/>
          <w:sz w:val="24"/>
          <w:szCs w:val="24"/>
        </w:rPr>
        <w:t xml:space="preserve">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w:t>
      </w:r>
      <w:proofErr w:type="spellStart"/>
      <w:r>
        <w:rPr>
          <w:rFonts w:ascii="Times New Roman" w:eastAsia="Times New Roman" w:hAnsi="Times New Roman"/>
          <w:sz w:val="24"/>
          <w:szCs w:val="20"/>
          <w:lang w:val="es-ES" w:eastAsia="es-ES"/>
        </w:rPr>
        <w:t>subescalas</w:t>
      </w:r>
      <w:proofErr w:type="spellEnd"/>
      <w:r>
        <w:rPr>
          <w:rFonts w:ascii="Times New Roman" w:eastAsia="Times New Roman" w:hAnsi="Times New Roman"/>
          <w:sz w:val="24"/>
          <w:szCs w:val="20"/>
          <w:lang w:val="es-ES" w:eastAsia="es-ES"/>
        </w:rPr>
        <w:t xml:space="preserve">: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w:t>
      </w:r>
      <w:proofErr w:type="spellStart"/>
      <w:r>
        <w:rPr>
          <w:rFonts w:ascii="Times New Roman" w:eastAsia="Times New Roman" w:hAnsi="Times New Roman"/>
          <w:sz w:val="24"/>
          <w:szCs w:val="20"/>
          <w:lang w:eastAsia="es-ES"/>
        </w:rPr>
        <w:t>subescalas</w:t>
      </w:r>
      <w:proofErr w:type="spellEnd"/>
      <w:r>
        <w:rPr>
          <w:rFonts w:ascii="Times New Roman" w:eastAsia="Times New Roman" w:hAnsi="Times New Roman"/>
          <w:sz w:val="24"/>
          <w:szCs w:val="20"/>
          <w:lang w:eastAsia="es-ES"/>
        </w:rPr>
        <w:t xml:space="preserve">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 xml:space="preserve">que permite discriminar perfiles </w:t>
      </w:r>
      <w:proofErr w:type="spellStart"/>
      <w:r w:rsidR="009D60AE">
        <w:rPr>
          <w:rFonts w:ascii="Times New Roman" w:eastAsia="Times New Roman" w:hAnsi="Times New Roman"/>
          <w:sz w:val="24"/>
          <w:szCs w:val="20"/>
          <w:lang w:eastAsia="es-ES"/>
        </w:rPr>
        <w:t>desadaptativos</w:t>
      </w:r>
      <w:proofErr w:type="spellEnd"/>
      <w:r w:rsidR="009D60AE">
        <w:rPr>
          <w:rFonts w:ascii="Times New Roman" w:eastAsia="Times New Roman" w:hAnsi="Times New Roman"/>
          <w:sz w:val="24"/>
          <w:szCs w:val="20"/>
          <w:lang w:eastAsia="es-ES"/>
        </w:rPr>
        <w:t xml:space="preserve">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bookmarkStart w:id="256" w:name="_GoBack"/>
      <w:r>
        <w:rPr>
          <w:noProof/>
          <w:lang w:eastAsia="es-PE"/>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bookmarkEnd w:id="256"/>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7" w:name="_Toc525861771"/>
      <w:bookmarkStart w:id="258"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7"/>
      <w:bookmarkEnd w:id="258"/>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la escala del EDI-3 se presentaron 3 </w:t>
      </w:r>
      <w:proofErr w:type="spellStart"/>
      <w:r>
        <w:rPr>
          <w:rFonts w:ascii="Times New Roman" w:eastAsia="Times New Roman" w:hAnsi="Times New Roman"/>
          <w:sz w:val="24"/>
          <w:szCs w:val="20"/>
          <w:lang w:eastAsia="es-ES"/>
        </w:rPr>
        <w:t>subescalas</w:t>
      </w:r>
      <w:proofErr w:type="spellEnd"/>
      <w:r>
        <w:rPr>
          <w:rFonts w:ascii="Times New Roman" w:eastAsia="Times New Roman" w:hAnsi="Times New Roman"/>
          <w:sz w:val="24"/>
          <w:szCs w:val="20"/>
          <w:lang w:eastAsia="es-ES"/>
        </w:rPr>
        <w:t xml:space="preserve">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9" w:name="_Toc525927484"/>
      <w:r w:rsidR="00B27B6A" w:rsidRPr="008B6FAC">
        <w:t>Rol de género y actitudes alimentarias en adolescentes de dos diferentes contextos socioculturales: Tradicional vs. No Tradicional</w:t>
      </w:r>
      <w:bookmarkEnd w:id="259"/>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Según los tres aspectos evaluados del rol de género: </w:t>
      </w:r>
      <w:proofErr w:type="spellStart"/>
      <w:r>
        <w:rPr>
          <w:rFonts w:ascii="Times New Roman" w:eastAsia="Times New Roman" w:hAnsi="Times New Roman"/>
          <w:sz w:val="24"/>
          <w:szCs w:val="20"/>
          <w:lang w:eastAsia="es-ES"/>
        </w:rPr>
        <w:t>autodescripción</w:t>
      </w:r>
      <w:proofErr w:type="spellEnd"/>
      <w:r>
        <w:rPr>
          <w:rFonts w:ascii="Times New Roman" w:eastAsia="Times New Roman" w:hAnsi="Times New Roman"/>
          <w:sz w:val="24"/>
          <w:szCs w:val="20"/>
          <w:lang w:eastAsia="es-ES"/>
        </w:rPr>
        <w:t>,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60"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60"/>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1" w:name="_Toc525927486"/>
      <w:r w:rsidRPr="000161FB">
        <w:rPr>
          <w:lang w:val="es-ES"/>
        </w:rPr>
        <w:t>Fomentando la medición confiable y válida de exámenes, diagnósticos, tratamientos y resultados de salud mental a través de la tecnología de información de salud</w:t>
      </w:r>
      <w:bookmarkEnd w:id="261"/>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2" w:name="_Toc525927487"/>
      <w:r w:rsidRPr="00EE4B29">
        <w:lastRenderedPageBreak/>
        <w:t>CAPITULO IV. APORTE TE</w:t>
      </w:r>
      <w:r w:rsidR="00EC4569">
        <w:t>Ó</w:t>
      </w:r>
      <w:r w:rsidRPr="00EE4B29">
        <w:t>RICO</w:t>
      </w:r>
      <w:bookmarkEnd w:id="262"/>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3" w:name="_Toc525320710"/>
      <w:bookmarkStart w:id="264" w:name="_Toc525320770"/>
      <w:bookmarkStart w:id="265" w:name="_Toc525861755"/>
      <w:bookmarkStart w:id="266" w:name="_Toc525927488"/>
      <w:bookmarkEnd w:id="263"/>
      <w:bookmarkEnd w:id="264"/>
      <w:bookmarkEnd w:id="265"/>
      <w:bookmarkEnd w:id="266"/>
    </w:p>
    <w:p w14:paraId="2CBFC83A" w14:textId="77777777" w:rsidR="004E0267" w:rsidRDefault="004A081F" w:rsidP="004E0267">
      <w:pPr>
        <w:pStyle w:val="Ttulo2"/>
        <w:numPr>
          <w:ilvl w:val="1"/>
          <w:numId w:val="22"/>
        </w:numPr>
        <w:rPr>
          <w:lang w:val="es-ES"/>
        </w:rPr>
      </w:pPr>
      <w:bookmarkStart w:id="267" w:name="_Toc525927489"/>
      <w:r>
        <w:rPr>
          <w:lang w:val="es-ES"/>
        </w:rPr>
        <w:t>Selección y justificación del</w:t>
      </w:r>
      <w:r w:rsidR="004E0267" w:rsidRPr="004E0267">
        <w:rPr>
          <w:lang w:val="es-ES"/>
        </w:rPr>
        <w:t xml:space="preserve"> </w:t>
      </w:r>
      <w:r>
        <w:rPr>
          <w:lang w:val="es-ES"/>
        </w:rPr>
        <w:t>test psicológico</w:t>
      </w:r>
      <w:bookmarkEnd w:id="267"/>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EEF5DA1" w:rsidR="00A9328E" w:rsidRPr="00A9328E" w:rsidRDefault="00A9328E" w:rsidP="00A9328E">
      <w:pPr>
        <w:pStyle w:val="Descripcin"/>
        <w:rPr>
          <w:rFonts w:ascii="Times New Roman" w:eastAsia="Times New Roman" w:hAnsi="Times New Roman"/>
          <w:sz w:val="24"/>
          <w:szCs w:val="20"/>
          <w:lang w:eastAsia="es-ES"/>
        </w:rPr>
      </w:pPr>
      <w:bookmarkStart w:id="268" w:name="_Toc525861780"/>
      <w:bookmarkStart w:id="269" w:name="_Toc525861856"/>
      <w:bookmarkStart w:id="270"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2544B1">
        <w:rPr>
          <w:b/>
          <w:noProof/>
        </w:rPr>
        <w:t>6</w:t>
      </w:r>
      <w:r w:rsidRPr="00A9328E">
        <w:rPr>
          <w:b/>
        </w:rPr>
        <w:fldChar w:fldCharType="end"/>
      </w:r>
      <w:r>
        <w:t>. Comparativo entre test psicológicos.</w:t>
      </w:r>
      <w:bookmarkEnd w:id="268"/>
      <w:bookmarkEnd w:id="269"/>
      <w:bookmarkEnd w:id="270"/>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106"/>
        <w:gridCol w:w="1107"/>
      </w:tblGrid>
      <w:tr w:rsidR="00C42489" w14:paraId="284047B0" w14:textId="788A1F29" w:rsidTr="00F30D50">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2B58054F"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110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110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110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110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F30D50">
        <w:trPr>
          <w:trHeight w:val="502"/>
          <w:jc w:val="center"/>
        </w:trPr>
        <w:tc>
          <w:tcPr>
            <w:tcW w:w="2434"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19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F30D50">
        <w:trPr>
          <w:trHeight w:val="514"/>
          <w:jc w:val="center"/>
        </w:trPr>
        <w:tc>
          <w:tcPr>
            <w:tcW w:w="2434"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19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F30D50">
        <w:trPr>
          <w:trHeight w:val="502"/>
          <w:jc w:val="center"/>
        </w:trPr>
        <w:tc>
          <w:tcPr>
            <w:tcW w:w="2434" w:type="dxa"/>
            <w:shd w:val="clear" w:color="auto" w:fill="BFBFBF" w:themeFill="background1" w:themeFillShade="BF"/>
            <w:vAlign w:val="center"/>
          </w:tcPr>
          <w:p w14:paraId="66A63256" w14:textId="3217766A" w:rsidR="00C42489" w:rsidRDefault="00B2741C"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Tipo de aplicación</w:t>
            </w:r>
          </w:p>
        </w:tc>
        <w:tc>
          <w:tcPr>
            <w:tcW w:w="1197" w:type="dxa"/>
            <w:vAlign w:val="center"/>
          </w:tcPr>
          <w:p w14:paraId="10E602A8" w14:textId="6CDFBF52"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Default="00B2741C" w:rsidP="00B2741C">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761DD95" w14:textId="019F5AFD"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AF352D9" w14:textId="147E4DE0" w:rsidR="00C42489" w:rsidRDefault="00B2741C"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3BE766F" w14:textId="43BE309D" w:rsidTr="00F30D50">
        <w:trPr>
          <w:trHeight w:val="502"/>
          <w:jc w:val="center"/>
        </w:trPr>
        <w:tc>
          <w:tcPr>
            <w:tcW w:w="2434" w:type="dxa"/>
            <w:shd w:val="clear" w:color="auto" w:fill="BFBFBF" w:themeFill="background1" w:themeFillShade="BF"/>
            <w:vAlign w:val="center"/>
          </w:tcPr>
          <w:p w14:paraId="585501A2" w14:textId="01DA844B" w:rsidR="00C42489" w:rsidRDefault="00590A1A"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F870FAD" w14:textId="13215D9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725BD272" w14:textId="6CAE1CC9"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47B474" w14:textId="47A55055" w:rsidTr="00F30D50">
        <w:trPr>
          <w:trHeight w:val="514"/>
          <w:jc w:val="center"/>
        </w:trPr>
        <w:tc>
          <w:tcPr>
            <w:tcW w:w="2434" w:type="dxa"/>
            <w:shd w:val="clear" w:color="auto" w:fill="BFBFBF" w:themeFill="background1" w:themeFillShade="BF"/>
            <w:vAlign w:val="center"/>
          </w:tcPr>
          <w:p w14:paraId="6CD2683F" w14:textId="6AC76D81" w:rsidR="00C42489"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534AE4">
              <w:rPr>
                <w:rFonts w:ascii="Times New Roman" w:eastAsia="Times New Roman" w:hAnsi="Times New Roman"/>
                <w:szCs w:val="20"/>
                <w:lang w:eastAsia="es-ES"/>
              </w:rPr>
              <w:t>Dirigido especialmente a población joven</w:t>
            </w:r>
          </w:p>
        </w:tc>
        <w:tc>
          <w:tcPr>
            <w:tcW w:w="1197" w:type="dxa"/>
            <w:vAlign w:val="center"/>
          </w:tcPr>
          <w:p w14:paraId="5EF636B1" w14:textId="4CF76DC9"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53FBE43" w14:textId="2DBF73F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2C079C87" w14:textId="228BD263" w:rsidR="00C97A14" w:rsidRDefault="00C97A14" w:rsidP="00C97A1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7777777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1" w:name="_Toc525927490"/>
      <w:r>
        <w:rPr>
          <w:lang w:val="es-ES"/>
        </w:rPr>
        <w:t>Definición de la solución</w:t>
      </w:r>
      <w:bookmarkEnd w:id="27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eastAsia="es-PE"/>
        </w:rPr>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2" w:name="_Toc525861772"/>
      <w:bookmarkStart w:id="273"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2"/>
      <w:bookmarkEnd w:id="27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4" w:name="_Toc525927491"/>
      <w:r>
        <w:rPr>
          <w:lang w:val="es-ES"/>
        </w:rPr>
        <w:t>Definición de la arquitectura</w:t>
      </w:r>
      <w:bookmarkEnd w:id="27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5" w:name="_Toc525861773"/>
      <w:bookmarkStart w:id="276"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5"/>
      <w:bookmarkEnd w:id="27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 xml:space="preserve">El usuario interacciona con las aplicaciones web a través del navegador. Como consecuencia de la actividad del usuario, se envían peticiones al servidor, donde se aloja la aplicación y hace uso de una base de datos que almacena toda la información relacionada con nuestra </w:t>
      </w:r>
      <w:r w:rsidRPr="00822176">
        <w:rPr>
          <w:rFonts w:ascii="Times New Roman" w:eastAsia="Times New Roman" w:hAnsi="Times New Roman"/>
          <w:sz w:val="24"/>
          <w:szCs w:val="20"/>
          <w:lang w:eastAsia="es-ES"/>
        </w:rPr>
        <w:lastRenderedPageBreak/>
        <w:t>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eastAsia="es-PE"/>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7" w:name="_Toc525861774"/>
      <w:bookmarkStart w:id="278"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7"/>
      <w:bookmarkEnd w:id="27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9" w:name="_Toc525927492"/>
      <w:r>
        <w:rPr>
          <w:lang w:val="es-ES"/>
        </w:rPr>
        <w:t>Selección de tecnologías a utilizar</w:t>
      </w:r>
      <w:bookmarkEnd w:id="27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B1E6314" w:rsidR="002544B1" w:rsidRDefault="002544B1" w:rsidP="002544B1">
      <w:pPr>
        <w:pStyle w:val="Descripcin"/>
        <w:rPr>
          <w:rFonts w:ascii="Times New Roman" w:eastAsia="Times New Roman" w:hAnsi="Times New Roman"/>
          <w:sz w:val="24"/>
          <w:szCs w:val="20"/>
          <w:lang w:eastAsia="es-ES"/>
        </w:rPr>
      </w:pPr>
      <w:bookmarkStart w:id="280" w:name="_Toc525861781"/>
      <w:bookmarkStart w:id="281" w:name="_Toc525861857"/>
      <w:bookmarkStart w:id="282"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Pr="002544B1">
        <w:rPr>
          <w:b/>
          <w:noProof/>
        </w:rPr>
        <w:t>7</w:t>
      </w:r>
      <w:r w:rsidRPr="002544B1">
        <w:rPr>
          <w:b/>
        </w:rPr>
        <w:fldChar w:fldCharType="end"/>
      </w:r>
      <w:r w:rsidRPr="002544B1">
        <w:rPr>
          <w:b/>
        </w:rPr>
        <w:t>.</w:t>
      </w:r>
      <w:r>
        <w:t xml:space="preserve"> Tecnologías a utilizar según la arquitectura. Elaboración propia.</w:t>
      </w:r>
      <w:bookmarkEnd w:id="280"/>
      <w:bookmarkEnd w:id="281"/>
      <w:bookmarkEnd w:id="28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3"/>
      <w:bookmarkEnd w:id="283"/>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4"/>
      <w:bookmarkEnd w:id="284"/>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5"/>
      <w:bookmarkEnd w:id="285"/>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6"/>
      <w:bookmarkEnd w:id="286"/>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7" w:name="_Toc525927497"/>
      <w:bookmarkEnd w:id="287"/>
    </w:p>
    <w:p w14:paraId="32E70A8A" w14:textId="0F6E747B" w:rsidR="002544B1" w:rsidRDefault="003260E8" w:rsidP="003260E8">
      <w:pPr>
        <w:pStyle w:val="Ttulo3"/>
        <w:rPr>
          <w:lang w:val="es-ES"/>
        </w:rPr>
      </w:pPr>
      <w:bookmarkStart w:id="288" w:name="_Toc525927498"/>
      <w:r>
        <w:rPr>
          <w:lang w:val="es-ES"/>
        </w:rPr>
        <w:t>HTML5</w:t>
      </w:r>
      <w:bookmarkEnd w:id="288"/>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5F38959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6FA1942E"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294B297C"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Pr="00DF5D8B">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9AD9C6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para desarrollar y ejecutar software de aplicaciones en el lenguaje de programación Java. Permite </w:t>
      </w:r>
      <w:r w:rsidRPr="003260E8">
        <w:rPr>
          <w:rFonts w:ascii="Times New Roman" w:eastAsia="Times New Roman" w:hAnsi="Times New Roman"/>
          <w:sz w:val="24"/>
          <w:szCs w:val="20"/>
          <w:lang w:eastAsia="es-ES"/>
        </w:rPr>
        <w:lastRenderedPageBreak/>
        <w:t>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4541AA" w:rsidRPr="004541AA">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proofErr w:type="spellStart"/>
      <w:r>
        <w:rPr>
          <w:lang w:val="es-ES"/>
        </w:rPr>
        <w:t>MySQL</w:t>
      </w:r>
      <w:bookmarkEnd w:id="292"/>
      <w:proofErr w:type="spellEnd"/>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3D2FD78A"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proofErr w:type="spellStart"/>
      <w:r w:rsidRPr="004541AA">
        <w:rPr>
          <w:rFonts w:ascii="Times New Roman" w:eastAsia="Times New Roman" w:hAnsi="Times New Roman"/>
          <w:sz w:val="24"/>
          <w:szCs w:val="20"/>
          <w:lang w:eastAsia="es-ES"/>
        </w:rPr>
        <w:t>MySQL</w:t>
      </w:r>
      <w:proofErr w:type="spellEnd"/>
      <w:r w:rsidRPr="004541AA">
        <w:rPr>
          <w:rFonts w:ascii="Times New Roman" w:eastAsia="Times New Roman" w:hAnsi="Times New Roman"/>
          <w:sz w:val="24"/>
          <w:szCs w:val="20"/>
          <w:lang w:eastAsia="es-ES"/>
        </w:rPr>
        <w:t xml:space="preserve">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 xml:space="preserve">Lo primero significa que se puede descargar libremente de Internet (por </w:t>
      </w:r>
      <w:r w:rsidRPr="004541AA">
        <w:rPr>
          <w:rFonts w:ascii="Times New Roman" w:eastAsia="Times New Roman" w:hAnsi="Times New Roman"/>
          <w:sz w:val="24"/>
          <w:szCs w:val="20"/>
          <w:lang w:eastAsia="es-ES"/>
        </w:rPr>
        <w:t>ejemplo,</w:t>
      </w:r>
      <w:r w:rsidRPr="004541AA">
        <w:rPr>
          <w:rFonts w:ascii="Times New Roman" w:eastAsia="Times New Roman" w:hAnsi="Times New Roman"/>
          <w:sz w:val="24"/>
          <w:szCs w:val="20"/>
          <w:lang w:eastAsia="es-ES"/>
        </w:rPr>
        <w:t xml:space="preserve">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23682E">
        <w:rPr>
          <w:rFonts w:ascii="Times New Roman" w:eastAsia="Times New Roman" w:hAnsi="Times New Roman"/>
          <w:sz w:val="24"/>
          <w:szCs w:val="20"/>
          <w:lang w:eastAsia="es-ES"/>
        </w:rPr>
        <w:t xml:space="preserve">GNU </w:t>
      </w:r>
      <w:proofErr w:type="spellStart"/>
      <w:r w:rsidR="0023682E">
        <w:rPr>
          <w:rFonts w:ascii="Times New Roman" w:eastAsia="Times New Roman" w:hAnsi="Times New Roman"/>
          <w:sz w:val="24"/>
          <w:szCs w:val="20"/>
          <w:lang w:eastAsia="es-ES"/>
        </w:rPr>
        <w:t>publice</w:t>
      </w:r>
      <w:proofErr w:type="spellEnd"/>
      <w:r w:rsidR="0023682E">
        <w:rPr>
          <w:rFonts w:ascii="Times New Roman" w:eastAsia="Times New Roman" w:hAnsi="Times New Roman"/>
          <w:sz w:val="24"/>
          <w:szCs w:val="20"/>
          <w:lang w:eastAsia="es-ES"/>
        </w:rPr>
        <w:t xml:space="preserve"> </w:t>
      </w:r>
      <w:proofErr w:type="spellStart"/>
      <w:r w:rsidR="0023682E">
        <w:rPr>
          <w:rFonts w:ascii="Times New Roman" w:eastAsia="Times New Roman" w:hAnsi="Times New Roman"/>
          <w:sz w:val="24"/>
          <w:szCs w:val="20"/>
          <w:lang w:eastAsia="es-ES"/>
        </w:rPr>
        <w:t>license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 xml:space="preserve">código fuente de </w:t>
      </w:r>
      <w:proofErr w:type="spellStart"/>
      <w:r w:rsidR="0023682E" w:rsidRPr="0023682E">
        <w:rPr>
          <w:rFonts w:ascii="Times New Roman" w:eastAsia="Times New Roman" w:hAnsi="Times New Roman"/>
          <w:sz w:val="24"/>
          <w:szCs w:val="20"/>
          <w:lang w:eastAsia="es-ES"/>
        </w:rPr>
        <w:t>MySQL</w:t>
      </w:r>
      <w:proofErr w:type="spellEnd"/>
      <w:r w:rsidR="0023682E" w:rsidRPr="0023682E">
        <w:rPr>
          <w:rFonts w:ascii="Times New Roman" w:eastAsia="Times New Roman" w:hAnsi="Times New Roman"/>
          <w:sz w:val="24"/>
          <w:szCs w:val="20"/>
          <w:lang w:eastAsia="es-ES"/>
        </w:rPr>
        <w:t>,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3682E" w:rsidRPr="0023682E">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50384F6"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C406BD" w:rsidRPr="00C406BD">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lastRenderedPageBreak/>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40BC3511" w14:textId="77777777" w:rsidR="00DF5D8B" w:rsidRDefault="00253AEC" w:rsidP="00DF5D8B">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DF5D8B">
                <w:rPr>
                  <w:noProof/>
                </w:rPr>
                <w:t xml:space="preserve">Alejaldre, L., &amp; García, A. M. (2015). Gamificar: El uso de los elementos del juegos en la enseñanza de español. </w:t>
              </w:r>
              <w:r w:rsidR="00DF5D8B">
                <w:rPr>
                  <w:i/>
                  <w:iCs/>
                  <w:noProof/>
                </w:rPr>
                <w:t>L Congreso. La culturan hispánica: de sus orígenes al siglo XXI</w:t>
              </w:r>
              <w:r w:rsidR="00DF5D8B">
                <w:rPr>
                  <w:noProof/>
                </w:rPr>
                <w:t>, (págs. 73-83). Burgos.</w:t>
              </w:r>
            </w:p>
            <w:p w14:paraId="0F4CA2BF" w14:textId="77777777" w:rsidR="00DF5D8B" w:rsidRDefault="00DF5D8B" w:rsidP="00DF5D8B">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0A0C3D80" w14:textId="77777777" w:rsidR="00DF5D8B" w:rsidRDefault="00DF5D8B" w:rsidP="00DF5D8B">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12A00F40" w14:textId="77777777" w:rsidR="00DF5D8B" w:rsidRDefault="00DF5D8B" w:rsidP="00DF5D8B">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2175C31F" w14:textId="77777777" w:rsidR="00DF5D8B" w:rsidRDefault="00DF5D8B" w:rsidP="00DF5D8B">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DCB50EE" w14:textId="77777777" w:rsidR="00DF5D8B" w:rsidRDefault="00DF5D8B" w:rsidP="00DF5D8B">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3BEC9E0B" w14:textId="77777777" w:rsidR="00DF5D8B" w:rsidRDefault="00DF5D8B" w:rsidP="00DF5D8B">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F77CED4" w14:textId="77777777" w:rsidR="00DF5D8B" w:rsidRDefault="00DF5D8B" w:rsidP="00DF5D8B">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2469C1E" w14:textId="77777777" w:rsidR="00DF5D8B" w:rsidRDefault="00DF5D8B" w:rsidP="00DF5D8B">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59E0038A" w14:textId="77777777" w:rsidR="00DF5D8B" w:rsidRDefault="00DF5D8B" w:rsidP="00DF5D8B">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1F49A68" w14:textId="77777777" w:rsidR="00DF5D8B" w:rsidRDefault="00DF5D8B" w:rsidP="00DF5D8B">
              <w:pPr>
                <w:pStyle w:val="Bibliografa"/>
                <w:ind w:left="720" w:hanging="720"/>
                <w:rPr>
                  <w:noProof/>
                </w:rPr>
              </w:pPr>
              <w:r>
                <w:rPr>
                  <w:noProof/>
                </w:rPr>
                <w:t xml:space="preserve">Grande, M., Cañon, R., &amp; Cantón, I. (2016). Tecnologías de la información y la comunicación: Evolución del concepto y características. </w:t>
              </w:r>
              <w:r>
                <w:rPr>
                  <w:i/>
                  <w:iCs/>
                  <w:noProof/>
                </w:rPr>
                <w:t>International Journal of Educational Research an Innovation</w:t>
              </w:r>
              <w:r>
                <w:rPr>
                  <w:noProof/>
                </w:rPr>
                <w:t>, 2018-230.</w:t>
              </w:r>
            </w:p>
            <w:p w14:paraId="1FD43005" w14:textId="77777777" w:rsidR="00DF5D8B" w:rsidRDefault="00DF5D8B" w:rsidP="00DF5D8B">
              <w:pPr>
                <w:pStyle w:val="Bibliografa"/>
                <w:ind w:left="720" w:hanging="720"/>
                <w:rPr>
                  <w:noProof/>
                </w:rPr>
              </w:pPr>
              <w:r>
                <w:rPr>
                  <w:noProof/>
                </w:rPr>
                <w:lastRenderedPageBreak/>
                <w:t xml:space="preserve">Haberer, J. E., Trabin, T., &amp; Klinkman, M. (2013). 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2A42F80D" w14:textId="77777777" w:rsidR="00DF5D8B" w:rsidRDefault="00DF5D8B" w:rsidP="00DF5D8B">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632D918" w14:textId="77777777" w:rsidR="00DF5D8B" w:rsidRDefault="00DF5D8B" w:rsidP="00DF5D8B">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47BF6DC5" w14:textId="77777777" w:rsidR="00DF5D8B" w:rsidRDefault="00DF5D8B" w:rsidP="00DF5D8B">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15E308AB" w14:textId="77777777" w:rsidR="00DF5D8B" w:rsidRDefault="00DF5D8B" w:rsidP="00DF5D8B">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1D04364" w14:textId="77777777" w:rsidR="00DF5D8B" w:rsidRDefault="00DF5D8B" w:rsidP="00DF5D8B">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DB620CD" w14:textId="77777777" w:rsidR="00DF5D8B" w:rsidRDefault="00DF5D8B" w:rsidP="00DF5D8B">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F1551A1" w14:textId="77777777" w:rsidR="00DF5D8B" w:rsidRDefault="00DF5D8B" w:rsidP="00DF5D8B">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6FE982C0" w14:textId="77777777" w:rsidR="00DF5D8B" w:rsidRDefault="00DF5D8B" w:rsidP="00DF5D8B">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6C49E3ED" w14:textId="77777777" w:rsidR="00DF5D8B" w:rsidRDefault="00DF5D8B" w:rsidP="00DF5D8B">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9B9F5C1" w14:textId="77777777" w:rsidR="00DF5D8B" w:rsidRDefault="00DF5D8B" w:rsidP="00DF5D8B">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1E15D44B" w14:textId="77777777" w:rsidR="00DF5D8B" w:rsidRDefault="00DF5D8B" w:rsidP="00DF5D8B">
              <w:pPr>
                <w:pStyle w:val="Bibliografa"/>
                <w:ind w:left="720" w:hanging="720"/>
                <w:rPr>
                  <w:noProof/>
                </w:rPr>
              </w:pPr>
              <w:r>
                <w:rPr>
                  <w:noProof/>
                </w:rPr>
                <w:t xml:space="preserve">Redaccion Computer Hoy. (2014). </w:t>
              </w:r>
              <w:r>
                <w:rPr>
                  <w:i/>
                  <w:iCs/>
                  <w:noProof/>
                </w:rPr>
                <w:t>¿Qué es HTML5? Todo lo que necesitas saber</w:t>
              </w:r>
              <w:r>
                <w:rPr>
                  <w:noProof/>
                </w:rPr>
                <w:t>. Obtenido de Computer Hoy: https://computerhoy.com/noticias/software/que-es-html5-todo-que-necesitas-saber-16425</w:t>
              </w:r>
            </w:p>
            <w:p w14:paraId="467DF94B" w14:textId="77777777" w:rsidR="00DF5D8B" w:rsidRDefault="00DF5D8B" w:rsidP="00DF5D8B">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69D186FD" w14:textId="77777777" w:rsidR="00DF5D8B" w:rsidRDefault="00DF5D8B" w:rsidP="00DF5D8B">
              <w:pPr>
                <w:pStyle w:val="Bibliografa"/>
                <w:ind w:left="720" w:hanging="720"/>
                <w:rPr>
                  <w:noProof/>
                </w:rPr>
              </w:pPr>
              <w:r>
                <w:rPr>
                  <w:noProof/>
                </w:rPr>
                <w:lastRenderedPageBreak/>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26348276" w14:textId="77777777" w:rsidR="00DF5D8B" w:rsidRDefault="00DF5D8B" w:rsidP="00DF5D8B">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77DA795" w14:textId="77777777" w:rsidR="00DF5D8B" w:rsidRDefault="00DF5D8B" w:rsidP="00DF5D8B">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3A92DA3E" w14:textId="77777777" w:rsidR="00DF5D8B" w:rsidRDefault="00DF5D8B" w:rsidP="00DF5D8B">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ECB5192" w14:textId="77777777" w:rsidR="00DF5D8B" w:rsidRDefault="00DF5D8B" w:rsidP="00DF5D8B">
              <w:pPr>
                <w:pStyle w:val="Bibliografa"/>
                <w:ind w:left="720" w:hanging="720"/>
                <w:rPr>
                  <w:noProof/>
                </w:rPr>
              </w:pPr>
              <w:r>
                <w:rPr>
                  <w:noProof/>
                </w:rPr>
                <w:t xml:space="preserve">UNICEF. (2011). </w:t>
              </w:r>
              <w:r>
                <w:rPr>
                  <w:i/>
                  <w:iCs/>
                  <w:noProof/>
                </w:rPr>
                <w:t>La adolescencia. Una época de oportunidades.</w:t>
              </w:r>
              <w:r>
                <w:rPr>
                  <w:noProof/>
                </w:rPr>
                <w:t xml:space="preserve"> Hatteras Press .</w:t>
              </w:r>
            </w:p>
            <w:p w14:paraId="490507BC" w14:textId="77777777" w:rsidR="00DF5D8B" w:rsidRDefault="00DF5D8B" w:rsidP="00DF5D8B">
              <w:pPr>
                <w:pStyle w:val="Bibliografa"/>
                <w:ind w:left="720" w:hanging="720"/>
                <w:rPr>
                  <w:noProof/>
                </w:rPr>
              </w:pPr>
              <w:r>
                <w:rPr>
                  <w:noProof/>
                </w:rPr>
                <w:t xml:space="preserve">Vargas, M. J. (2013). Trastornos de la conducta alimentaria. </w:t>
              </w:r>
              <w:r>
                <w:rPr>
                  <w:i/>
                  <w:iCs/>
                  <w:noProof/>
                </w:rPr>
                <w:t>Revista Médica de Costa Rica y Centroamérica LXX</w:t>
              </w:r>
              <w:r>
                <w:rPr>
                  <w:noProof/>
                </w:rPr>
                <w:t>, 475-482.</w:t>
              </w:r>
            </w:p>
            <w:p w14:paraId="61068BE4" w14:textId="77777777" w:rsidR="00DF5D8B" w:rsidRDefault="00DF5D8B" w:rsidP="00DF5D8B">
              <w:pPr>
                <w:pStyle w:val="Bibliografa"/>
                <w:ind w:left="720" w:hanging="720"/>
                <w:rPr>
                  <w:noProof/>
                </w:rPr>
              </w:pPr>
              <w:r>
                <w:rPr>
                  <w:noProof/>
                </w:rPr>
                <w:t xml:space="preserve">Wood, L., &amp; Reiners, T. (2015). Gamification. En M. Khosrow-Pour, </w:t>
              </w:r>
              <w:r>
                <w:rPr>
                  <w:i/>
                  <w:iCs/>
                  <w:noProof/>
                </w:rPr>
                <w:t>Encyclopedia of Information Science and Technology</w:t>
              </w:r>
              <w:r>
                <w:rPr>
                  <w:noProof/>
                </w:rPr>
                <w:t xml:space="preserve"> (págs. 3039-3047).</w:t>
              </w:r>
            </w:p>
            <w:p w14:paraId="7E17E5F6" w14:textId="77777777" w:rsidR="00253AEC" w:rsidRDefault="00253AEC" w:rsidP="00DF5D8B">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DE7F33" w14:textId="77777777" w:rsidR="0049390A" w:rsidRDefault="0049390A" w:rsidP="00E3466F">
      <w:pPr>
        <w:spacing w:after="0" w:line="240" w:lineRule="auto"/>
      </w:pPr>
      <w:r>
        <w:separator/>
      </w:r>
    </w:p>
  </w:endnote>
  <w:endnote w:type="continuationSeparator" w:id="0">
    <w:p w14:paraId="04B8F2BC" w14:textId="77777777" w:rsidR="0049390A" w:rsidRDefault="0049390A"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0F400834" w:rsidR="002717D8" w:rsidRDefault="002717D8">
        <w:pPr>
          <w:pStyle w:val="Piedepgina"/>
          <w:jc w:val="right"/>
        </w:pPr>
        <w:r>
          <w:fldChar w:fldCharType="begin"/>
        </w:r>
        <w:r>
          <w:instrText>PAGE   \* MERGEFORMAT</w:instrText>
        </w:r>
        <w:r>
          <w:fldChar w:fldCharType="separate"/>
        </w:r>
        <w:r w:rsidR="00B40E29" w:rsidRPr="00B40E29">
          <w:rPr>
            <w:noProof/>
            <w:lang w:val="es-ES"/>
          </w:rPr>
          <w:t>35</w:t>
        </w:r>
        <w:r>
          <w:fldChar w:fldCharType="end"/>
        </w:r>
      </w:p>
    </w:sdtContent>
  </w:sdt>
  <w:p w14:paraId="1CDEC65F" w14:textId="77777777" w:rsidR="002717D8" w:rsidRDefault="002717D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F5AE8A" w14:textId="77777777" w:rsidR="0049390A" w:rsidRDefault="0049390A" w:rsidP="00E3466F">
      <w:pPr>
        <w:spacing w:after="0" w:line="240" w:lineRule="auto"/>
      </w:pPr>
      <w:r>
        <w:separator/>
      </w:r>
    </w:p>
  </w:footnote>
  <w:footnote w:type="continuationSeparator" w:id="0">
    <w:p w14:paraId="1FBF88DC" w14:textId="77777777" w:rsidR="0049390A" w:rsidRDefault="0049390A"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541A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s>
</file>

<file path=customXml/itemProps1.xml><?xml version="1.0" encoding="utf-8"?>
<ds:datastoreItem xmlns:ds="http://schemas.openxmlformats.org/officeDocument/2006/customXml" ds:itemID="{C3B35B00-7636-4555-9EB8-0BDF13B3D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62</Pages>
  <Words>16129</Words>
  <Characters>88712</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104632</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132</cp:revision>
  <cp:lastPrinted>2013-11-20T23:54:00Z</cp:lastPrinted>
  <dcterms:created xsi:type="dcterms:W3CDTF">2018-07-04T05:07:00Z</dcterms:created>
  <dcterms:modified xsi:type="dcterms:W3CDTF">2018-10-12T23:59:00Z</dcterms:modified>
</cp:coreProperties>
</file>