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144502">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144502">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144502">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144502"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144502"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144502"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144502"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144502"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144502">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144502"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144502"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144502"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144502"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144502"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144502"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144502">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144502"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144502"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144502"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144502"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144502"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144502">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144502"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144502"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144502"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144502"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144502">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144502"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144502">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144502">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144502">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144502">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144502">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77777777"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4A081F">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253C831"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2544B1">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77777777"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4A081F">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1E6B390B"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7777777"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4A081F" w:rsidRPr="004A081F">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7FD8A2A2"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77777777"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B2655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9360BC2"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2544B1">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77777777"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4A081F">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1" w:name="_Toc525927448"/>
      <w:r w:rsidR="00E97A16" w:rsidRPr="00E97A16">
        <w:t>Justificación</w:t>
      </w:r>
      <w:bookmarkEnd w:id="71"/>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7777777"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77777777"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7777777"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77777777"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7777777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2" w:name="_Toc525927449"/>
      <w:r>
        <w:t>Alcances</w:t>
      </w:r>
      <w:bookmarkEnd w:id="72"/>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3" w:name="_Toc525927450"/>
      <w:r w:rsidRPr="009F5D83">
        <w:lastRenderedPageBreak/>
        <w:t>CAPITULO II</w:t>
      </w:r>
      <w:r>
        <w:t>.</w:t>
      </w:r>
      <w:r w:rsidRPr="009F5D83">
        <w:t xml:space="preserve"> MARCO TEÓRICO</w:t>
      </w:r>
      <w:bookmarkEnd w:id="73"/>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4" w:name="_Toc525927451"/>
      <w:r w:rsidR="00CA2BBC" w:rsidRPr="00882DE6">
        <w:t>La adolescencia</w:t>
      </w:r>
      <w:bookmarkEnd w:id="74"/>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77777777"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7777777"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5" w:name="_Toc525861765"/>
      <w:bookmarkStart w:id="76"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5"/>
      <w:bookmarkEnd w:id="76"/>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7777777"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7" w:name="_Toc518555921"/>
      <w:bookmarkStart w:id="78" w:name="_Toc518555977"/>
      <w:bookmarkStart w:id="79" w:name="_Toc518556129"/>
      <w:bookmarkStart w:id="80" w:name="_Toc518556183"/>
      <w:bookmarkStart w:id="81" w:name="_Toc518556239"/>
      <w:bookmarkStart w:id="82" w:name="_Toc518556797"/>
      <w:bookmarkStart w:id="83" w:name="_Toc518667467"/>
      <w:bookmarkStart w:id="84" w:name="_Toc523867913"/>
      <w:bookmarkStart w:id="85" w:name="_Toc525075393"/>
      <w:bookmarkStart w:id="86" w:name="_Toc525320674"/>
      <w:bookmarkStart w:id="87" w:name="_Toc525320734"/>
      <w:bookmarkStart w:id="88" w:name="_Toc525861719"/>
      <w:bookmarkStart w:id="89" w:name="_Toc525927452"/>
      <w:bookmarkEnd w:id="77"/>
      <w:bookmarkEnd w:id="78"/>
      <w:bookmarkEnd w:id="79"/>
      <w:bookmarkEnd w:id="80"/>
      <w:bookmarkEnd w:id="81"/>
      <w:bookmarkEnd w:id="82"/>
      <w:bookmarkEnd w:id="83"/>
      <w:bookmarkEnd w:id="84"/>
      <w:bookmarkEnd w:id="85"/>
      <w:bookmarkEnd w:id="86"/>
      <w:bookmarkEnd w:id="87"/>
      <w:bookmarkEnd w:id="88"/>
      <w:bookmarkEnd w:id="89"/>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0" w:name="_Toc518555922"/>
      <w:bookmarkStart w:id="91" w:name="_Toc518555978"/>
      <w:bookmarkStart w:id="92" w:name="_Toc518556130"/>
      <w:bookmarkStart w:id="93" w:name="_Toc518556184"/>
      <w:bookmarkStart w:id="94" w:name="_Toc518556240"/>
      <w:bookmarkStart w:id="95" w:name="_Toc518556798"/>
      <w:bookmarkStart w:id="96" w:name="_Toc518667468"/>
      <w:bookmarkStart w:id="97" w:name="_Toc523867914"/>
      <w:bookmarkStart w:id="98" w:name="_Toc525075394"/>
      <w:bookmarkStart w:id="99" w:name="_Toc525320675"/>
      <w:bookmarkStart w:id="100" w:name="_Toc525320735"/>
      <w:bookmarkStart w:id="101" w:name="_Toc525861720"/>
      <w:bookmarkStart w:id="102" w:name="_Toc525927453"/>
      <w:bookmarkEnd w:id="90"/>
      <w:bookmarkEnd w:id="91"/>
      <w:bookmarkEnd w:id="92"/>
      <w:bookmarkEnd w:id="93"/>
      <w:bookmarkEnd w:id="94"/>
      <w:bookmarkEnd w:id="95"/>
      <w:bookmarkEnd w:id="96"/>
      <w:bookmarkEnd w:id="97"/>
      <w:bookmarkEnd w:id="98"/>
      <w:bookmarkEnd w:id="99"/>
      <w:bookmarkEnd w:id="100"/>
      <w:bookmarkEnd w:id="101"/>
      <w:bookmarkEnd w:id="10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3" w:name="_Toc518555923"/>
      <w:bookmarkStart w:id="104" w:name="_Toc518555979"/>
      <w:bookmarkStart w:id="105" w:name="_Toc518556131"/>
      <w:bookmarkStart w:id="106" w:name="_Toc518556185"/>
      <w:bookmarkStart w:id="107" w:name="_Toc518556241"/>
      <w:bookmarkStart w:id="108" w:name="_Toc518556799"/>
      <w:bookmarkStart w:id="109" w:name="_Toc518667469"/>
      <w:bookmarkStart w:id="110" w:name="_Toc523867915"/>
      <w:bookmarkStart w:id="111" w:name="_Toc525075395"/>
      <w:bookmarkStart w:id="112" w:name="_Toc525320676"/>
      <w:bookmarkStart w:id="113" w:name="_Toc525320736"/>
      <w:bookmarkStart w:id="114" w:name="_Toc525861721"/>
      <w:bookmarkStart w:id="115" w:name="_Toc525927454"/>
      <w:bookmarkEnd w:id="103"/>
      <w:bookmarkEnd w:id="104"/>
      <w:bookmarkEnd w:id="105"/>
      <w:bookmarkEnd w:id="106"/>
      <w:bookmarkEnd w:id="107"/>
      <w:bookmarkEnd w:id="108"/>
      <w:bookmarkEnd w:id="109"/>
      <w:bookmarkEnd w:id="110"/>
      <w:bookmarkEnd w:id="111"/>
      <w:bookmarkEnd w:id="112"/>
      <w:bookmarkEnd w:id="113"/>
      <w:bookmarkEnd w:id="114"/>
      <w:bookmarkEnd w:id="115"/>
    </w:p>
    <w:p w14:paraId="162BFA99" w14:textId="77777777" w:rsidR="00210A33" w:rsidRPr="003260E8" w:rsidRDefault="00210A33" w:rsidP="003260E8">
      <w:pPr>
        <w:pStyle w:val="Ttulo3"/>
        <w:numPr>
          <w:ilvl w:val="2"/>
          <w:numId w:val="9"/>
        </w:numPr>
        <w:rPr>
          <w:bCs/>
          <w:color w:val="000000"/>
        </w:rPr>
      </w:pPr>
      <w:bookmarkStart w:id="116" w:name="_Toc525927455"/>
      <w:r w:rsidRPr="00491948">
        <w:t>La adolescencia temprana (10 a 14 años)</w:t>
      </w:r>
      <w:bookmarkEnd w:id="116"/>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7777777" w:rsidR="00210A33" w:rsidRDefault="00144502"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7" w:name="_Toc525927456"/>
      <w:r w:rsidRPr="00B372F1">
        <w:t>La adolescencia tardía (15 a 19 años)</w:t>
      </w:r>
      <w:bookmarkEnd w:id="117"/>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77777777" w:rsidR="00466DFB" w:rsidRDefault="00144502"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8" w:name="_Toc525927457"/>
      <w:r w:rsidR="00CA2BBC" w:rsidRPr="00CA2BBC">
        <w:t xml:space="preserve">Trastorno de </w:t>
      </w:r>
      <w:r w:rsidR="00231FA5">
        <w:t>Comportamiento</w:t>
      </w:r>
      <w:r w:rsidR="00CA2BBC" w:rsidRPr="00CA2BBC">
        <w:t xml:space="preserve"> Alimentaria</w:t>
      </w:r>
      <w:bookmarkEnd w:id="118"/>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9" w:name="_Toc518555927"/>
      <w:bookmarkStart w:id="120" w:name="_Toc518555983"/>
      <w:bookmarkStart w:id="121" w:name="_Toc518556135"/>
      <w:bookmarkStart w:id="122" w:name="_Toc518556189"/>
      <w:bookmarkStart w:id="123" w:name="_Toc518556245"/>
      <w:bookmarkStart w:id="124" w:name="_Toc518556803"/>
      <w:bookmarkStart w:id="125" w:name="_Toc518667473"/>
      <w:bookmarkStart w:id="126" w:name="_Toc523867919"/>
      <w:bookmarkStart w:id="127" w:name="_Toc525075399"/>
      <w:bookmarkStart w:id="128" w:name="_Toc525320680"/>
      <w:bookmarkStart w:id="129" w:name="_Toc525320740"/>
      <w:bookmarkStart w:id="130" w:name="_Toc525861725"/>
      <w:bookmarkStart w:id="131" w:name="_Toc525927458"/>
      <w:bookmarkEnd w:id="119"/>
      <w:bookmarkEnd w:id="120"/>
      <w:bookmarkEnd w:id="121"/>
      <w:bookmarkEnd w:id="122"/>
      <w:bookmarkEnd w:id="123"/>
      <w:bookmarkEnd w:id="124"/>
      <w:bookmarkEnd w:id="125"/>
      <w:bookmarkEnd w:id="126"/>
      <w:bookmarkEnd w:id="127"/>
      <w:bookmarkEnd w:id="128"/>
      <w:bookmarkEnd w:id="129"/>
      <w:bookmarkEnd w:id="130"/>
      <w:bookmarkEnd w:id="131"/>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2" w:name="_Toc518555928"/>
      <w:bookmarkStart w:id="133" w:name="_Toc518555984"/>
      <w:bookmarkStart w:id="134" w:name="_Toc518556136"/>
      <w:bookmarkStart w:id="135" w:name="_Toc518556190"/>
      <w:bookmarkStart w:id="136" w:name="_Toc518556246"/>
      <w:bookmarkStart w:id="137" w:name="_Toc518556804"/>
      <w:bookmarkStart w:id="138" w:name="_Toc518667474"/>
      <w:bookmarkStart w:id="139" w:name="_Toc523867920"/>
      <w:bookmarkStart w:id="140" w:name="_Toc525075400"/>
      <w:bookmarkStart w:id="141" w:name="_Toc525320681"/>
      <w:bookmarkStart w:id="142" w:name="_Toc525320741"/>
      <w:bookmarkStart w:id="143" w:name="_Toc525861726"/>
      <w:bookmarkStart w:id="144" w:name="_Toc525927459"/>
      <w:bookmarkEnd w:id="132"/>
      <w:bookmarkEnd w:id="133"/>
      <w:bookmarkEnd w:id="134"/>
      <w:bookmarkEnd w:id="135"/>
      <w:bookmarkEnd w:id="136"/>
      <w:bookmarkEnd w:id="137"/>
      <w:bookmarkEnd w:id="138"/>
      <w:bookmarkEnd w:id="139"/>
      <w:bookmarkEnd w:id="140"/>
      <w:bookmarkEnd w:id="141"/>
      <w:bookmarkEnd w:id="142"/>
      <w:bookmarkEnd w:id="143"/>
      <w:bookmarkEnd w:id="144"/>
    </w:p>
    <w:p w14:paraId="78FC7636" w14:textId="77777777" w:rsidR="00CA2BBC" w:rsidRPr="00B372F1" w:rsidRDefault="00CA2BBC" w:rsidP="003260E8">
      <w:pPr>
        <w:pStyle w:val="Ttulo3"/>
        <w:numPr>
          <w:ilvl w:val="2"/>
          <w:numId w:val="10"/>
        </w:numPr>
      </w:pPr>
      <w:bookmarkStart w:id="145" w:name="_Toc525927460"/>
      <w:r w:rsidRPr="00B372F1">
        <w:t>D</w:t>
      </w:r>
      <w:r w:rsidR="000E4D7A" w:rsidRPr="00B372F1">
        <w:t>efinición</w:t>
      </w:r>
      <w:bookmarkEnd w:id="145"/>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7777777"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6" w:name="_Toc525861766"/>
      <w:bookmarkStart w:id="147"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6"/>
      <w:bookmarkEnd w:id="147"/>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7777777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77777777"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8" w:name="_Toc525927461"/>
      <w:r w:rsidRPr="00B372F1">
        <w:t>Factores de Riesgo</w:t>
      </w:r>
      <w:bookmarkEnd w:id="148"/>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9" w:name="_Toc525927462"/>
      <w:r w:rsidRPr="0039706F">
        <w:t>Diagnóstico de los trastornos de conducta alimentaria</w:t>
      </w:r>
      <w:bookmarkEnd w:id="149"/>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777777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Pr>
              <w:rFonts w:ascii="Times New Roman" w:hAnsi="Times New Roman"/>
              <w:bCs/>
              <w:noProof/>
              <w:color w:val="000000"/>
              <w:sz w:val="24"/>
              <w:szCs w:val="24"/>
            </w:rPr>
            <w:t xml:space="preserve"> </w:t>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0" w:name="_Toc525927463"/>
      <w:r w:rsidRPr="0039706F">
        <w:t>Tratamiento que se sigue para Trastornos de Conducta Alimentaria</w:t>
      </w:r>
      <w:bookmarkEnd w:id="150"/>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77777777" w:rsidR="000E4D7A" w:rsidRDefault="00144502"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77777777"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1" w:name="_Toc525927464"/>
      <w:r w:rsidRPr="0039706F">
        <w:t>Tipo</w:t>
      </w:r>
      <w:r w:rsidR="008E3B78" w:rsidRPr="0039706F">
        <w:t>s</w:t>
      </w:r>
      <w:r w:rsidRPr="0039706F">
        <w:t xml:space="preserve"> de Trastorno</w:t>
      </w:r>
      <w:r w:rsidR="008E3B78" w:rsidRPr="0039706F">
        <w:t>s</w:t>
      </w:r>
      <w:r w:rsidRPr="0039706F">
        <w:t xml:space="preserve"> Alimentarios</w:t>
      </w:r>
      <w:bookmarkEnd w:id="151"/>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77777777"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77777777" w:rsidR="000E4D7A" w:rsidRDefault="00144502"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77777777" w:rsidR="000E4D7A" w:rsidRDefault="00144502"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77777777"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2" w:name="_Toc525927465"/>
      <w:r w:rsidR="008E3B78" w:rsidRPr="0039706F">
        <w:t xml:space="preserve">Tecnología </w:t>
      </w:r>
      <w:r w:rsidR="00732FD0" w:rsidRPr="0039706F">
        <w:t>web</w:t>
      </w:r>
      <w:bookmarkEnd w:id="152"/>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77777777"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77777777"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3" w:name="_Toc525927466"/>
      <w:r w:rsidR="00932AFC" w:rsidRPr="00F14434">
        <w:t>Instrumentos para la evaluación de Trastornos de Conducta Alimentaria</w:t>
      </w:r>
      <w:bookmarkEnd w:id="153"/>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77777777"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77777777"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7777777"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4" w:name="_Toc518555936"/>
      <w:bookmarkStart w:id="155" w:name="_Toc518555992"/>
      <w:bookmarkStart w:id="156" w:name="_Toc518556144"/>
      <w:bookmarkStart w:id="157" w:name="_Toc518556198"/>
      <w:bookmarkStart w:id="158" w:name="_Toc518556254"/>
      <w:bookmarkStart w:id="159" w:name="_Toc518556812"/>
      <w:bookmarkStart w:id="160" w:name="_Toc518667482"/>
      <w:bookmarkStart w:id="161" w:name="_Toc523867928"/>
      <w:bookmarkStart w:id="162" w:name="_Toc525075408"/>
      <w:bookmarkStart w:id="163" w:name="_Toc525320689"/>
      <w:bookmarkStart w:id="164" w:name="_Toc525320749"/>
      <w:bookmarkStart w:id="165" w:name="_Toc525861734"/>
      <w:bookmarkStart w:id="166" w:name="_Toc525927467"/>
      <w:bookmarkEnd w:id="154"/>
      <w:bookmarkEnd w:id="155"/>
      <w:bookmarkEnd w:id="156"/>
      <w:bookmarkEnd w:id="157"/>
      <w:bookmarkEnd w:id="158"/>
      <w:bookmarkEnd w:id="159"/>
      <w:bookmarkEnd w:id="160"/>
      <w:bookmarkEnd w:id="161"/>
      <w:bookmarkEnd w:id="162"/>
      <w:bookmarkEnd w:id="163"/>
      <w:bookmarkEnd w:id="164"/>
      <w:bookmarkEnd w:id="165"/>
      <w:bookmarkEnd w:id="16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7" w:name="_Toc518555937"/>
      <w:bookmarkStart w:id="168" w:name="_Toc518555993"/>
      <w:bookmarkStart w:id="169" w:name="_Toc518556145"/>
      <w:bookmarkStart w:id="170" w:name="_Toc518556199"/>
      <w:bookmarkStart w:id="171" w:name="_Toc518556255"/>
      <w:bookmarkStart w:id="172" w:name="_Toc518556813"/>
      <w:bookmarkStart w:id="173" w:name="_Toc518667483"/>
      <w:bookmarkStart w:id="174" w:name="_Toc523867929"/>
      <w:bookmarkStart w:id="175" w:name="_Toc525075409"/>
      <w:bookmarkStart w:id="176" w:name="_Toc525320690"/>
      <w:bookmarkStart w:id="177" w:name="_Toc525320750"/>
      <w:bookmarkStart w:id="178" w:name="_Toc525861735"/>
      <w:bookmarkStart w:id="179" w:name="_Toc525927468"/>
      <w:bookmarkEnd w:id="167"/>
      <w:bookmarkEnd w:id="168"/>
      <w:bookmarkEnd w:id="169"/>
      <w:bookmarkEnd w:id="170"/>
      <w:bookmarkEnd w:id="171"/>
      <w:bookmarkEnd w:id="172"/>
      <w:bookmarkEnd w:id="173"/>
      <w:bookmarkEnd w:id="174"/>
      <w:bookmarkEnd w:id="175"/>
      <w:bookmarkEnd w:id="176"/>
      <w:bookmarkEnd w:id="177"/>
      <w:bookmarkEnd w:id="178"/>
      <w:bookmarkEnd w:id="179"/>
    </w:p>
    <w:p w14:paraId="7E630A8D" w14:textId="77777777" w:rsidR="00932AFC" w:rsidRPr="00F14434" w:rsidRDefault="003F6E2C" w:rsidP="003260E8">
      <w:pPr>
        <w:pStyle w:val="Ttulo3"/>
        <w:numPr>
          <w:ilvl w:val="2"/>
          <w:numId w:val="10"/>
        </w:numPr>
      </w:pPr>
      <w:bookmarkStart w:id="180" w:name="_Toc525927469"/>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80"/>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77777777"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1" w:name="_Toc52592747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81"/>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77777777"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7777777"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2" w:name="_Toc525927471"/>
      <w:r w:rsidRPr="00ED21A8">
        <w:t>SCOFF</w:t>
      </w:r>
      <w:bookmarkEnd w:id="182"/>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77777777"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7777777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3" w:name="_Toc525927472"/>
      <w:r w:rsidR="00FF506A" w:rsidRPr="0076492F">
        <w:t>Instituciones educativas en Lima Metropolitana</w:t>
      </w:r>
      <w:bookmarkEnd w:id="183"/>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00F3CD56" w:rsidR="004E3378" w:rsidRDefault="001307A7" w:rsidP="0076492F">
      <w:pPr>
        <w:pStyle w:val="Descripcin"/>
        <w:ind w:firstLine="284"/>
        <w:rPr>
          <w:rFonts w:ascii="Times New Roman" w:hAnsi="Times New Roman"/>
          <w:bCs/>
          <w:color w:val="000000"/>
          <w:sz w:val="24"/>
          <w:szCs w:val="24"/>
        </w:rPr>
      </w:pPr>
      <w:bookmarkStart w:id="184" w:name="_Toc525861779"/>
      <w:bookmarkStart w:id="185" w:name="_Toc525861855"/>
      <w:bookmarkStart w:id="186"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2544B1">
        <w:rPr>
          <w:b/>
          <w:noProof/>
        </w:rPr>
        <w:t>5</w:t>
      </w:r>
      <w:r w:rsidRPr="001307A7">
        <w:rPr>
          <w:b/>
        </w:rPr>
        <w:fldChar w:fldCharType="end"/>
      </w:r>
      <w:r w:rsidRPr="001307A7">
        <w:rPr>
          <w:b/>
        </w:rPr>
        <w:t>.</w:t>
      </w:r>
      <w:r>
        <w:t xml:space="preserve"> Cronología de normas legales asociadas a la privatización educativa.</w:t>
      </w:r>
      <w:bookmarkEnd w:id="184"/>
      <w:bookmarkEnd w:id="185"/>
      <w:bookmarkEnd w:id="186"/>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7" w:name="_Toc525927473"/>
      <w:r w:rsidR="00FC4803" w:rsidRPr="00116727">
        <w:t>Gamificación</w:t>
      </w:r>
      <w:bookmarkEnd w:id="187"/>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7777777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7777777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8" w:name="_Toc518555943"/>
      <w:bookmarkStart w:id="189" w:name="_Toc518555999"/>
      <w:bookmarkStart w:id="190" w:name="_Toc518556151"/>
      <w:bookmarkStart w:id="191" w:name="_Toc518556205"/>
      <w:bookmarkStart w:id="192" w:name="_Toc518556261"/>
      <w:bookmarkStart w:id="193" w:name="_Toc518556819"/>
      <w:bookmarkStart w:id="194" w:name="_Toc518667489"/>
      <w:bookmarkStart w:id="195" w:name="_Toc523867935"/>
      <w:bookmarkStart w:id="196" w:name="_Toc525075415"/>
      <w:bookmarkStart w:id="197" w:name="_Toc525320696"/>
      <w:bookmarkStart w:id="198" w:name="_Toc525320756"/>
      <w:bookmarkStart w:id="199" w:name="_Toc525861741"/>
      <w:bookmarkStart w:id="200" w:name="_Toc525927474"/>
      <w:bookmarkEnd w:id="188"/>
      <w:bookmarkEnd w:id="189"/>
      <w:bookmarkEnd w:id="190"/>
      <w:bookmarkEnd w:id="191"/>
      <w:bookmarkEnd w:id="192"/>
      <w:bookmarkEnd w:id="193"/>
      <w:bookmarkEnd w:id="194"/>
      <w:bookmarkEnd w:id="195"/>
      <w:bookmarkEnd w:id="196"/>
      <w:bookmarkEnd w:id="197"/>
      <w:bookmarkEnd w:id="198"/>
      <w:bookmarkEnd w:id="199"/>
      <w:bookmarkEnd w:id="200"/>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1" w:name="_Toc518555944"/>
      <w:bookmarkStart w:id="202" w:name="_Toc518556000"/>
      <w:bookmarkStart w:id="203" w:name="_Toc518556152"/>
      <w:bookmarkStart w:id="204" w:name="_Toc518556206"/>
      <w:bookmarkStart w:id="205" w:name="_Toc518556262"/>
      <w:bookmarkStart w:id="206" w:name="_Toc518556820"/>
      <w:bookmarkStart w:id="207" w:name="_Toc518667490"/>
      <w:bookmarkStart w:id="208" w:name="_Toc523867936"/>
      <w:bookmarkStart w:id="209" w:name="_Toc525075416"/>
      <w:bookmarkStart w:id="210" w:name="_Toc525320697"/>
      <w:bookmarkStart w:id="211" w:name="_Toc525320757"/>
      <w:bookmarkStart w:id="212" w:name="_Toc525861742"/>
      <w:bookmarkStart w:id="213" w:name="_Toc525927475"/>
      <w:bookmarkEnd w:id="201"/>
      <w:bookmarkEnd w:id="202"/>
      <w:bookmarkEnd w:id="203"/>
      <w:bookmarkEnd w:id="204"/>
      <w:bookmarkEnd w:id="205"/>
      <w:bookmarkEnd w:id="206"/>
      <w:bookmarkEnd w:id="207"/>
      <w:bookmarkEnd w:id="208"/>
      <w:bookmarkEnd w:id="209"/>
      <w:bookmarkEnd w:id="210"/>
      <w:bookmarkEnd w:id="211"/>
      <w:bookmarkEnd w:id="212"/>
      <w:bookmarkEnd w:id="213"/>
    </w:p>
    <w:p w14:paraId="25FCF763" w14:textId="77777777" w:rsidR="008D3580" w:rsidRPr="003260E8" w:rsidRDefault="00FC72A7" w:rsidP="003260E8">
      <w:pPr>
        <w:pStyle w:val="Ttulo3"/>
        <w:numPr>
          <w:ilvl w:val="2"/>
          <w:numId w:val="10"/>
        </w:numPr>
        <w:rPr>
          <w:bCs/>
          <w:color w:val="000000"/>
        </w:rPr>
      </w:pPr>
      <w:bookmarkStart w:id="214" w:name="_Toc525927476"/>
      <w:r w:rsidRPr="00116727">
        <w:t>Elementos de la Gamificación</w:t>
      </w:r>
      <w:bookmarkEnd w:id="214"/>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5" w:name="_Toc525861767"/>
      <w:bookmarkStart w:id="216"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5"/>
      <w:bookmarkEnd w:id="216"/>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7" w:name="_Toc525861768"/>
      <w:bookmarkStart w:id="218"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17"/>
      <w:bookmarkEnd w:id="21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19" w:name="_Toc525927477"/>
      <w:r w:rsidRPr="00AC0484">
        <w:t>Tipos de jugadores</w:t>
      </w:r>
      <w:bookmarkEnd w:id="21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0" w:name="_Toc525927478"/>
      <w:r w:rsidRPr="00AC0484">
        <w:t>Tipos de Gamificación</w:t>
      </w:r>
      <w:bookmarkEnd w:id="220"/>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1" w:name="_Toc525927479"/>
      <w:r w:rsidRPr="00EE4B29">
        <w:lastRenderedPageBreak/>
        <w:t>CAPITULO III. ESTADO DEL ARTE METODOLÓGICO</w:t>
      </w:r>
      <w:bookmarkEnd w:id="22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2" w:name="_Toc518555949"/>
      <w:bookmarkStart w:id="223" w:name="_Toc518556005"/>
      <w:bookmarkStart w:id="224" w:name="_Toc518556157"/>
      <w:bookmarkStart w:id="225" w:name="_Toc518556211"/>
      <w:bookmarkStart w:id="226" w:name="_Toc518556267"/>
      <w:bookmarkStart w:id="227" w:name="_Toc518556825"/>
      <w:bookmarkStart w:id="228" w:name="_Toc518667495"/>
      <w:bookmarkStart w:id="229" w:name="_Toc523867941"/>
      <w:bookmarkStart w:id="230" w:name="_Toc525075421"/>
      <w:bookmarkStart w:id="231" w:name="_Toc525320702"/>
      <w:bookmarkStart w:id="232" w:name="_Toc525320762"/>
      <w:bookmarkStart w:id="233" w:name="_Toc525861747"/>
      <w:bookmarkStart w:id="234" w:name="_Toc525927480"/>
      <w:bookmarkEnd w:id="222"/>
      <w:bookmarkEnd w:id="223"/>
      <w:bookmarkEnd w:id="224"/>
      <w:bookmarkEnd w:id="225"/>
      <w:bookmarkEnd w:id="226"/>
      <w:bookmarkEnd w:id="227"/>
      <w:bookmarkEnd w:id="228"/>
      <w:bookmarkEnd w:id="229"/>
      <w:bookmarkEnd w:id="230"/>
      <w:bookmarkEnd w:id="231"/>
      <w:bookmarkEnd w:id="232"/>
      <w:bookmarkEnd w:id="233"/>
      <w:bookmarkEnd w:id="234"/>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5" w:name="_Toc518555950"/>
      <w:bookmarkStart w:id="236" w:name="_Toc518556006"/>
      <w:bookmarkStart w:id="237" w:name="_Toc518556158"/>
      <w:bookmarkStart w:id="238" w:name="_Toc518556212"/>
      <w:bookmarkStart w:id="239" w:name="_Toc518556268"/>
      <w:bookmarkStart w:id="240" w:name="_Toc518556826"/>
      <w:bookmarkStart w:id="241" w:name="_Toc518667496"/>
      <w:bookmarkStart w:id="242" w:name="_Toc523867942"/>
      <w:bookmarkStart w:id="243" w:name="_Toc525075422"/>
      <w:bookmarkStart w:id="244" w:name="_Toc525320703"/>
      <w:bookmarkStart w:id="245" w:name="_Toc525320763"/>
      <w:bookmarkStart w:id="246" w:name="_Toc525861748"/>
      <w:bookmarkStart w:id="247" w:name="_Toc525927481"/>
      <w:bookmarkEnd w:id="235"/>
      <w:bookmarkEnd w:id="236"/>
      <w:bookmarkEnd w:id="237"/>
      <w:bookmarkEnd w:id="238"/>
      <w:bookmarkEnd w:id="239"/>
      <w:bookmarkEnd w:id="240"/>
      <w:bookmarkEnd w:id="241"/>
      <w:bookmarkEnd w:id="242"/>
      <w:bookmarkEnd w:id="243"/>
      <w:bookmarkEnd w:id="244"/>
      <w:bookmarkEnd w:id="245"/>
      <w:bookmarkEnd w:id="246"/>
      <w:bookmarkEnd w:id="247"/>
    </w:p>
    <w:p w14:paraId="272D8D53" w14:textId="77777777" w:rsidR="004E4020" w:rsidRPr="008B6FAC" w:rsidRDefault="008B6FAC" w:rsidP="004E0267">
      <w:pPr>
        <w:pStyle w:val="Ttulo2"/>
      </w:pPr>
      <w:r>
        <w:t xml:space="preserve"> </w:t>
      </w:r>
      <w:bookmarkStart w:id="248" w:name="_Toc525927482"/>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48"/>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49" w:name="_Toc517625889"/>
      <w:bookmarkStart w:id="250" w:name="_Toc525861769"/>
      <w:bookmarkStart w:id="251"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49"/>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50"/>
      <w:bookmarkEnd w:id="251"/>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2" w:name="_Toc525927483"/>
      <w:r w:rsidR="00367CF2" w:rsidRPr="008B6FAC">
        <w:t>Perfeccionismo y baja autoestima a través del continuo de los trastornos alimentarios en adolescentes mujeres de Buenos Aires</w:t>
      </w:r>
      <w:bookmarkEnd w:id="252"/>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2E7CCD9A">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3" w:name="_Toc517625890"/>
      <w:bookmarkStart w:id="254" w:name="_Toc525861770"/>
      <w:bookmarkStart w:id="255"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3"/>
      <w:r w:rsidR="004D0844">
        <w:t xml:space="preserve"> En </w:t>
      </w:r>
      <w:r w:rsidR="004D0844" w:rsidRPr="004D0844">
        <w:t>Perfeccionismo y baja autoestima a través del continuo de los trastornos alimentarios en adolescentes mujeres de Buenos Aires</w:t>
      </w:r>
      <w:r w:rsidR="00BD096B">
        <w:t>.</w:t>
      </w:r>
      <w:bookmarkEnd w:id="254"/>
      <w:bookmarkEnd w:id="255"/>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5E0D549E">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6" w:name="_Toc525861771"/>
      <w:bookmarkStart w:id="257"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6"/>
      <w:bookmarkEnd w:id="257"/>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8" w:name="_Toc525927484"/>
      <w:r w:rsidR="00B27B6A" w:rsidRPr="008B6FAC">
        <w:t>Rol de género y actitudes alimentarias en adolescentes de dos diferentes contextos socioculturales: Tradicional vs. No Tradicional</w:t>
      </w:r>
      <w:bookmarkEnd w:id="258"/>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59"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59"/>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610A58CA" w:rsidR="00D24F29" w:rsidRPr="002A74E9" w:rsidRDefault="00D24F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roofErr w:type="gramStart"/>
      <w:r w:rsidRPr="002A74E9">
        <w:rPr>
          <w:rFonts w:ascii="Times New Roman" w:eastAsia="Times New Roman" w:hAnsi="Times New Roman"/>
          <w:sz w:val="24"/>
          <w:szCs w:val="20"/>
          <w:lang w:val="es-ES" w:eastAsia="es-ES"/>
        </w:rPr>
        <w:t>Además</w:t>
      </w:r>
      <w:proofErr w:type="gramEnd"/>
      <w:r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0" w:name="_Toc525927486"/>
      <w:r w:rsidRPr="000161FB">
        <w:rPr>
          <w:lang w:val="es-ES"/>
        </w:rPr>
        <w:t>Fomentando la medición confiable y válida de exámenes, diagnósticos, tratamientos y resultados de salud mental a través de la tecnología de información de salud</w:t>
      </w:r>
      <w:bookmarkEnd w:id="260"/>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167871BE"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proofErr w:type="gramStart"/>
      <w:r>
        <w:rPr>
          <w:rFonts w:ascii="Times New Roman" w:eastAsia="Times New Roman" w:hAnsi="Times New Roman"/>
          <w:sz w:val="24"/>
          <w:szCs w:val="20"/>
          <w:lang w:val="es-ES" w:eastAsia="es-ES"/>
        </w:rPr>
        <w:t>diagnostico</w:t>
      </w:r>
      <w:proofErr w:type="gramEnd"/>
      <w:r>
        <w:rPr>
          <w:rFonts w:ascii="Times New Roman" w:eastAsia="Times New Roman" w:hAnsi="Times New Roman"/>
          <w:sz w:val="24"/>
          <w:szCs w:val="20"/>
          <w:lang w:val="es-ES" w:eastAsia="es-ES"/>
        </w:rPr>
        <w:t xml:space="preserve"> así como cuándo se realiza en físico.</w:t>
      </w:r>
    </w:p>
    <w:p w14:paraId="240E3923" w14:textId="77777777"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1" w:name="_Toc525927487"/>
      <w:r w:rsidRPr="00EE4B29">
        <w:lastRenderedPageBreak/>
        <w:t>CAPITULO IV. APORTE TE</w:t>
      </w:r>
      <w:r w:rsidR="00EC4569">
        <w:t>Ó</w:t>
      </w:r>
      <w:r w:rsidRPr="00EE4B29">
        <w:t>RICO</w:t>
      </w:r>
      <w:bookmarkEnd w:id="26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2" w:name="_Toc525320710"/>
      <w:bookmarkStart w:id="263" w:name="_Toc525320770"/>
      <w:bookmarkStart w:id="264" w:name="_Toc525861755"/>
      <w:bookmarkStart w:id="265" w:name="_Toc525927488"/>
      <w:bookmarkEnd w:id="262"/>
      <w:bookmarkEnd w:id="263"/>
      <w:bookmarkEnd w:id="264"/>
      <w:bookmarkEnd w:id="265"/>
    </w:p>
    <w:p w14:paraId="2CBFC83A" w14:textId="77777777" w:rsidR="004E0267" w:rsidRDefault="004A081F" w:rsidP="004E0267">
      <w:pPr>
        <w:pStyle w:val="Ttulo2"/>
        <w:numPr>
          <w:ilvl w:val="1"/>
          <w:numId w:val="22"/>
        </w:numPr>
        <w:rPr>
          <w:lang w:val="es-ES"/>
        </w:rPr>
      </w:pPr>
      <w:bookmarkStart w:id="266" w:name="_Toc525927489"/>
      <w:r>
        <w:rPr>
          <w:lang w:val="es-ES"/>
        </w:rPr>
        <w:t>Selección y justificación del</w:t>
      </w:r>
      <w:r w:rsidR="004E0267" w:rsidRPr="004E0267">
        <w:rPr>
          <w:lang w:val="es-ES"/>
        </w:rPr>
        <w:t xml:space="preserve"> </w:t>
      </w:r>
      <w:r>
        <w:rPr>
          <w:lang w:val="es-ES"/>
        </w:rPr>
        <w:t>test psicológico</w:t>
      </w:r>
      <w:bookmarkEnd w:id="266"/>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4EEF5DA1" w:rsidR="00A9328E" w:rsidRPr="00A9328E" w:rsidRDefault="00A9328E" w:rsidP="00A9328E">
      <w:pPr>
        <w:pStyle w:val="Descripcin"/>
        <w:rPr>
          <w:rFonts w:ascii="Times New Roman" w:eastAsia="Times New Roman" w:hAnsi="Times New Roman"/>
          <w:sz w:val="24"/>
          <w:szCs w:val="20"/>
          <w:lang w:eastAsia="es-ES"/>
        </w:rPr>
      </w:pPr>
      <w:bookmarkStart w:id="267" w:name="_Toc525861780"/>
      <w:bookmarkStart w:id="268" w:name="_Toc525861856"/>
      <w:bookmarkStart w:id="269"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2544B1">
        <w:rPr>
          <w:b/>
          <w:noProof/>
        </w:rPr>
        <w:t>6</w:t>
      </w:r>
      <w:r w:rsidRPr="00A9328E">
        <w:rPr>
          <w:b/>
        </w:rPr>
        <w:fldChar w:fldCharType="end"/>
      </w:r>
      <w:r>
        <w:t>. Comparativo entre test psicológicos.</w:t>
      </w:r>
      <w:bookmarkEnd w:id="267"/>
      <w:bookmarkEnd w:id="268"/>
      <w:bookmarkEnd w:id="269"/>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106"/>
        <w:gridCol w:w="1107"/>
      </w:tblGrid>
      <w:tr w:rsidR="00C42489" w14:paraId="284047B0" w14:textId="788A1F29" w:rsidTr="00F30D50">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C44FC5" w:rsidRDefault="00C42489"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lastRenderedPageBreak/>
              <w:t xml:space="preserve">                </w:t>
            </w:r>
            <w:r w:rsidR="007C2748">
              <w:rPr>
                <w:rFonts w:ascii="Times New Roman" w:eastAsiaTheme="minorHAnsi" w:hAnsi="Times New Roman" w:cs="Times New Roman"/>
                <w:b/>
                <w:sz w:val="22"/>
                <w:szCs w:val="22"/>
                <w:lang w:val="es-PE" w:eastAsia="en-US"/>
              </w:rPr>
              <w:t>Artí</w:t>
            </w:r>
            <w:r>
              <w:rPr>
                <w:rFonts w:ascii="Times New Roman" w:eastAsiaTheme="minorHAnsi" w:hAnsi="Times New Roman" w:cs="Times New Roman"/>
                <w:b/>
                <w:sz w:val="22"/>
                <w:szCs w:val="22"/>
                <w:lang w:val="es-PE" w:eastAsia="en-US"/>
              </w:rPr>
              <w:t>culo</w:t>
            </w:r>
          </w:p>
          <w:p w14:paraId="4598AC0D" w14:textId="2B58054F" w:rsidR="00C42489" w:rsidRDefault="00C42489" w:rsidP="00C91F9B">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0D0D5AC6" w14:textId="1830E2B8"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1</w:t>
            </w:r>
          </w:p>
        </w:tc>
        <w:tc>
          <w:tcPr>
            <w:tcW w:w="1106" w:type="dxa"/>
            <w:shd w:val="clear" w:color="auto" w:fill="BFBFBF" w:themeFill="background1" w:themeFillShade="BF"/>
            <w:vAlign w:val="center"/>
          </w:tcPr>
          <w:p w14:paraId="54600E8F" w14:textId="43CDC5C6"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2</w:t>
            </w:r>
          </w:p>
        </w:tc>
        <w:tc>
          <w:tcPr>
            <w:tcW w:w="1106" w:type="dxa"/>
            <w:shd w:val="clear" w:color="auto" w:fill="BFBFBF" w:themeFill="background1" w:themeFillShade="BF"/>
            <w:vAlign w:val="center"/>
          </w:tcPr>
          <w:p w14:paraId="041B595F" w14:textId="7BF84BF1"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3</w:t>
            </w:r>
          </w:p>
        </w:tc>
        <w:tc>
          <w:tcPr>
            <w:tcW w:w="1106" w:type="dxa"/>
            <w:shd w:val="clear" w:color="auto" w:fill="BFBFBF" w:themeFill="background1" w:themeFillShade="BF"/>
            <w:vAlign w:val="center"/>
          </w:tcPr>
          <w:p w14:paraId="7B18772A" w14:textId="2AD469A9"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4</w:t>
            </w:r>
          </w:p>
        </w:tc>
        <w:tc>
          <w:tcPr>
            <w:tcW w:w="1107" w:type="dxa"/>
            <w:shd w:val="clear" w:color="auto" w:fill="BFBFBF" w:themeFill="background1" w:themeFillShade="BF"/>
            <w:vAlign w:val="center"/>
          </w:tcPr>
          <w:p w14:paraId="65DA6D1D" w14:textId="3B7C2B0E"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5</w:t>
            </w:r>
          </w:p>
        </w:tc>
      </w:tr>
      <w:tr w:rsidR="00C42489" w14:paraId="22DD07DC" w14:textId="0798F03E" w:rsidTr="00F30D50">
        <w:trPr>
          <w:trHeight w:val="502"/>
          <w:jc w:val="center"/>
        </w:trPr>
        <w:tc>
          <w:tcPr>
            <w:tcW w:w="2434" w:type="dxa"/>
            <w:shd w:val="clear" w:color="auto" w:fill="BFBFBF" w:themeFill="background1" w:themeFillShade="BF"/>
            <w:vAlign w:val="center"/>
          </w:tcPr>
          <w:p w14:paraId="450AEAED" w14:textId="46199007"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opciones en respuestas</w:t>
            </w:r>
          </w:p>
        </w:tc>
        <w:tc>
          <w:tcPr>
            <w:tcW w:w="1197" w:type="dxa"/>
            <w:vAlign w:val="center"/>
          </w:tcPr>
          <w:p w14:paraId="4EE36495" w14:textId="075C93B1"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A790F76" w14:textId="48A152B8"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114533EC" w14:textId="5BD82C5B"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EC41D4" w14:textId="26E59D75" w:rsidTr="00F30D50">
        <w:trPr>
          <w:trHeight w:val="514"/>
          <w:jc w:val="center"/>
        </w:trPr>
        <w:tc>
          <w:tcPr>
            <w:tcW w:w="2434" w:type="dxa"/>
            <w:shd w:val="clear" w:color="auto" w:fill="BFBFBF" w:themeFill="background1" w:themeFillShade="BF"/>
            <w:vAlign w:val="center"/>
          </w:tcPr>
          <w:p w14:paraId="14835A84" w14:textId="2F341EB8"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preguntas</w:t>
            </w:r>
          </w:p>
        </w:tc>
        <w:tc>
          <w:tcPr>
            <w:tcW w:w="1197" w:type="dxa"/>
            <w:vAlign w:val="center"/>
          </w:tcPr>
          <w:p w14:paraId="0E343A65" w14:textId="567A36DE"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0A2FC22B" w14:textId="4A248B2A"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1D6583C" w14:textId="6EFAE529"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73571A0" w14:textId="2703E19F" w:rsidTr="00F30D50">
        <w:trPr>
          <w:trHeight w:val="502"/>
          <w:jc w:val="center"/>
        </w:trPr>
        <w:tc>
          <w:tcPr>
            <w:tcW w:w="2434" w:type="dxa"/>
            <w:shd w:val="clear" w:color="auto" w:fill="BFBFBF" w:themeFill="background1" w:themeFillShade="BF"/>
            <w:vAlign w:val="center"/>
          </w:tcPr>
          <w:p w14:paraId="66A63256" w14:textId="3217766A" w:rsidR="00C42489" w:rsidRDefault="00B2741C"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Tipo de aplicación</w:t>
            </w:r>
          </w:p>
        </w:tc>
        <w:tc>
          <w:tcPr>
            <w:tcW w:w="1197" w:type="dxa"/>
            <w:vAlign w:val="center"/>
          </w:tcPr>
          <w:p w14:paraId="10E602A8" w14:textId="6CDFBF52"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Default="00B2741C" w:rsidP="00B2741C">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761DD95" w14:textId="019F5AFD"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AF352D9" w14:textId="147E4DE0" w:rsidR="00C42489" w:rsidRDefault="00B2741C"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3BE766F" w14:textId="43BE309D" w:rsidTr="00F30D50">
        <w:trPr>
          <w:trHeight w:val="502"/>
          <w:jc w:val="center"/>
        </w:trPr>
        <w:tc>
          <w:tcPr>
            <w:tcW w:w="2434" w:type="dxa"/>
            <w:shd w:val="clear" w:color="auto" w:fill="BFBFBF" w:themeFill="background1" w:themeFillShade="BF"/>
            <w:vAlign w:val="center"/>
          </w:tcPr>
          <w:p w14:paraId="585501A2" w14:textId="01DA844B" w:rsidR="00C42489" w:rsidRDefault="00590A1A"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F870FAD" w14:textId="13215D9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725BD272" w14:textId="6CAE1CC9"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47B474" w14:textId="47A55055" w:rsidTr="00F30D50">
        <w:trPr>
          <w:trHeight w:val="514"/>
          <w:jc w:val="center"/>
        </w:trPr>
        <w:tc>
          <w:tcPr>
            <w:tcW w:w="2434" w:type="dxa"/>
            <w:shd w:val="clear" w:color="auto" w:fill="BFBFBF" w:themeFill="background1" w:themeFillShade="BF"/>
            <w:vAlign w:val="center"/>
          </w:tcPr>
          <w:p w14:paraId="6CD2683F" w14:textId="6AC76D81" w:rsidR="00C42489"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534AE4">
              <w:rPr>
                <w:rFonts w:ascii="Times New Roman" w:eastAsia="Times New Roman" w:hAnsi="Times New Roman"/>
                <w:szCs w:val="20"/>
                <w:lang w:eastAsia="es-ES"/>
              </w:rPr>
              <w:t>Dirigido especialmente a población joven</w:t>
            </w:r>
          </w:p>
        </w:tc>
        <w:tc>
          <w:tcPr>
            <w:tcW w:w="1197" w:type="dxa"/>
            <w:vAlign w:val="center"/>
          </w:tcPr>
          <w:p w14:paraId="5EF636B1" w14:textId="4CF76DC9"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53FBE43" w14:textId="2DBF73F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2C079C87" w14:textId="228BD263" w:rsidR="00C97A14" w:rsidRDefault="00C97A14" w:rsidP="00C97A1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7777777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0" w:name="_Toc525927490"/>
      <w:r>
        <w:rPr>
          <w:lang w:val="es-ES"/>
        </w:rPr>
        <w:t>Definición de la solución</w:t>
      </w:r>
      <w:bookmarkEnd w:id="270"/>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drawing>
          <wp:inline distT="0" distB="0" distL="0" distR="0" wp14:anchorId="26531F92" wp14:editId="047D6EBF">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50774" cy="279068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1" w:name="_Toc525861772"/>
      <w:bookmarkStart w:id="272"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1"/>
      <w:bookmarkEnd w:id="272"/>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Ilustración 8 muestra la arquitectura de la aplicación web en la fase de desarrollo: El usuario hace uso de la aplicación mediante un navegador (Chrome, Firefox, etc.), su petición </w:t>
      </w:r>
      <w:r>
        <w:rPr>
          <w:rFonts w:ascii="Times New Roman" w:eastAsia="Times New Roman" w:hAnsi="Times New Roman"/>
          <w:sz w:val="24"/>
          <w:szCs w:val="20"/>
          <w:lang w:eastAsia="es-ES"/>
        </w:rPr>
        <w:lastRenderedPageBreak/>
        <w:t>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3" w:name="_Toc525927491"/>
      <w:r>
        <w:rPr>
          <w:lang w:val="es-ES"/>
        </w:rPr>
        <w:t>Definición de la arquitectura</w:t>
      </w:r>
      <w:bookmarkEnd w:id="273"/>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4" w:name="_Toc525861773"/>
      <w:bookmarkStart w:id="275"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4"/>
      <w:bookmarkEnd w:id="275"/>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lastRenderedPageBreak/>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37A42F81">
            <wp:extent cx="4432823" cy="2838203"/>
            <wp:effectExtent l="19050" t="19050" r="25400" b="196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469160" cy="286146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6" w:name="_Toc525861774"/>
      <w:bookmarkStart w:id="277"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6"/>
      <w:bookmarkEnd w:id="277"/>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8" w:name="_Toc525927492"/>
      <w:r>
        <w:rPr>
          <w:lang w:val="es-ES"/>
        </w:rPr>
        <w:t>Selección de tecnologías a utilizar</w:t>
      </w:r>
      <w:bookmarkEnd w:id="278"/>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B1E6314" w:rsidR="002544B1" w:rsidRDefault="002544B1" w:rsidP="002544B1">
      <w:pPr>
        <w:pStyle w:val="Descripcin"/>
        <w:rPr>
          <w:rFonts w:ascii="Times New Roman" w:eastAsia="Times New Roman" w:hAnsi="Times New Roman"/>
          <w:sz w:val="24"/>
          <w:szCs w:val="20"/>
          <w:lang w:eastAsia="es-ES"/>
        </w:rPr>
      </w:pPr>
      <w:bookmarkStart w:id="279" w:name="_Toc525861781"/>
      <w:bookmarkStart w:id="280" w:name="_Toc525861857"/>
      <w:bookmarkStart w:id="281"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Pr="002544B1">
        <w:rPr>
          <w:b/>
          <w:noProof/>
        </w:rPr>
        <w:t>7</w:t>
      </w:r>
      <w:r w:rsidRPr="002544B1">
        <w:rPr>
          <w:b/>
        </w:rPr>
        <w:fldChar w:fldCharType="end"/>
      </w:r>
      <w:r w:rsidRPr="002544B1">
        <w:rPr>
          <w:b/>
        </w:rPr>
        <w:t>.</w:t>
      </w:r>
      <w:r>
        <w:t xml:space="preserve"> Tecnologías a utilizar según la arquitectura. Elaboración propia.</w:t>
      </w:r>
      <w:bookmarkEnd w:id="279"/>
      <w:bookmarkEnd w:id="280"/>
      <w:bookmarkEnd w:id="281"/>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1C798058" wp14:editId="5734816F">
            <wp:extent cx="5612130" cy="256857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68575"/>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2" w:name="_Toc525927493"/>
      <w:bookmarkEnd w:id="282"/>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4"/>
      <w:bookmarkEnd w:id="283"/>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5"/>
      <w:bookmarkEnd w:id="284"/>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6"/>
      <w:bookmarkEnd w:id="285"/>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7"/>
      <w:bookmarkEnd w:id="286"/>
    </w:p>
    <w:p w14:paraId="32E70A8A" w14:textId="0F6E747B" w:rsidR="002544B1" w:rsidRDefault="003260E8" w:rsidP="003260E8">
      <w:pPr>
        <w:pStyle w:val="Ttulo3"/>
        <w:rPr>
          <w:lang w:val="es-ES"/>
        </w:rPr>
      </w:pPr>
      <w:bookmarkStart w:id="287" w:name="_Toc525927498"/>
      <w:r>
        <w:rPr>
          <w:lang w:val="es-ES"/>
        </w:rPr>
        <w:t>HTML5</w:t>
      </w:r>
      <w:bookmarkEnd w:id="287"/>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C267254" w14:textId="61088684"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la quinta revisión del lenguaje básico web HTML. En esta versión, se introducen nuevas características para ayudar a los autores de aplicaciones Web, se introducen nuevos elementos basados en la investigación de las prácticas prevalecientes de autoría, y se ha prestado especial atención a la definición de los criterios de conformidad claras para los agentes de usuario en un esfuerzo por mejorar la interoperabilidad.</w:t>
      </w:r>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8" w:name="_Toc525927499"/>
      <w:r>
        <w:rPr>
          <w:lang w:val="es-ES"/>
        </w:rPr>
        <w:t>CSS3</w:t>
      </w:r>
      <w:bookmarkEnd w:id="288"/>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1D7CE3E7" w14:textId="0F26F3D9"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CSS es un lenguaje usado para definir y crear la presentación de un documento estructurado escrito en HTML o XML. En esta versión se encuentra dividida en módulos y cada uno de ellos añade nuevas funcionalidades a las definidas en versiones anteriores.</w:t>
      </w:r>
    </w:p>
    <w:p w14:paraId="64658BBE"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89" w:name="_Toc525927500"/>
      <w:r>
        <w:rPr>
          <w:lang w:val="es-ES"/>
        </w:rPr>
        <w:t>JavaScript</w:t>
      </w:r>
      <w:bookmarkEnd w:id="289"/>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5243F400" w14:textId="297E128A"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Se utiliza principalmente e</w:t>
      </w:r>
      <w:r>
        <w:rPr>
          <w:rFonts w:ascii="Times New Roman" w:eastAsia="Times New Roman" w:hAnsi="Times New Roman"/>
          <w:sz w:val="24"/>
          <w:szCs w:val="20"/>
          <w:lang w:eastAsia="es-ES"/>
        </w:rPr>
        <w:t xml:space="preserve">n su forma del lado del cliente, </w:t>
      </w:r>
      <w:r w:rsidRPr="003260E8">
        <w:rPr>
          <w:rFonts w:ascii="Times New Roman" w:eastAsia="Times New Roman" w:hAnsi="Times New Roman"/>
          <w:sz w:val="24"/>
          <w:szCs w:val="20"/>
          <w:lang w:eastAsia="es-ES"/>
        </w:rPr>
        <w:t>implementado como parte de un navegador web permitiendo mejoras en la interfaz de usuario y páginas web dinámicas. Todos los navegadores modernos interpretan el código JavaScript integrado en las páginas web. Sus principales características es que es imperativo y estructurado, dinámico, funcional, prototípico, etc.</w:t>
      </w:r>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376E97FD" w14:textId="2171FCA4"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En el nivel de negocio se utiliza el lenguaje de programación Java en su subdivisión Java EE, se codificarán los controladores y los modelos necesarios para que el sistema tenga un correcto desempeño.</w:t>
      </w:r>
    </w:p>
    <w:p w14:paraId="42B9BDE5" w14:textId="77777777" w:rsidR="003260E8" w:rsidRP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0" w:name="_Toc525927501"/>
      <w:r>
        <w:rPr>
          <w:lang w:val="es-ES"/>
        </w:rPr>
        <w:lastRenderedPageBreak/>
        <w:t>Java EE</w:t>
      </w:r>
      <w:bookmarkEnd w:id="290"/>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DF89FE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parte de la Plataforma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1" w:name="_Toc525927502"/>
      <w:r>
        <w:rPr>
          <w:lang w:val="es-ES"/>
        </w:rPr>
        <w:t>MySQL</w:t>
      </w:r>
      <w:bookmarkEnd w:id="291"/>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0B56A82" w14:textId="6ED4B70E"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Finalmente, en el nivel de datos se usa MySQL, pues es una base de datos desarrollada bajo licencia GPL y es considerada una base de datos Open Source.</w:t>
      </w:r>
    </w:p>
    <w:p w14:paraId="717F8021" w14:textId="52E2821C"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56A64D6E" w14:textId="2D5D8653"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 xml:space="preserve">Es un sistema de gestión de bases de datos relacional desarrollado bajo licencia dual GPL/Licencia comercial por Oracle </w:t>
      </w:r>
      <w:proofErr w:type="spellStart"/>
      <w:r w:rsidRPr="003260E8">
        <w:rPr>
          <w:rFonts w:ascii="Times New Roman" w:eastAsia="Times New Roman" w:hAnsi="Times New Roman"/>
          <w:sz w:val="24"/>
          <w:szCs w:val="20"/>
          <w:lang w:eastAsia="es-ES"/>
        </w:rPr>
        <w:t>Corporation</w:t>
      </w:r>
      <w:proofErr w:type="spellEnd"/>
      <w:r w:rsidRPr="003260E8">
        <w:rPr>
          <w:rFonts w:ascii="Times New Roman" w:eastAsia="Times New Roman" w:hAnsi="Times New Roman"/>
          <w:sz w:val="24"/>
          <w:szCs w:val="20"/>
          <w:lang w:eastAsia="es-ES"/>
        </w:rPr>
        <w:t xml:space="preserve"> y está considerada como la base datos open source más popular del mundo, y una de las más populares en general junto a Oracle y Microsoft SQL Server, sobre todo para entornos de desarrollo web. MySQL es usado por muchos sitios web grandes y populares, como Wikipedia, Google (aunque no para búsquedas), Facebook, Twitter, </w:t>
      </w:r>
      <w:proofErr w:type="spellStart"/>
      <w:r w:rsidRPr="003260E8">
        <w:rPr>
          <w:rFonts w:ascii="Times New Roman" w:eastAsia="Times New Roman" w:hAnsi="Times New Roman"/>
          <w:sz w:val="24"/>
          <w:szCs w:val="20"/>
          <w:lang w:eastAsia="es-ES"/>
        </w:rPr>
        <w:t>Flickr</w:t>
      </w:r>
      <w:proofErr w:type="spellEnd"/>
      <w:r w:rsidRPr="003260E8">
        <w:rPr>
          <w:rFonts w:ascii="Times New Roman" w:eastAsia="Times New Roman" w:hAnsi="Times New Roman"/>
          <w:sz w:val="24"/>
          <w:szCs w:val="20"/>
          <w:lang w:eastAsia="es-ES"/>
        </w:rPr>
        <w:t>, y YouTube.</w:t>
      </w:r>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2" w:name="_Toc525927503"/>
      <w:r>
        <w:rPr>
          <w:lang w:val="es-ES"/>
        </w:rPr>
        <w:t>Metodología a seguir</w:t>
      </w:r>
      <w:bookmarkEnd w:id="292"/>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34E6A029"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bookmarkStart w:id="293" w:name="_GoBack"/>
      <w:bookmarkEnd w:id="293"/>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r w:rsidRPr="000C5552">
        <w:rPr>
          <w:rFonts w:ascii="Times New Roman" w:eastAsia="Times New Roman" w:hAnsi="Times New Roman"/>
          <w:b/>
          <w:sz w:val="24"/>
          <w:szCs w:val="20"/>
          <w:lang w:eastAsia="es-ES"/>
        </w:rPr>
        <w:t>Construcción:</w:t>
      </w: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44B6135B" w14:textId="34124761"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51A8273D" w14:textId="5435393C"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530C0DB9" w14:textId="1D7DAA87"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903BA55" w14:textId="692CB055"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27594CD" w14:textId="390B587A"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034E233B" w14:textId="0F0CC87F"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8745FA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3AB20F8" w14:textId="59EDFD6E" w:rsidR="003260E8" w:rsidRPr="003260E8" w:rsidRDefault="003260E8" w:rsidP="003260E8">
      <w:pPr>
        <w:rPr>
          <w:lang w:val="es-ES"/>
        </w:rPr>
      </w:pPr>
    </w:p>
    <w:p w14:paraId="0B140374" w14:textId="77777777" w:rsidR="00A07A73" w:rsidRP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25927504"/>
      <w:r w:rsidRPr="00EE4B29">
        <w:lastRenderedPageBreak/>
        <w:t>CAPITULO V. APORTE PRÁCTICO</w:t>
      </w:r>
      <w:bookmarkEnd w:id="294"/>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96590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CE2C36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6E258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6A3466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0CF94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682267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0941E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032CD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5" w:name="_Toc525927505"/>
      <w:r w:rsidRPr="00EE4B29">
        <w:lastRenderedPageBreak/>
        <w:t>CAPITULO VI. CONCLUSIONES Y RECOMENDACIONES</w:t>
      </w:r>
      <w:bookmarkEnd w:id="295"/>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6"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6"/>
        </w:p>
        <w:p w14:paraId="2A340FF6" w14:textId="77777777" w:rsidR="00253AEC" w:rsidRPr="00253AEC" w:rsidRDefault="00253AEC" w:rsidP="002502BB">
          <w:pPr>
            <w:jc w:val="left"/>
            <w:rPr>
              <w:lang w:val="es-ES" w:eastAsia="es-ES"/>
            </w:rPr>
          </w:pPr>
        </w:p>
        <w:sdt>
          <w:sdtPr>
            <w:id w:val="-1008364052"/>
            <w:bibliography/>
          </w:sdtPr>
          <w:sdtContent>
            <w:p w14:paraId="2A5516F4" w14:textId="77777777" w:rsidR="00B26557" w:rsidRPr="00304A10" w:rsidRDefault="00253AEC" w:rsidP="00304A10">
              <w:pPr>
                <w:pStyle w:val="Bibliografa"/>
                <w:ind w:left="720" w:hanging="720"/>
                <w:jc w:val="left"/>
                <w:rPr>
                  <w:rFonts w:ascii="Times New Roman" w:hAnsi="Times New Roman"/>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B26557" w:rsidRPr="00304A10">
                <w:rPr>
                  <w:rFonts w:ascii="Times New Roman" w:hAnsi="Times New Roman"/>
                  <w:noProof/>
                  <w:sz w:val="24"/>
                  <w:szCs w:val="24"/>
                </w:rPr>
                <w:t xml:space="preserve">Alejaldre, L., &amp; García, A. M. (2015). Gamificar: El uso de los elementos del juegos en la enseñanza de español. </w:t>
              </w:r>
              <w:r w:rsidR="00B26557" w:rsidRPr="00304A10">
                <w:rPr>
                  <w:rFonts w:ascii="Times New Roman" w:hAnsi="Times New Roman"/>
                  <w:i/>
                  <w:iCs/>
                  <w:noProof/>
                  <w:sz w:val="24"/>
                  <w:szCs w:val="24"/>
                </w:rPr>
                <w:t>L Congreso. La culturan hispánica: de sus orígenes al siglo XXI</w:t>
              </w:r>
              <w:r w:rsidR="00B26557" w:rsidRPr="00304A10">
                <w:rPr>
                  <w:rFonts w:ascii="Times New Roman" w:hAnsi="Times New Roman"/>
                  <w:noProof/>
                  <w:sz w:val="24"/>
                  <w:szCs w:val="24"/>
                </w:rPr>
                <w:t>, (págs. 73-83). Burgos.</w:t>
              </w:r>
            </w:p>
            <w:p w14:paraId="1D5E462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Aliño Santiago, M., López Esquirol, J., &amp; Navarro Fernández, R. (2006). Adolescencia. Aspectos generales y atención a la salud. </w:t>
              </w:r>
              <w:r w:rsidRPr="00304A10">
                <w:rPr>
                  <w:rFonts w:ascii="Times New Roman" w:hAnsi="Times New Roman"/>
                  <w:i/>
                  <w:iCs/>
                  <w:noProof/>
                  <w:sz w:val="24"/>
                  <w:szCs w:val="24"/>
                </w:rPr>
                <w:t>Revista Cubana de Medicina General Integral</w:t>
              </w:r>
              <w:r w:rsidRPr="00304A10">
                <w:rPr>
                  <w:rFonts w:ascii="Times New Roman" w:hAnsi="Times New Roman"/>
                  <w:noProof/>
                  <w:sz w:val="24"/>
                  <w:szCs w:val="24"/>
                </w:rPr>
                <w:t>.</w:t>
              </w:r>
            </w:p>
            <w:p w14:paraId="44B6839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Benjet, C., Méndez, E., Borges, G., &amp; Medina-Mora, M. E. (2012). Epidemiología de los trastornos de la conducta alimentaria en una muestra representativa de adolescentes. </w:t>
              </w:r>
              <w:r w:rsidRPr="00304A10">
                <w:rPr>
                  <w:rFonts w:ascii="Times New Roman" w:hAnsi="Times New Roman"/>
                  <w:i/>
                  <w:iCs/>
                  <w:noProof/>
                  <w:sz w:val="24"/>
                  <w:szCs w:val="24"/>
                </w:rPr>
                <w:t>Salud Mental</w:t>
              </w:r>
              <w:r w:rsidRPr="00304A10">
                <w:rPr>
                  <w:rFonts w:ascii="Times New Roman" w:hAnsi="Times New Roman"/>
                  <w:noProof/>
                  <w:sz w:val="24"/>
                  <w:szCs w:val="24"/>
                </w:rPr>
                <w:t>, 483-490.</w:t>
              </w:r>
            </w:p>
            <w:p w14:paraId="28E2F28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BioBioChile. (2014). </w:t>
              </w:r>
              <w:r w:rsidRPr="00304A10">
                <w:rPr>
                  <w:rFonts w:ascii="Times New Roman" w:hAnsi="Times New Roman"/>
                  <w:i/>
                  <w:iCs/>
                  <w:noProof/>
                  <w:sz w:val="24"/>
                  <w:szCs w:val="24"/>
                </w:rPr>
                <w:t>Las nefastas consecuencias de los trastornos alimenticios</w:t>
              </w:r>
              <w:r w:rsidRPr="00304A10">
                <w:rPr>
                  <w:rFonts w:ascii="Times New Roman" w:hAnsi="Times New Roman"/>
                  <w:noProof/>
                  <w:sz w:val="24"/>
                  <w:szCs w:val="24"/>
                </w:rPr>
                <w:t>. Obtenido de https://www.biobiochile.cl/noticias/2014/06/07/las-nefastas-consecuencias-de-los-trastornos-alimenticios.shtml</w:t>
              </w:r>
            </w:p>
            <w:p w14:paraId="257EE12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105-112.</w:t>
              </w:r>
            </w:p>
            <w:p w14:paraId="0F8FC91E"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sidRPr="00304A10">
                <w:rPr>
                  <w:rFonts w:ascii="Times New Roman" w:hAnsi="Times New Roman"/>
                  <w:i/>
                  <w:iCs/>
                  <w:noProof/>
                  <w:sz w:val="24"/>
                  <w:szCs w:val="24"/>
                </w:rPr>
                <w:t>Atención Primaria</w:t>
              </w:r>
              <w:r w:rsidRPr="00304A10">
                <w:rPr>
                  <w:rFonts w:ascii="Times New Roman" w:hAnsi="Times New Roman"/>
                  <w:noProof/>
                  <w:sz w:val="24"/>
                  <w:szCs w:val="24"/>
                </w:rPr>
                <w:t>, 206-213.</w:t>
              </w:r>
            </w:p>
            <w:p w14:paraId="1A234FB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Cuenca, R. (2013). La escuela pública en Lima Metropolitana. ¿Una institución en extinción? </w:t>
              </w:r>
              <w:r w:rsidRPr="00304A10">
                <w:rPr>
                  <w:rFonts w:ascii="Times New Roman" w:hAnsi="Times New Roman"/>
                  <w:i/>
                  <w:iCs/>
                  <w:noProof/>
                  <w:sz w:val="24"/>
                  <w:szCs w:val="24"/>
                </w:rPr>
                <w:t>Revista Peruana de Investigación Educativa</w:t>
              </w:r>
              <w:r w:rsidRPr="00304A10">
                <w:rPr>
                  <w:rFonts w:ascii="Times New Roman" w:hAnsi="Times New Roman"/>
                  <w:noProof/>
                  <w:sz w:val="24"/>
                  <w:szCs w:val="24"/>
                </w:rPr>
                <w:t>(5), 73-98.</w:t>
              </w:r>
            </w:p>
            <w:p w14:paraId="57B66584"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García-Campayo, J., Cebolla, A., &amp; Baños, R. (2014). Trastornos de conducta alimentaria y atención primaria: el desafío de las nuevas tecnologías. </w:t>
              </w:r>
              <w:r w:rsidRPr="00304A10">
                <w:rPr>
                  <w:rFonts w:ascii="Times New Roman" w:hAnsi="Times New Roman"/>
                  <w:i/>
                  <w:iCs/>
                  <w:noProof/>
                  <w:sz w:val="24"/>
                  <w:szCs w:val="24"/>
                </w:rPr>
                <w:t>Atención Primaria</w:t>
              </w:r>
              <w:r w:rsidRPr="00304A10">
                <w:rPr>
                  <w:rFonts w:ascii="Times New Roman" w:hAnsi="Times New Roman"/>
                  <w:noProof/>
                  <w:sz w:val="24"/>
                  <w:szCs w:val="24"/>
                </w:rPr>
                <w:t>, 229-230.</w:t>
              </w:r>
            </w:p>
            <w:p w14:paraId="0B6155B8"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Garita-Araya, R. A. (2013). Tecnología Móvil: desarrollo de sistemas y aplicaciones para las Unidades de Información. </w:t>
              </w:r>
              <w:r w:rsidRPr="00304A10">
                <w:rPr>
                  <w:rFonts w:ascii="Times New Roman" w:hAnsi="Times New Roman"/>
                  <w:i/>
                  <w:iCs/>
                  <w:noProof/>
                  <w:sz w:val="24"/>
                  <w:szCs w:val="24"/>
                </w:rPr>
                <w:t>E-Ciencias de la Información</w:t>
              </w:r>
              <w:r w:rsidRPr="00304A10">
                <w:rPr>
                  <w:rFonts w:ascii="Times New Roman" w:hAnsi="Times New Roman"/>
                  <w:noProof/>
                  <w:sz w:val="24"/>
                  <w:szCs w:val="24"/>
                </w:rPr>
                <w:t>, 1-14.</w:t>
              </w:r>
            </w:p>
            <w:p w14:paraId="30222260"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lastRenderedPageBreak/>
                <w:t xml:space="preserve">Grande, M., Cañon, R., &amp; Cantón, I. (2016). Tecnologías de la información y la comunicación: Evolución del concepto y características. </w:t>
              </w:r>
              <w:r w:rsidRPr="00304A10">
                <w:rPr>
                  <w:rFonts w:ascii="Times New Roman" w:hAnsi="Times New Roman"/>
                  <w:i/>
                  <w:iCs/>
                  <w:noProof/>
                  <w:sz w:val="24"/>
                  <w:szCs w:val="24"/>
                  <w:lang w:val="en-US"/>
                </w:rPr>
                <w:t>International Journal of Educational Research an Innovation</w:t>
              </w:r>
              <w:r w:rsidRPr="00304A10">
                <w:rPr>
                  <w:rFonts w:ascii="Times New Roman" w:hAnsi="Times New Roman"/>
                  <w:noProof/>
                  <w:sz w:val="24"/>
                  <w:szCs w:val="24"/>
                  <w:lang w:val="en-US"/>
                </w:rPr>
                <w:t>, 2018-230.</w:t>
              </w:r>
            </w:p>
            <w:p w14:paraId="288D8F0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Haberer, J. E., Trabin, T., &amp; Klinkman, M. (2013). </w:t>
              </w:r>
              <w:r w:rsidRPr="00304A10">
                <w:rPr>
                  <w:rFonts w:ascii="Times New Roman" w:hAnsi="Times New Roman"/>
                  <w:noProof/>
                  <w:sz w:val="24"/>
                  <w:szCs w:val="24"/>
                </w:rPr>
                <w:t xml:space="preserve">Fomentando la medición confiable y válida de exámenes, diagnósticos, tratamientos y resultados de salud mental a través de la tecnología de información de salud. </w:t>
              </w:r>
              <w:r w:rsidRPr="00304A10">
                <w:rPr>
                  <w:rFonts w:ascii="Times New Roman" w:hAnsi="Times New Roman"/>
                  <w:i/>
                  <w:iCs/>
                  <w:noProof/>
                  <w:sz w:val="24"/>
                  <w:szCs w:val="24"/>
                </w:rPr>
                <w:t>General Hospital Psychiatry</w:t>
              </w:r>
              <w:r w:rsidRPr="00304A10">
                <w:rPr>
                  <w:rFonts w:ascii="Times New Roman" w:hAnsi="Times New Roman"/>
                  <w:noProof/>
                  <w:sz w:val="24"/>
                  <w:szCs w:val="24"/>
                </w:rPr>
                <w:t>, 349-353.</w:t>
              </w:r>
            </w:p>
            <w:p w14:paraId="59B3A979"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Iñarritu, M., Cruz, V., &amp; Morán, I. (2004). Instrumentos de Evaluación para los Trastornos de la Conducta Alimentaria. </w:t>
              </w:r>
              <w:r w:rsidRPr="00304A10">
                <w:rPr>
                  <w:rFonts w:ascii="Times New Roman" w:hAnsi="Times New Roman"/>
                  <w:i/>
                  <w:iCs/>
                  <w:noProof/>
                  <w:sz w:val="24"/>
                  <w:szCs w:val="24"/>
                </w:rPr>
                <w:t>Revista de Salud Pública y Nutrición, 5</w:t>
              </w:r>
              <w:r w:rsidRPr="00304A10">
                <w:rPr>
                  <w:rFonts w:ascii="Times New Roman" w:hAnsi="Times New Roman"/>
                  <w:noProof/>
                  <w:sz w:val="24"/>
                  <w:szCs w:val="24"/>
                </w:rPr>
                <w:t>(2).</w:t>
              </w:r>
            </w:p>
            <w:p w14:paraId="5C7962D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La Nación. (2016). </w:t>
              </w:r>
              <w:r w:rsidRPr="00304A10">
                <w:rPr>
                  <w:rFonts w:ascii="Times New Roman" w:hAnsi="Times New Roman"/>
                  <w:i/>
                  <w:iCs/>
                  <w:noProof/>
                  <w:sz w:val="24"/>
                  <w:szCs w:val="24"/>
                </w:rPr>
                <w:t>Más de la mitad de escolares y colegiales ticos están descontentos con su cuerpo</w:t>
              </w:r>
              <w:r w:rsidRPr="00304A10">
                <w:rPr>
                  <w:rFonts w:ascii="Times New Roman" w:hAnsi="Times New Roman"/>
                  <w:noProof/>
                  <w:sz w:val="24"/>
                  <w:szCs w:val="24"/>
                </w:rPr>
                <w:t>. Obtenido de https://www.nacion.com/ciencia/salud/mas-de-la-mitad-de-escolares-y-colegiales-ticos-estan-descontentos-con-su-cuerpo/LJUSAF5SHJANFMZAETSZU4AL2I/story/</w:t>
              </w:r>
            </w:p>
            <w:p w14:paraId="37D0E04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Manrique, S. (2014). </w:t>
              </w:r>
              <w:r w:rsidRPr="00304A10">
                <w:rPr>
                  <w:rFonts w:ascii="Times New Roman" w:hAnsi="Times New Roman"/>
                  <w:i/>
                  <w:iCs/>
                  <w:noProof/>
                  <w:sz w:val="24"/>
                  <w:szCs w:val="24"/>
                </w:rPr>
                <w:t>Estudio revela riesgo de anorexia nerviosa en adolescentes ticas</w:t>
              </w:r>
              <w:r w:rsidRPr="00304A10">
                <w:rPr>
                  <w:rFonts w:ascii="Times New Roman" w:hAnsi="Times New Roman"/>
                  <w:noProof/>
                  <w:sz w:val="24"/>
                  <w:szCs w:val="24"/>
                </w:rPr>
                <w:t>. Obtenido de Universidad de Costa Rica: https://vinv.ucr.ac.cr/es/noticias/estudio-revela-riesgo-de-anorexia-nerviosa-en-adolescentes-ticas</w:t>
              </w:r>
            </w:p>
            <w:p w14:paraId="6339541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Mendez, J. P., Vásquez-Velazquez, V., &amp; García-García, E. (2008). Los trastornos de la conducta alimentaria. </w:t>
              </w:r>
              <w:r w:rsidRPr="00304A10">
                <w:rPr>
                  <w:rFonts w:ascii="Times New Roman" w:hAnsi="Times New Roman"/>
                  <w:i/>
                  <w:iCs/>
                  <w:noProof/>
                  <w:sz w:val="24"/>
                  <w:szCs w:val="24"/>
                </w:rPr>
                <w:t>Boletín médico del Hospital Infantil de México</w:t>
              </w:r>
              <w:r w:rsidRPr="00304A10">
                <w:rPr>
                  <w:rFonts w:ascii="Times New Roman" w:hAnsi="Times New Roman"/>
                  <w:noProof/>
                  <w:sz w:val="24"/>
                  <w:szCs w:val="24"/>
                </w:rPr>
                <w:t>, 579-592.</w:t>
              </w:r>
            </w:p>
            <w:p w14:paraId="295BF5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2. Definición y clasificación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23-32.</w:t>
              </w:r>
            </w:p>
            <w:p w14:paraId="47D52035"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Anexo 2. Criterios diagnósticos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157-163.</w:t>
              </w:r>
            </w:p>
            <w:p w14:paraId="5641705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MINSA. (2017). </w:t>
              </w:r>
              <w:r w:rsidRPr="00304A10">
                <w:rPr>
                  <w:rFonts w:ascii="Times New Roman" w:hAnsi="Times New Roman"/>
                  <w:i/>
                  <w:iCs/>
                  <w:noProof/>
                  <w:sz w:val="24"/>
                  <w:szCs w:val="24"/>
                </w:rPr>
                <w:t>Situación de Salud de los Adolescentes y Jóvenes en el Perú.</w:t>
              </w:r>
              <w:r w:rsidRPr="00304A10">
                <w:rPr>
                  <w:rFonts w:ascii="Times New Roman" w:hAnsi="Times New Roman"/>
                  <w:noProof/>
                  <w:sz w:val="24"/>
                  <w:szCs w:val="24"/>
                </w:rPr>
                <w:t xml:space="preserve"> SINCO Diseño E.I.R.L.</w:t>
              </w:r>
            </w:p>
            <w:p w14:paraId="277F805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Pastor Sanchez, J. (2013). </w:t>
              </w:r>
              <w:r w:rsidRPr="00304A10">
                <w:rPr>
                  <w:rFonts w:ascii="Times New Roman" w:hAnsi="Times New Roman"/>
                  <w:i/>
                  <w:iCs/>
                  <w:noProof/>
                  <w:sz w:val="24"/>
                  <w:szCs w:val="24"/>
                </w:rPr>
                <w:t>Tecnologías de la Web Semántica.</w:t>
              </w:r>
              <w:r w:rsidRPr="00304A10">
                <w:rPr>
                  <w:rFonts w:ascii="Times New Roman" w:hAnsi="Times New Roman"/>
                  <w:noProof/>
                  <w:sz w:val="24"/>
                  <w:szCs w:val="24"/>
                </w:rPr>
                <w:t xml:space="preserve"> UOC.</w:t>
              </w:r>
            </w:p>
            <w:p w14:paraId="616B4F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Perú21. (2014). </w:t>
              </w:r>
              <w:r w:rsidRPr="00304A10">
                <w:rPr>
                  <w:rFonts w:ascii="Times New Roman" w:hAnsi="Times New Roman"/>
                  <w:i/>
                  <w:iCs/>
                  <w:noProof/>
                  <w:sz w:val="24"/>
                  <w:szCs w:val="24"/>
                </w:rPr>
                <w:t>Preocupante: Hay más de 500 casos de bulimia y de anorexia en el Perú</w:t>
              </w:r>
              <w:r w:rsidRPr="00304A10">
                <w:rPr>
                  <w:rFonts w:ascii="Times New Roman" w:hAnsi="Times New Roman"/>
                  <w:noProof/>
                  <w:sz w:val="24"/>
                  <w:szCs w:val="24"/>
                </w:rPr>
                <w:t>. Obtenido de https://peru21.pe/lima/preocupante-hay-500-casos-bulimia-anorexia-peru-179481</w:t>
              </w:r>
            </w:p>
            <w:p w14:paraId="6CC5014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Portela de Santana, M., da Costa Ribeiro, J., Mora Giral, M., &amp; Raich, R. (2012). La epidemiología y los factores de riesgo de los trastornos alimentarios en la adolescencia; una revisión. </w:t>
              </w:r>
              <w:r w:rsidRPr="00304A10">
                <w:rPr>
                  <w:rFonts w:ascii="Times New Roman" w:hAnsi="Times New Roman"/>
                  <w:i/>
                  <w:iCs/>
                  <w:noProof/>
                  <w:sz w:val="24"/>
                  <w:szCs w:val="24"/>
                </w:rPr>
                <w:t>Nutrición Hospitalaria</w:t>
              </w:r>
              <w:r w:rsidRPr="00304A10">
                <w:rPr>
                  <w:rFonts w:ascii="Times New Roman" w:hAnsi="Times New Roman"/>
                  <w:noProof/>
                  <w:sz w:val="24"/>
                  <w:szCs w:val="24"/>
                </w:rPr>
                <w:t>, 391-401.</w:t>
              </w:r>
            </w:p>
            <w:p w14:paraId="5CCE491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lastRenderedPageBreak/>
                <w:t xml:space="preserve">Rutsztein, G., Scappatura, M., &amp; Murawski, B. (2014). Perfeccionismo y baja autoestima en el continuo de los trastornos alimentarios en las adolescentes de Buenos Aires.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39-49.</w:t>
              </w:r>
            </w:p>
            <w:p w14:paraId="70D805B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Santamaría-Puerto, G., &amp; Hernández-Rincón, E. (2015). Aplicaciones Médicas Móviles: definiciones, beneficios y riesgos. </w:t>
              </w:r>
              <w:r w:rsidRPr="00304A10">
                <w:rPr>
                  <w:rFonts w:ascii="Times New Roman" w:hAnsi="Times New Roman"/>
                  <w:i/>
                  <w:iCs/>
                  <w:noProof/>
                  <w:sz w:val="24"/>
                  <w:szCs w:val="24"/>
                </w:rPr>
                <w:t>Salud Uninorte</w:t>
              </w:r>
              <w:r w:rsidRPr="00304A10">
                <w:rPr>
                  <w:rFonts w:ascii="Times New Roman" w:hAnsi="Times New Roman"/>
                  <w:noProof/>
                  <w:sz w:val="24"/>
                  <w:szCs w:val="24"/>
                </w:rPr>
                <w:t>, 599-607.</w:t>
              </w:r>
            </w:p>
            <w:p w14:paraId="2A61684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 &amp; González Alcántara, K. E.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75EA10E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&amp; Gonzáles Alcántara, K.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2F968492"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t xml:space="preserve">UNICEF. (2011). </w:t>
              </w:r>
              <w:r w:rsidRPr="00304A10">
                <w:rPr>
                  <w:rFonts w:ascii="Times New Roman" w:hAnsi="Times New Roman"/>
                  <w:i/>
                  <w:iCs/>
                  <w:noProof/>
                  <w:sz w:val="24"/>
                  <w:szCs w:val="24"/>
                </w:rPr>
                <w:t>La adolescencia. Una época de oportunidades.</w:t>
              </w:r>
              <w:r w:rsidRPr="00304A10">
                <w:rPr>
                  <w:rFonts w:ascii="Times New Roman" w:hAnsi="Times New Roman"/>
                  <w:noProof/>
                  <w:sz w:val="24"/>
                  <w:szCs w:val="24"/>
                </w:rPr>
                <w:t xml:space="preserve"> </w:t>
              </w:r>
              <w:r w:rsidRPr="00304A10">
                <w:rPr>
                  <w:rFonts w:ascii="Times New Roman" w:hAnsi="Times New Roman"/>
                  <w:noProof/>
                  <w:sz w:val="24"/>
                  <w:szCs w:val="24"/>
                  <w:lang w:val="en-US"/>
                </w:rPr>
                <w:t>Hatteras Press .</w:t>
              </w:r>
            </w:p>
            <w:p w14:paraId="3C68A03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Vargas, M. J. (2013). </w:t>
              </w:r>
              <w:r w:rsidRPr="00304A10">
                <w:rPr>
                  <w:rFonts w:ascii="Times New Roman" w:hAnsi="Times New Roman"/>
                  <w:noProof/>
                  <w:sz w:val="24"/>
                  <w:szCs w:val="24"/>
                </w:rPr>
                <w:t xml:space="preserve">Trastornos de la conducta alimentaria. </w:t>
              </w:r>
              <w:r w:rsidRPr="00304A10">
                <w:rPr>
                  <w:rFonts w:ascii="Times New Roman" w:hAnsi="Times New Roman"/>
                  <w:i/>
                  <w:iCs/>
                  <w:noProof/>
                  <w:sz w:val="24"/>
                  <w:szCs w:val="24"/>
                </w:rPr>
                <w:t>Revista Médica de Costa Rica y Centroamérica LXX</w:t>
              </w:r>
              <w:r w:rsidRPr="00304A10">
                <w:rPr>
                  <w:rFonts w:ascii="Times New Roman" w:hAnsi="Times New Roman"/>
                  <w:noProof/>
                  <w:sz w:val="24"/>
                  <w:szCs w:val="24"/>
                </w:rPr>
                <w:t>, 475-482.</w:t>
              </w:r>
            </w:p>
            <w:p w14:paraId="14D658C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Wood, L., &amp; Reiners, T. (2015). Gamification. En M. Khosrow-Pour, </w:t>
              </w:r>
              <w:r w:rsidRPr="00304A10">
                <w:rPr>
                  <w:rFonts w:ascii="Times New Roman" w:hAnsi="Times New Roman"/>
                  <w:i/>
                  <w:iCs/>
                  <w:noProof/>
                  <w:sz w:val="24"/>
                  <w:szCs w:val="24"/>
                  <w:lang w:val="en-US"/>
                </w:rPr>
                <w:t>Encyclopedia of Information Science and Technology</w:t>
              </w:r>
              <w:r w:rsidRPr="00304A10">
                <w:rPr>
                  <w:rFonts w:ascii="Times New Roman" w:hAnsi="Times New Roman"/>
                  <w:noProof/>
                  <w:sz w:val="24"/>
                  <w:szCs w:val="24"/>
                  <w:lang w:val="en-US"/>
                </w:rPr>
                <w:t xml:space="preserve"> (págs. </w:t>
              </w:r>
              <w:r w:rsidRPr="00304A10">
                <w:rPr>
                  <w:rFonts w:ascii="Times New Roman" w:hAnsi="Times New Roman"/>
                  <w:noProof/>
                  <w:sz w:val="24"/>
                  <w:szCs w:val="24"/>
                </w:rPr>
                <w:t>3039-3047).</w:t>
              </w:r>
            </w:p>
            <w:p w14:paraId="7E17E5F6" w14:textId="77777777" w:rsidR="00253AEC" w:rsidRDefault="00253AEC" w:rsidP="00304A10">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CCA5F" w14:textId="77777777" w:rsidR="00FF7AD8" w:rsidRDefault="00FF7AD8" w:rsidP="00E3466F">
      <w:pPr>
        <w:spacing w:after="0" w:line="240" w:lineRule="auto"/>
      </w:pPr>
      <w:r>
        <w:separator/>
      </w:r>
    </w:p>
  </w:endnote>
  <w:endnote w:type="continuationSeparator" w:id="0">
    <w:p w14:paraId="65AF10E6" w14:textId="77777777" w:rsidR="00FF7AD8" w:rsidRDefault="00FF7AD8"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15EFDE27" w:rsidR="00144502" w:rsidRDefault="00144502">
        <w:pPr>
          <w:pStyle w:val="Piedepgina"/>
          <w:jc w:val="right"/>
        </w:pPr>
        <w:r>
          <w:fldChar w:fldCharType="begin"/>
        </w:r>
        <w:r>
          <w:instrText>PAGE   \* MERGEFORMAT</w:instrText>
        </w:r>
        <w:r>
          <w:fldChar w:fldCharType="separate"/>
        </w:r>
        <w:r w:rsidR="00896184" w:rsidRPr="00896184">
          <w:rPr>
            <w:noProof/>
            <w:lang w:val="es-ES"/>
          </w:rPr>
          <w:t>47</w:t>
        </w:r>
        <w:r>
          <w:fldChar w:fldCharType="end"/>
        </w:r>
      </w:p>
    </w:sdtContent>
  </w:sdt>
  <w:p w14:paraId="1CDEC65F" w14:textId="77777777" w:rsidR="00144502" w:rsidRDefault="0014450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C6B7D" w14:textId="77777777" w:rsidR="00FF7AD8" w:rsidRDefault="00FF7AD8" w:rsidP="00E3466F">
      <w:pPr>
        <w:spacing w:after="0" w:line="240" w:lineRule="auto"/>
      </w:pPr>
      <w:r>
        <w:separator/>
      </w:r>
    </w:p>
  </w:footnote>
  <w:footnote w:type="continuationSeparator" w:id="0">
    <w:p w14:paraId="300CF8D3" w14:textId="77777777" w:rsidR="00FF7AD8" w:rsidRDefault="00FF7AD8"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44B7"/>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81A9B"/>
    <w:rsid w:val="00E83A44"/>
    <w:rsid w:val="00E8449D"/>
    <w:rsid w:val="00E86A53"/>
    <w:rsid w:val="00E879FC"/>
    <w:rsid w:val="00E9137E"/>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20</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22</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23</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24</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25</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26</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27</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28</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s>
</file>

<file path=customXml/itemProps1.xml><?xml version="1.0" encoding="utf-8"?>
<ds:datastoreItem xmlns:ds="http://schemas.openxmlformats.org/officeDocument/2006/customXml" ds:itemID="{F2537371-21B8-4E3C-B296-75CA5E03B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1</Pages>
  <Words>15444</Words>
  <Characters>88034</Characters>
  <Application>Microsoft Office Word</Application>
  <DocSecurity>0</DocSecurity>
  <Lines>733</Lines>
  <Paragraphs>206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103272</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123</cp:revision>
  <cp:lastPrinted>2013-11-20T23:54:00Z</cp:lastPrinted>
  <dcterms:created xsi:type="dcterms:W3CDTF">2018-07-04T05:07:00Z</dcterms:created>
  <dcterms:modified xsi:type="dcterms:W3CDTF">2018-10-11T05:27:00Z</dcterms:modified>
</cp:coreProperties>
</file>