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53373E" w:rsidRDefault="0037411C" w:rsidP="005337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53373E" w:rsidRPr="0053373E">
        <w:rPr>
          <w:rFonts w:ascii="Times New Roman" w:hAnsi="Times New Roman"/>
          <w:b/>
          <w:color w:val="000000"/>
          <w:sz w:val="30"/>
          <w:szCs w:val="30"/>
        </w:rPr>
        <w:lastRenderedPageBreak/>
        <w:t>LISTA DE ILUSTRACIONES</w:t>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DE46C0" w:rsidRDefault="001624E1">
      <w:pPr>
        <w:pStyle w:val="Tabladeilustraciones"/>
        <w:tabs>
          <w:tab w:val="right" w:leader="dot" w:pos="8828"/>
        </w:tabs>
        <w:rPr>
          <w:rFonts w:asciiTheme="minorHAnsi" w:eastAsiaTheme="minorEastAsia" w:hAnsiTheme="minorHAnsi" w:cstheme="minorBidi"/>
          <w:noProof/>
          <w:lang w:val="en-US"/>
        </w:rPr>
      </w:pPr>
      <w:r>
        <w:rPr>
          <w:rFonts w:ascii="Times New Roman" w:hAnsi="Times New Roman"/>
          <w:b/>
          <w:color w:val="000000"/>
          <w:sz w:val="30"/>
          <w:szCs w:val="30"/>
        </w:rPr>
        <w:fldChar w:fldCharType="begin"/>
      </w:r>
      <w:r>
        <w:rPr>
          <w:rFonts w:ascii="Times New Roman" w:hAnsi="Times New Roman"/>
          <w:b/>
          <w:color w:val="000000"/>
          <w:sz w:val="30"/>
          <w:szCs w:val="30"/>
        </w:rPr>
        <w:instrText xml:space="preserve"> TOC \p " " \h \z \c "Ilustración" </w:instrText>
      </w:r>
      <w:r>
        <w:rPr>
          <w:rFonts w:ascii="Times New Roman" w:hAnsi="Times New Roman"/>
          <w:b/>
          <w:color w:val="000000"/>
          <w:sz w:val="30"/>
          <w:szCs w:val="30"/>
        </w:rPr>
        <w:fldChar w:fldCharType="separate"/>
      </w:r>
      <w:hyperlink w:anchor="_Toc517648303" w:history="1">
        <w:r w:rsidR="00DE46C0" w:rsidRPr="008E3B92">
          <w:rPr>
            <w:rStyle w:val="Hipervnculo"/>
            <w:noProof/>
          </w:rPr>
          <w:t>Ilustración 1. Esquema general del estudio. Diseño del estudio observacional de validación del EAT-26.</w:t>
        </w:r>
        <w:r w:rsidR="00DE46C0">
          <w:rPr>
            <w:noProof/>
            <w:webHidden/>
          </w:rPr>
          <w:t xml:space="preserve"> </w:t>
        </w:r>
        <w:r w:rsidR="00DE46C0">
          <w:rPr>
            <w:noProof/>
            <w:webHidden/>
          </w:rPr>
          <w:fldChar w:fldCharType="begin"/>
        </w:r>
        <w:r w:rsidR="00DE46C0">
          <w:rPr>
            <w:noProof/>
            <w:webHidden/>
          </w:rPr>
          <w:instrText xml:space="preserve"> PAGEREF _Toc517648303 \h </w:instrText>
        </w:r>
        <w:r w:rsidR="00DE46C0">
          <w:rPr>
            <w:noProof/>
            <w:webHidden/>
          </w:rPr>
        </w:r>
        <w:r w:rsidR="00DE46C0">
          <w:rPr>
            <w:noProof/>
            <w:webHidden/>
          </w:rPr>
          <w:fldChar w:fldCharType="separate"/>
        </w:r>
        <w:r w:rsidR="00DE46C0">
          <w:rPr>
            <w:noProof/>
            <w:webHidden/>
          </w:rPr>
          <w:t>30</w:t>
        </w:r>
        <w:r w:rsidR="00DE46C0">
          <w:rPr>
            <w:noProof/>
            <w:webHidden/>
          </w:rPr>
          <w:fldChar w:fldCharType="end"/>
        </w:r>
      </w:hyperlink>
    </w:p>
    <w:p w:rsidR="00DE46C0" w:rsidRDefault="00DE46C0">
      <w:pPr>
        <w:pStyle w:val="Tabladeilustraciones"/>
        <w:tabs>
          <w:tab w:val="right" w:leader="dot" w:pos="8828"/>
        </w:tabs>
        <w:rPr>
          <w:rFonts w:asciiTheme="minorHAnsi" w:eastAsiaTheme="minorEastAsia" w:hAnsiTheme="minorHAnsi" w:cstheme="minorBidi"/>
          <w:noProof/>
          <w:lang w:val="en-US"/>
        </w:rPr>
      </w:pPr>
      <w:hyperlink w:anchor="_Toc517648304" w:history="1">
        <w:r w:rsidRPr="008E3B92">
          <w:rPr>
            <w:rStyle w:val="Hipervnculo"/>
            <w:noProof/>
          </w:rPr>
          <w:t>Ilustración 2. Conformación de grupos en la muestra.</w:t>
        </w:r>
        <w:r>
          <w:rPr>
            <w:noProof/>
            <w:webHidden/>
          </w:rPr>
          <w:t xml:space="preserve"> </w:t>
        </w:r>
        <w:r>
          <w:rPr>
            <w:noProof/>
            <w:webHidden/>
          </w:rPr>
          <w:fldChar w:fldCharType="begin"/>
        </w:r>
        <w:r>
          <w:rPr>
            <w:noProof/>
            <w:webHidden/>
          </w:rPr>
          <w:instrText xml:space="preserve"> PAGEREF _Toc517648304 \h </w:instrText>
        </w:r>
        <w:r>
          <w:rPr>
            <w:noProof/>
            <w:webHidden/>
          </w:rPr>
        </w:r>
        <w:r>
          <w:rPr>
            <w:noProof/>
            <w:webHidden/>
          </w:rPr>
          <w:fldChar w:fldCharType="separate"/>
        </w:r>
        <w:r>
          <w:rPr>
            <w:noProof/>
            <w:webHidden/>
          </w:rPr>
          <w:t>32</w:t>
        </w:r>
        <w:r>
          <w:rPr>
            <w:noProof/>
            <w:webHidden/>
          </w:rPr>
          <w:fldChar w:fldCharType="end"/>
        </w:r>
      </w:hyperlink>
    </w:p>
    <w:p w:rsidR="00DE46C0" w:rsidRDefault="00DE46C0">
      <w:pPr>
        <w:pStyle w:val="Tabladeilustraciones"/>
        <w:tabs>
          <w:tab w:val="right" w:leader="dot" w:pos="8828"/>
        </w:tabs>
        <w:rPr>
          <w:rFonts w:asciiTheme="minorHAnsi" w:eastAsiaTheme="minorEastAsia" w:hAnsiTheme="minorHAnsi" w:cstheme="minorBidi"/>
          <w:noProof/>
          <w:lang w:val="en-US"/>
        </w:rPr>
      </w:pPr>
      <w:hyperlink w:anchor="_Toc517648305" w:history="1">
        <w:r w:rsidRPr="008E3B92">
          <w:rPr>
            <w:rStyle w:val="Hipervnculo"/>
            <w:noProof/>
          </w:rPr>
          <w:t>Ilustración 3. Distribución del IMC.</w:t>
        </w:r>
        <w:r>
          <w:rPr>
            <w:noProof/>
            <w:webHidden/>
          </w:rPr>
          <w:t xml:space="preserve"> </w:t>
        </w:r>
        <w:r>
          <w:rPr>
            <w:noProof/>
            <w:webHidden/>
          </w:rPr>
          <w:fldChar w:fldCharType="begin"/>
        </w:r>
        <w:r>
          <w:rPr>
            <w:noProof/>
            <w:webHidden/>
          </w:rPr>
          <w:instrText xml:space="preserve"> PAGEREF _Toc517648305 \h </w:instrText>
        </w:r>
        <w:r>
          <w:rPr>
            <w:noProof/>
            <w:webHidden/>
          </w:rPr>
        </w:r>
        <w:r>
          <w:rPr>
            <w:noProof/>
            <w:webHidden/>
          </w:rPr>
          <w:fldChar w:fldCharType="separate"/>
        </w:r>
        <w:r>
          <w:rPr>
            <w:noProof/>
            <w:webHidden/>
          </w:rPr>
          <w:t>33</w:t>
        </w:r>
        <w:r>
          <w:rPr>
            <w:noProof/>
            <w:webHidden/>
          </w:rPr>
          <w:fldChar w:fldCharType="end"/>
        </w:r>
      </w:hyperlink>
    </w:p>
    <w:p w:rsidR="0053373E" w:rsidRDefault="001624E1" w:rsidP="0053373E">
      <w:pPr>
        <w:autoSpaceDE w:val="0"/>
        <w:autoSpaceDN w:val="0"/>
        <w:adjustRightInd w:val="0"/>
        <w:spacing w:after="0" w:line="240" w:lineRule="auto"/>
        <w:jc w:val="both"/>
        <w:rPr>
          <w:rFonts w:ascii="Times New Roman" w:hAnsi="Times New Roman"/>
          <w:b/>
          <w:color w:val="000000"/>
          <w:sz w:val="30"/>
          <w:szCs w:val="30"/>
        </w:rPr>
      </w:pPr>
      <w:r>
        <w:rPr>
          <w:rFonts w:ascii="Times New Roman" w:hAnsi="Times New Roman"/>
          <w:b/>
          <w:color w:val="000000"/>
          <w:sz w:val="30"/>
          <w:szCs w:val="30"/>
        </w:rPr>
        <w:fldChar w:fldCharType="end"/>
      </w:r>
    </w:p>
    <w:p w:rsidR="0053373E" w:rsidRDefault="0053373E" w:rsidP="0053373E">
      <w:pPr>
        <w:autoSpaceDE w:val="0"/>
        <w:autoSpaceDN w:val="0"/>
        <w:adjustRightInd w:val="0"/>
        <w:spacing w:after="0" w:line="240" w:lineRule="auto"/>
        <w:rPr>
          <w:rFonts w:ascii="Times New Roman" w:hAnsi="Times New Roman"/>
          <w:b/>
          <w:color w:val="000000"/>
          <w:sz w:val="30"/>
          <w:szCs w:val="30"/>
        </w:rPr>
      </w:pPr>
    </w:p>
    <w:p w:rsidR="0053373E" w:rsidRDefault="0053373E" w:rsidP="0053373E">
      <w:pPr>
        <w:autoSpaceDE w:val="0"/>
        <w:autoSpaceDN w:val="0"/>
        <w:adjustRightInd w:val="0"/>
        <w:spacing w:after="0" w:line="240" w:lineRule="auto"/>
        <w:rPr>
          <w:rFonts w:ascii="Times New Roman" w:hAnsi="Times New Roman"/>
          <w:color w:val="000000"/>
          <w:sz w:val="30"/>
          <w:szCs w:val="30"/>
        </w:rPr>
      </w:pPr>
      <w:bookmarkStart w:id="0" w:name="_GoBack"/>
      <w:bookmarkEnd w:id="0"/>
      <w:r>
        <w:rPr>
          <w:rFonts w:ascii="Times New Roman" w:hAnsi="Times New Roman"/>
          <w:color w:val="000000"/>
          <w:sz w:val="30"/>
          <w:szCs w:val="30"/>
        </w:rPr>
        <w:br w:type="page"/>
      </w:r>
    </w:p>
    <w:p w:rsidR="00EF23BB" w:rsidRDefault="001624E1"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 xml:space="preserve">se pueda detectar la tendencia </w:t>
      </w:r>
      <w:r w:rsidR="00D83595">
        <w:rPr>
          <w:rFonts w:ascii="Times New Roman" w:hAnsi="Times New Roman"/>
          <w:color w:val="000000"/>
          <w:sz w:val="24"/>
          <w:szCs w:val="24"/>
          <w:lang w:val="es-ES"/>
        </w:rPr>
        <w:lastRenderedPageBreak/>
        <w:t>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DE46C0" w:rsidRPr="00DE46C0">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Pr="006F1B47"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DE46C0">
            <w:rPr>
              <w:rFonts w:ascii="Times New Roman" w:hAnsi="Times New Roman"/>
              <w:bCs/>
              <w:noProof/>
              <w:color w:val="000000"/>
              <w:sz w:val="24"/>
              <w:szCs w:val="24"/>
            </w:rPr>
            <w:t xml:space="preserve"> </w:t>
          </w:r>
          <w:r w:rsidR="00DE46C0" w:rsidRPr="00DE46C0">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BF4F69"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BF4F69">
        <w:rPr>
          <w:rFonts w:ascii="Times New Roman" w:hAnsi="Times New Roman"/>
          <w:bCs/>
          <w:color w:val="000000"/>
          <w:sz w:val="24"/>
          <w:szCs w:val="24"/>
        </w:rPr>
        <w:t xml:space="preserve">Tecnología </w:t>
      </w:r>
      <w:r w:rsidR="00732FD0" w:rsidRPr="00BF4F69">
        <w:rPr>
          <w:rFonts w:ascii="Times New Roman" w:hAnsi="Times New Roman"/>
          <w:bCs/>
          <w:color w:val="000000"/>
          <w:sz w:val="24"/>
          <w:szCs w:val="24"/>
        </w:rPr>
        <w:t>web</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La introducción de internet en todos los ámbitos de nuestra sociedad, más allá del uso científico o académico, solo fue cuestión de tiempo y revolucionó el panorama anteriormente descrito. Las aplicaciones como el correo electrónico o la web, han tomado tanto peso que el desarrollo de contenidos digitales en línea, las redes sociales, los servicios de banca online o la Administración electrónica se han impensables sin esas herramientas. Como consecuencia, la web se ha convertido en un instrumento de uso cotidiano para el intercambio de información en nuestra sociedad, llegando a superar a medios como la televisión, y se ha constituido, junto con el papel, en uno de los medios de publicación más importante en la sociedad actual. Por tanto, la web actual, ha evolucionado hacia usos que han trascendido la </w:t>
      </w:r>
      <w:r>
        <w:rPr>
          <w:rFonts w:ascii="Times New Roman" w:hAnsi="Times New Roman"/>
          <w:bCs/>
          <w:color w:val="000000"/>
          <w:sz w:val="24"/>
          <w:szCs w:val="24"/>
        </w:rPr>
        <w:lastRenderedPageBreak/>
        <w:t xml:space="preserve">idea original de Tim Berners-Lee. Ya no estamos hablando de sistemas para publicar y comunicar resultados de experimentos y trabajos de investigación. </w:t>
      </w: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Los usuarios han comenzado a interactuar con la web más allá de la búsqueda y consulta de información. La idea fundamental ahora se centra en establecer redes o comunidades de usuarios que trabajos con una serie de servicios basados en aplicaciones web. Esto fomenta la colaboración para difundir e intercambiar información de forma rápida y sencilla. </w:t>
      </w:r>
      <w:sdt>
        <w:sdtPr>
          <w:rPr>
            <w:rFonts w:ascii="Times New Roman" w:hAnsi="Times New Roman"/>
            <w:bCs/>
            <w:color w:val="000000"/>
            <w:sz w:val="24"/>
            <w:szCs w:val="24"/>
          </w:rPr>
          <w:id w:val="-260772096"/>
          <w:citation/>
        </w:sdtPr>
        <w:sdtContent>
          <w:r>
            <w:rPr>
              <w:rFonts w:ascii="Times New Roman" w:hAnsi="Times New Roman"/>
              <w:bCs/>
              <w:color w:val="000000"/>
              <w:sz w:val="24"/>
              <w:szCs w:val="24"/>
            </w:rPr>
            <w:fldChar w:fldCharType="begin"/>
          </w:r>
          <w:r w:rsidR="0033148B">
            <w:rPr>
              <w:rFonts w:ascii="Times New Roman" w:hAnsi="Times New Roman"/>
              <w:bCs/>
              <w:color w:val="000000"/>
              <w:sz w:val="24"/>
              <w:szCs w:val="24"/>
            </w:rPr>
            <w:instrText xml:space="preserve">CITATION Pas11 \l 10250 </w:instrText>
          </w:r>
          <w:r>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(Pastor Sanchez, 2013)</w:t>
          </w:r>
          <w:r>
            <w:rPr>
              <w:rFonts w:ascii="Times New Roman" w:hAnsi="Times New Roman"/>
              <w:bCs/>
              <w:color w:val="000000"/>
              <w:sz w:val="24"/>
              <w:szCs w:val="24"/>
            </w:rPr>
            <w:fldChar w:fldCharType="end"/>
          </w:r>
        </w:sdtContent>
      </w:sdt>
    </w:p>
    <w:p w:rsidR="00732FD0" w:rsidRDefault="00732FD0" w:rsidP="00DD35A0">
      <w:pPr>
        <w:autoSpaceDE w:val="0"/>
        <w:autoSpaceDN w:val="0"/>
        <w:adjustRightInd w:val="0"/>
        <w:spacing w:after="0" w:line="240" w:lineRule="auto"/>
        <w:ind w:left="720"/>
        <w:jc w:val="both"/>
        <w:rPr>
          <w:rFonts w:ascii="Times New Roman" w:hAnsi="Times New Roman"/>
          <w:bCs/>
          <w:color w:val="000000"/>
          <w:sz w:val="24"/>
          <w:szCs w:val="24"/>
        </w:rPr>
      </w:pP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mismo, las TIC han variado con el</w:t>
      </w:r>
      <w:r w:rsidRPr="0033148B">
        <w:rPr>
          <w:rFonts w:ascii="Times New Roman" w:hAnsi="Times New Roman"/>
          <w:bCs/>
          <w:color w:val="000000"/>
          <w:sz w:val="24"/>
          <w:szCs w:val="24"/>
        </w:rPr>
        <w:t xml:space="preserve"> tiempo, debido a los rápidos avances que se suceden. Esto es consecuencia de los desarrollos tecnológicos e</w:t>
      </w:r>
      <w:r>
        <w:rPr>
          <w:rFonts w:ascii="Times New Roman" w:hAnsi="Times New Roman"/>
          <w:bCs/>
          <w:color w:val="000000"/>
          <w:sz w:val="24"/>
          <w:szCs w:val="24"/>
        </w:rPr>
        <w:t xml:space="preserve">n </w:t>
      </w:r>
      <w:r w:rsidRPr="0033148B">
        <w:rPr>
          <w:rFonts w:ascii="Times New Roman" w:hAnsi="Times New Roman"/>
          <w:bCs/>
          <w:color w:val="000000"/>
          <w:sz w:val="24"/>
          <w:szCs w:val="24"/>
        </w:rPr>
        <w:t>los máximos representantes</w:t>
      </w:r>
      <w:r>
        <w:rPr>
          <w:rFonts w:ascii="Times New Roman" w:hAnsi="Times New Roman"/>
          <w:bCs/>
          <w:color w:val="000000"/>
          <w:sz w:val="24"/>
          <w:szCs w:val="24"/>
        </w:rPr>
        <w:t xml:space="preserve"> de las TIC: </w:t>
      </w:r>
      <w:r w:rsidRPr="0033148B">
        <w:rPr>
          <w:rFonts w:ascii="Times New Roman" w:hAnsi="Times New Roman"/>
          <w:bCs/>
          <w:color w:val="000000"/>
          <w:sz w:val="24"/>
          <w:szCs w:val="24"/>
        </w:rPr>
        <w:t>los ordenadores</w:t>
      </w:r>
      <w:r>
        <w:rPr>
          <w:rFonts w:ascii="Times New Roman" w:hAnsi="Times New Roman"/>
          <w:bCs/>
          <w:color w:val="000000"/>
          <w:sz w:val="24"/>
          <w:szCs w:val="24"/>
        </w:rPr>
        <w:t xml:space="preserve">, </w:t>
      </w:r>
      <w:r w:rsidRPr="0033148B">
        <w:rPr>
          <w:rFonts w:ascii="Times New Roman" w:hAnsi="Times New Roman"/>
          <w:bCs/>
          <w:color w:val="000000"/>
          <w:sz w:val="24"/>
          <w:szCs w:val="24"/>
        </w:rPr>
        <w:t>la informática, Internet y los Smartphone</w:t>
      </w:r>
      <w:r>
        <w:rPr>
          <w:rFonts w:ascii="Times New Roman" w:hAnsi="Times New Roman"/>
          <w:bCs/>
          <w:color w:val="000000"/>
          <w:sz w:val="24"/>
          <w:szCs w:val="24"/>
        </w:rPr>
        <w:t>.</w:t>
      </w:r>
      <w:r w:rsidRPr="0033148B">
        <w:rPr>
          <w:rFonts w:ascii="Times New Roman" w:hAnsi="Times New Roman"/>
          <w:bCs/>
          <w:color w:val="000000"/>
          <w:sz w:val="24"/>
          <w:szCs w:val="24"/>
        </w:rPr>
        <w:t xml:space="preserve"> Su impacto social actual es innegable.  </w:t>
      </w:r>
    </w:p>
    <w:p w:rsidR="0033148B" w:rsidRPr="0033148B"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w:t>
      </w:r>
      <w:r w:rsidRPr="0033148B">
        <w:rPr>
          <w:rFonts w:ascii="Times New Roman" w:hAnsi="Times New Roman"/>
          <w:bCs/>
          <w:color w:val="000000"/>
          <w:sz w:val="24"/>
          <w:szCs w:val="24"/>
        </w:rPr>
        <w:t xml:space="preserve"> características de estas tecnologías van</w:t>
      </w:r>
      <w:r>
        <w:rPr>
          <w:rFonts w:ascii="Times New Roman" w:hAnsi="Times New Roman"/>
          <w:bCs/>
          <w:color w:val="000000"/>
          <w:sz w:val="24"/>
          <w:szCs w:val="24"/>
        </w:rPr>
        <w:t xml:space="preserve"> cobrando diferentes grados</w:t>
      </w:r>
      <w:r w:rsidRPr="0033148B">
        <w:rPr>
          <w:rFonts w:ascii="Times New Roman" w:hAnsi="Times New Roman"/>
          <w:bCs/>
          <w:color w:val="000000"/>
          <w:sz w:val="24"/>
          <w:szCs w:val="24"/>
        </w:rPr>
        <w:t xml:space="preserve"> de protagonismo con el paso del tiempo y en estos últimos años destacan las</w:t>
      </w:r>
      <w:r>
        <w:rPr>
          <w:rFonts w:ascii="Times New Roman" w:hAnsi="Times New Roman"/>
          <w:bCs/>
          <w:color w:val="000000"/>
          <w:sz w:val="24"/>
          <w:szCs w:val="24"/>
        </w:rPr>
        <w:t xml:space="preserve"> siguientes:  instantaneidad, interactividad, interconexión y diversidad, sin   que </w:t>
      </w:r>
      <w:r w:rsidRPr="0033148B">
        <w:rPr>
          <w:rFonts w:ascii="Times New Roman" w:hAnsi="Times New Roman"/>
          <w:bCs/>
          <w:color w:val="000000"/>
          <w:sz w:val="24"/>
          <w:szCs w:val="24"/>
        </w:rPr>
        <w:t xml:space="preserve">  por    e</w:t>
      </w:r>
      <w:r>
        <w:rPr>
          <w:rFonts w:ascii="Times New Roman" w:hAnsi="Times New Roman"/>
          <w:bCs/>
          <w:color w:val="000000"/>
          <w:sz w:val="24"/>
          <w:szCs w:val="24"/>
        </w:rPr>
        <w:t>llo desaparezca otras características</w:t>
      </w:r>
      <w:r w:rsidRPr="0033148B">
        <w:rPr>
          <w:rFonts w:ascii="Times New Roman" w:hAnsi="Times New Roman"/>
          <w:bCs/>
          <w:color w:val="000000"/>
          <w:sz w:val="24"/>
          <w:szCs w:val="24"/>
        </w:rPr>
        <w:t xml:space="preserve"> que podemos considerar básicas o fundamentales.</w:t>
      </w:r>
    </w:p>
    <w:p w:rsidR="00732FD0" w:rsidRDefault="0033148B" w:rsidP="0033148B">
      <w:pPr>
        <w:autoSpaceDE w:val="0"/>
        <w:autoSpaceDN w:val="0"/>
        <w:adjustRightInd w:val="0"/>
        <w:spacing w:after="0" w:line="240" w:lineRule="auto"/>
        <w:ind w:left="720"/>
        <w:jc w:val="both"/>
        <w:rPr>
          <w:rFonts w:ascii="Times New Roman" w:hAnsi="Times New Roman"/>
          <w:bCs/>
          <w:color w:val="000000"/>
          <w:sz w:val="24"/>
          <w:szCs w:val="24"/>
        </w:rPr>
      </w:pPr>
      <w:r w:rsidRPr="0033148B">
        <w:rPr>
          <w:rFonts w:ascii="Times New Roman" w:hAnsi="Times New Roman"/>
          <w:bCs/>
          <w:color w:val="000000"/>
          <w:sz w:val="24"/>
          <w:szCs w:val="24"/>
        </w:rPr>
        <w:t xml:space="preserve">Quizá lo más destacable en esta evolución sea su amplificación de uso, de ramificación y de desarrollo.  En este sentido es reseñable que la evolución diacrónica va pasando de la mera recepción, información y almacenamiento, a la transformación de lo recibido para generar un conocimiento nuevo:  gestión de la </w:t>
      </w:r>
      <w:r>
        <w:rPr>
          <w:rFonts w:ascii="Times New Roman" w:hAnsi="Times New Roman"/>
          <w:bCs/>
          <w:color w:val="000000"/>
          <w:sz w:val="24"/>
          <w:szCs w:val="24"/>
        </w:rPr>
        <w:t>información</w:t>
      </w:r>
      <w:r w:rsidRPr="0033148B">
        <w:rPr>
          <w:rFonts w:ascii="Times New Roman" w:hAnsi="Times New Roman"/>
          <w:bCs/>
          <w:color w:val="000000"/>
          <w:sz w:val="24"/>
          <w:szCs w:val="24"/>
        </w:rPr>
        <w:t xml:space="preserve"> </w:t>
      </w:r>
      <w:r>
        <w:rPr>
          <w:rFonts w:ascii="Times New Roman" w:hAnsi="Times New Roman"/>
          <w:bCs/>
          <w:color w:val="000000"/>
          <w:sz w:val="24"/>
          <w:szCs w:val="24"/>
        </w:rPr>
        <w:t>y</w:t>
      </w:r>
      <w:r w:rsidRPr="0033148B">
        <w:rPr>
          <w:rFonts w:ascii="Times New Roman" w:hAnsi="Times New Roman"/>
          <w:bCs/>
          <w:color w:val="000000"/>
          <w:sz w:val="24"/>
          <w:szCs w:val="24"/>
        </w:rPr>
        <w:t xml:space="preserve"> del conocimiento.  Esta es la línea prospectiva que nos ofrece la dimensión evolutiva de las TIC: desde la Web 1.0 a la Web Social 2.0 y posteriormente a la llamada Web Inteligen</w:t>
      </w:r>
      <w:r>
        <w:rPr>
          <w:rFonts w:ascii="Times New Roman" w:hAnsi="Times New Roman"/>
          <w:bCs/>
          <w:color w:val="000000"/>
          <w:sz w:val="24"/>
          <w:szCs w:val="24"/>
        </w:rPr>
        <w:t>t</w:t>
      </w:r>
      <w:r w:rsidRPr="0033148B">
        <w:rPr>
          <w:rFonts w:ascii="Times New Roman" w:hAnsi="Times New Roman"/>
          <w:bCs/>
          <w:color w:val="000000"/>
          <w:sz w:val="24"/>
          <w:szCs w:val="24"/>
        </w:rPr>
        <w:t>e</w:t>
      </w:r>
      <w:r w:rsidR="00BF4F69">
        <w:rPr>
          <w:rFonts w:ascii="Times New Roman" w:hAnsi="Times New Roman"/>
          <w:bCs/>
          <w:color w:val="000000"/>
          <w:sz w:val="24"/>
          <w:szCs w:val="24"/>
        </w:rPr>
        <w:t xml:space="preserve">. </w:t>
      </w:r>
      <w:sdt>
        <w:sdtPr>
          <w:rPr>
            <w:rFonts w:ascii="Times New Roman" w:hAnsi="Times New Roman"/>
            <w:bCs/>
            <w:color w:val="000000"/>
            <w:sz w:val="24"/>
            <w:szCs w:val="24"/>
          </w:rPr>
          <w:id w:val="-1447534765"/>
          <w:citation/>
        </w:sdtPr>
        <w:sdtContent>
          <w:r w:rsidR="00BF4F69">
            <w:rPr>
              <w:rFonts w:ascii="Times New Roman" w:hAnsi="Times New Roman"/>
              <w:bCs/>
              <w:color w:val="000000"/>
              <w:sz w:val="24"/>
              <w:szCs w:val="24"/>
            </w:rPr>
            <w:fldChar w:fldCharType="begin"/>
          </w:r>
          <w:r w:rsidR="00BF4F69">
            <w:rPr>
              <w:rFonts w:ascii="Times New Roman" w:hAnsi="Times New Roman"/>
              <w:bCs/>
              <w:color w:val="000000"/>
              <w:sz w:val="24"/>
              <w:szCs w:val="24"/>
            </w:rPr>
            <w:instrText xml:space="preserve"> CITATION Gra16 \l 10250 </w:instrText>
          </w:r>
          <w:r w:rsidR="00BF4F69">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(Grande, Cañon, &amp; Cantón, 2016)</w:t>
          </w:r>
          <w:r w:rsidR="00BF4F69">
            <w:rPr>
              <w:rFonts w:ascii="Times New Roman" w:hAnsi="Times New Roman"/>
              <w:bCs/>
              <w:color w:val="000000"/>
              <w:sz w:val="24"/>
              <w:szCs w:val="24"/>
            </w:rPr>
            <w:fldChar w:fldCharType="end"/>
          </w:r>
        </w:sdtContent>
      </w:sdt>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B22414" w:rsidRDefault="00B22414" w:rsidP="00B22414">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sidRPr="00515337">
        <w:rPr>
          <w:rFonts w:ascii="Times New Roman" w:hAnsi="Times New Roman"/>
          <w:bCs/>
          <w:color w:val="000000"/>
          <w:sz w:val="24"/>
          <w:szCs w:val="24"/>
        </w:rPr>
        <w:t>estructuradas, los cuales son los principales instrumentos para la evaluación de los TCA, además existen otras mediciones relacionadas</w:t>
      </w:r>
      <w:r w:rsidR="00515337">
        <w:rPr>
          <w:rFonts w:ascii="Times New Roman" w:hAnsi="Times New Roman"/>
          <w:bCs/>
          <w:color w:val="000000"/>
          <w:sz w:val="24"/>
          <w:szCs w:val="24"/>
        </w:rPr>
        <w:t xml:space="preserve"> como puede ser la preocupación por la imagen corporal, el índice de masa corporal, la ingesta dietética, entre otras.</w:t>
      </w:r>
    </w:p>
    <w:p w:rsidR="00515337" w:rsidRDefault="00515337" w:rsidP="00B22414">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515337" w:rsidP="00E978E9">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cuestionarios aut</w:t>
      </w:r>
      <w:r w:rsidR="00D06D86">
        <w:rPr>
          <w:rFonts w:ascii="Times New Roman" w:hAnsi="Times New Roman"/>
          <w:bCs/>
          <w:color w:val="000000"/>
          <w:sz w:val="24"/>
          <w:szCs w:val="24"/>
        </w:rPr>
        <w:t>o</w:t>
      </w:r>
      <w:r>
        <w:rPr>
          <w:rFonts w:ascii="Times New Roman" w:hAnsi="Times New Roman"/>
          <w:bCs/>
          <w:color w:val="000000"/>
          <w:sz w:val="24"/>
          <w:szCs w:val="24"/>
        </w:rPr>
        <w:t xml:space="preserve">aplicados </w:t>
      </w:r>
      <w:r w:rsidR="00D06D86">
        <w:rPr>
          <w:rFonts w:ascii="Times New Roman" w:hAnsi="Times New Roman"/>
          <w:bCs/>
          <w:color w:val="000000"/>
          <w:sz w:val="24"/>
          <w:szCs w:val="24"/>
        </w:rPr>
        <w:t xml:space="preserve">ayudan a reportar síntomas o conductas de riesgo ante la posible presencia de un TCA; si bien no dan un diagnóstico especifico del trastorno que se tenga, la puntuación que obtenga el individuo mediante el cuestionario podría indicar la presencia de algún trastorno alimenticio y por ello es necesario verificar </w:t>
      </w:r>
      <w:r w:rsidR="00932AFC" w:rsidRPr="00932AFC">
        <w:rPr>
          <w:rFonts w:ascii="Times New Roman" w:hAnsi="Times New Roman"/>
          <w:bCs/>
          <w:color w:val="000000"/>
          <w:sz w:val="24"/>
          <w:szCs w:val="24"/>
        </w:rPr>
        <w:t>el diagnóstico por medio de entrevistas estructuradas. Las entrevistas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estructuradas son más precisas para evaluar un TCA, ya que pueden definirse los diferentes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conceptos de cada pregunta; sin embargo, tienen la desventaja de necesitar entrevistadores</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entrenados debiéndose aplicar individualmente y, por consiguiente, aumento en el costo y en el</w:t>
      </w:r>
      <w:r w:rsidR="00932AFC">
        <w:rPr>
          <w:rFonts w:ascii="Times New Roman" w:hAnsi="Times New Roman"/>
          <w:bCs/>
          <w:color w:val="000000"/>
          <w:sz w:val="24"/>
          <w:szCs w:val="24"/>
        </w:rPr>
        <w:t xml:space="preserve"> tiempo. </w:t>
      </w:r>
      <w:r w:rsidR="00932AFC" w:rsidRPr="00932AFC">
        <w:rPr>
          <w:rFonts w:ascii="Times New Roman" w:hAnsi="Times New Roman"/>
          <w:bCs/>
          <w:color w:val="000000"/>
          <w:sz w:val="24"/>
          <w:szCs w:val="24"/>
        </w:rPr>
        <w:t>Mientras que los cuestionarios autoaplicados son relativamente económicos, consumen</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menos tiempo y pueden aplicarse a grupos grandes de personas; sin embargo, existe mayor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 xml:space="preserve">dificultad en </w:t>
      </w:r>
      <w:r w:rsidR="00932AFC" w:rsidRPr="00932AFC">
        <w:rPr>
          <w:rFonts w:ascii="Times New Roman" w:hAnsi="Times New Roman"/>
          <w:bCs/>
          <w:color w:val="000000"/>
          <w:sz w:val="24"/>
          <w:szCs w:val="24"/>
        </w:rPr>
        <w:lastRenderedPageBreak/>
        <w:t>cuanto a la definición e interpretación de los conceptos, por lo que hay que tener</w:t>
      </w:r>
      <w:r w:rsidR="00932AFC">
        <w:rPr>
          <w:rFonts w:ascii="Times New Roman" w:hAnsi="Times New Roman"/>
          <w:bCs/>
          <w:color w:val="000000"/>
          <w:sz w:val="24"/>
          <w:szCs w:val="24"/>
        </w:rPr>
        <w:t xml:space="preserve"> </w:t>
      </w:r>
      <w:r w:rsidR="00932AFC" w:rsidRPr="00932AFC">
        <w:rPr>
          <w:rFonts w:ascii="Times New Roman" w:hAnsi="Times New Roman"/>
          <w:bCs/>
          <w:color w:val="000000"/>
          <w:sz w:val="24"/>
          <w:szCs w:val="24"/>
        </w:rPr>
        <w:t>cautela en pretender generalizar los resultados.</w:t>
      </w:r>
    </w:p>
    <w:p w:rsidR="008A0CAF" w:rsidRDefault="008A0CAF" w:rsidP="008A0CAF">
      <w:pPr>
        <w:autoSpaceDE w:val="0"/>
        <w:autoSpaceDN w:val="0"/>
        <w:adjustRightInd w:val="0"/>
        <w:spacing w:after="0" w:line="240" w:lineRule="auto"/>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capacidad 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validado en mujeres mexicanas por </w:t>
      </w:r>
      <w:r w:rsidRPr="003F6E2C">
        <w:rPr>
          <w:rFonts w:ascii="Times New Roman" w:hAnsi="Times New Roman"/>
          <w:bCs/>
          <w:color w:val="000000"/>
          <w:sz w:val="24"/>
          <w:szCs w:val="24"/>
        </w:rPr>
        <w:lastRenderedPageBreak/>
        <w:t>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conciencia o identificación interoceptiva y miedo a 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posee mayor relevancia el valor cuantitativo de cada una de las ocho subescalas que la </w:t>
      </w:r>
      <w:r w:rsidRPr="00D36B1D">
        <w:rPr>
          <w:rFonts w:ascii="Times New Roman" w:hAnsi="Times New Roman"/>
          <w:bCs/>
          <w:color w:val="000000"/>
          <w:sz w:val="24"/>
          <w:szCs w:val="24"/>
        </w:rPr>
        <w:lastRenderedPageBreak/>
        <w:t>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sugiere que el EDI es capaz de discriminar entre individuos con TCA e individuos sin padecimientos psiquiátricos. Este cuestionario ha 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087277FC" wp14:editId="2A71B77E">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341EA6"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de élites. 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DE46C0" w:rsidRPr="00DE46C0">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6F1B47" w:rsidRPr="006F1B47" w:rsidRDefault="006F1B47" w:rsidP="006F1B47">
      <w:pPr>
        <w:pStyle w:val="Prrafodelista"/>
        <w:numPr>
          <w:ilvl w:val="0"/>
          <w:numId w:val="18"/>
        </w:num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Metodología aplicada</w:t>
      </w:r>
    </w:p>
    <w:p w:rsidR="006F1B47" w:rsidRDefault="006F1B4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6F1B47" w:rsidRPr="006F1B47" w:rsidRDefault="006F1B47"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//instrumentos que se aplicará, análisis estadísticos de los resultados obtenidos</w:t>
      </w: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65596F"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En este capítulo se pretende </w:t>
      </w:r>
      <w:r w:rsidR="00C26B66">
        <w:rPr>
          <w:rFonts w:ascii="Times New Roman" w:eastAsia="Times New Roman" w:hAnsi="Times New Roman"/>
          <w:sz w:val="24"/>
          <w:szCs w:val="20"/>
          <w:lang w:val="es-ES" w:eastAsia="es-ES"/>
        </w:rPr>
        <w:t>mostrar los aportes hechos por otros autores sobre el tema de trastornos alimenticios, y la solución que han brindado sobre este problema.</w:t>
      </w:r>
    </w:p>
    <w:p w:rsidR="00C26B66" w:rsidRDefault="00C26B66"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4E4020" w:rsidRPr="008C7E2F" w:rsidRDefault="008C7E2F"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8C7E2F">
        <w:rPr>
          <w:rFonts w:ascii="Times New Roman" w:eastAsia="Times New Roman" w:hAnsi="Times New Roman"/>
          <w:b/>
          <w:sz w:val="24"/>
          <w:szCs w:val="20"/>
          <w:lang w:val="es-ES" w:eastAsia="es-ES"/>
        </w:rPr>
        <w:t>Validez y utilidad diagnóstica de la escala Eating Attitudes Test-26 para la evaluación del riesgo de trastornos de la conducta alimentaria en población masculina de Medellín, Colombia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262715" w:rsidRPr="006811BD" w:rsidRDefault="00512B4B" w:rsidP="00512B4B">
      <w:pPr>
        <w:pStyle w:val="Prrafodelista"/>
        <w:autoSpaceDE w:val="0"/>
        <w:autoSpaceDN w:val="0"/>
        <w:adjustRightInd w:val="0"/>
        <w:spacing w:after="0" w:line="240" w:lineRule="auto"/>
        <w:jc w:val="both"/>
        <w:rPr>
          <w:rFonts w:ascii="Times New Roman" w:eastAsia="Times New Roman" w:hAnsi="Times New Roman"/>
          <w:i/>
          <w:sz w:val="24"/>
          <w:szCs w:val="20"/>
          <w:lang w:val="es-ES" w:eastAsia="es-ES"/>
        </w:rPr>
      </w:pPr>
      <w:r w:rsidRPr="006811BD">
        <w:rPr>
          <w:rFonts w:ascii="Times New Roman" w:eastAsia="Times New Roman" w:hAnsi="Times New Roman"/>
          <w:i/>
          <w:sz w:val="24"/>
          <w:szCs w:val="20"/>
          <w:lang w:val="es-ES" w:eastAsia="es-ES"/>
        </w:rPr>
        <w:t>Gustavo A. Constain, María de los Ángeles Rodríguez-Gázquez, Guillermo Andrés Ramírez Jiménez, Gloria María Gómez Vásquez, Laura Mejía Cardona y Jonathan Cardona Vélez (2016). Atención Primaria, 206-213. Colombia.</w:t>
      </w:r>
    </w:p>
    <w:p w:rsidR="00512B4B" w:rsidRPr="006811BD" w:rsidRDefault="00512B4B" w:rsidP="006811BD">
      <w:pPr>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Pr="00D6796C" w:rsidRDefault="00D6796C" w:rsidP="00D6796C">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trastornos de conducta alimentaria son condiciones crónicas severas asociadas a una alta comorbilidad psiquiátrica y con complicaciones médicas. Siendo la prevalencia para la aparición de TCA mayor en mujeres, pero se observa un incremento en adolescentes varones. </w:t>
      </w:r>
      <w:r w:rsidRPr="00D6796C">
        <w:rPr>
          <w:rFonts w:ascii="Times New Roman" w:eastAsia="Times New Roman" w:hAnsi="Times New Roman"/>
          <w:sz w:val="24"/>
          <w:szCs w:val="20"/>
          <w:lang w:val="es-ES" w:eastAsia="es-ES"/>
        </w:rPr>
        <w:t>Se considera que entre el 5 y el 15% de AN y BN, y el 40% de trastorno por atracón (TA) ocurre en niños y adultos varones.</w:t>
      </w:r>
    </w:p>
    <w:p w:rsidR="00D6796C" w:rsidRDefault="00D6796C"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D6796C"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Los TCA en varones tienen diagnósticos y tratamientos igual que en mujeres, pero muchas veces estos pasan desapercibidos y sin tratamiento, afectando la calidad de vida de la persona. </w:t>
      </w:r>
    </w:p>
    <w:p w:rsidR="0049284E" w:rsidRDefault="0049284E"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AE7106" w:rsidRPr="0085522F" w:rsidRDefault="0049284E" w:rsidP="008552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La mayoría de instrumentos para evaluar la presencia de TCA han sido diseñado para mujeres. El uso de escalas para identificar a las personas con riesgo contribuye al diagnóstico temprano y a desarrollar programas de prevención. Y precisamente, una de las escalas más utilizadas es el Eatin Attitudes Test, cuya versión reducida (ETA-26) tiene propiedades de confiabilidad y </w:t>
      </w:r>
      <w:r w:rsidR="0085522F">
        <w:rPr>
          <w:rFonts w:ascii="Times New Roman" w:eastAsia="Times New Roman" w:hAnsi="Times New Roman"/>
          <w:sz w:val="24"/>
          <w:szCs w:val="20"/>
          <w:lang w:val="es-ES" w:eastAsia="es-ES"/>
        </w:rPr>
        <w:t>validez para el cribado de TCA.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8C7E2F" w:rsidRDefault="008C7E2F" w:rsidP="008C7E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Aporte:</w:t>
      </w:r>
    </w:p>
    <w:p w:rsidR="008C7E2F" w:rsidRDefault="008C7E2F" w:rsidP="008C7E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522F" w:rsidRDefault="00AE7106"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La validación</w:t>
      </w:r>
      <w:r w:rsidR="0085522F">
        <w:rPr>
          <w:rFonts w:ascii="Times New Roman" w:eastAsia="Times New Roman" w:hAnsi="Times New Roman"/>
          <w:sz w:val="24"/>
          <w:szCs w:val="20"/>
          <w:lang w:val="es-ES" w:eastAsia="es-ES"/>
        </w:rPr>
        <w:t xml:space="preserve"> y utilidad diagnóstica</w:t>
      </w:r>
      <w:r>
        <w:rPr>
          <w:rFonts w:ascii="Times New Roman" w:eastAsia="Times New Roman" w:hAnsi="Times New Roman"/>
          <w:sz w:val="24"/>
          <w:szCs w:val="20"/>
          <w:lang w:val="es-ES" w:eastAsia="es-ES"/>
        </w:rPr>
        <w:t xml:space="preserve"> del EAT-26 para </w:t>
      </w:r>
      <w:r w:rsidR="0085522F">
        <w:rPr>
          <w:rFonts w:ascii="Times New Roman" w:eastAsia="Times New Roman" w:hAnsi="Times New Roman"/>
          <w:sz w:val="24"/>
          <w:szCs w:val="20"/>
          <w:lang w:val="es-ES" w:eastAsia="es-ES"/>
        </w:rPr>
        <w:t>la evaluación del riesgo de TCA</w:t>
      </w:r>
      <w:r>
        <w:rPr>
          <w:rFonts w:ascii="Times New Roman" w:eastAsia="Times New Roman" w:hAnsi="Times New Roman"/>
          <w:sz w:val="24"/>
          <w:szCs w:val="20"/>
          <w:lang w:val="es-ES" w:eastAsia="es-ES"/>
        </w:rPr>
        <w:t xml:space="preserve"> en</w:t>
      </w:r>
      <w:r w:rsidR="0085522F">
        <w:rPr>
          <w:rFonts w:ascii="Times New Roman" w:eastAsia="Times New Roman" w:hAnsi="Times New Roman"/>
          <w:sz w:val="24"/>
          <w:szCs w:val="20"/>
          <w:lang w:val="es-ES" w:eastAsia="es-ES"/>
        </w:rPr>
        <w:t xml:space="preserve"> la población masculina</w:t>
      </w:r>
      <w:r>
        <w:rPr>
          <w:rFonts w:ascii="Times New Roman" w:eastAsia="Times New Roman" w:hAnsi="Times New Roman"/>
          <w:sz w:val="24"/>
          <w:szCs w:val="20"/>
          <w:lang w:val="es-ES" w:eastAsia="es-ES"/>
        </w:rPr>
        <w:t xml:space="preserve">, </w:t>
      </w:r>
      <w:r w:rsidR="0085522F">
        <w:rPr>
          <w:rFonts w:ascii="Times New Roman" w:eastAsia="Times New Roman" w:hAnsi="Times New Roman"/>
          <w:sz w:val="24"/>
          <w:szCs w:val="20"/>
          <w:lang w:val="es-ES" w:eastAsia="es-ES"/>
        </w:rPr>
        <w:t>debido a que no se han encontrado publicaciones</w:t>
      </w:r>
      <w:r w:rsidR="00AA685A">
        <w:rPr>
          <w:rFonts w:ascii="Times New Roman" w:eastAsia="Times New Roman" w:hAnsi="Times New Roman"/>
          <w:sz w:val="24"/>
          <w:szCs w:val="20"/>
          <w:lang w:val="es-ES" w:eastAsia="es-ES"/>
        </w:rPr>
        <w:t xml:space="preserve"> similares</w:t>
      </w:r>
      <w:r w:rsidR="0085522F">
        <w:rPr>
          <w:rFonts w:ascii="Times New Roman" w:eastAsia="Times New Roman" w:hAnsi="Times New Roman"/>
          <w:sz w:val="24"/>
          <w:szCs w:val="20"/>
          <w:lang w:val="es-ES" w:eastAsia="es-ES"/>
        </w:rPr>
        <w:t>. Esta validación se justifica para conocer las diferencias de género y poder desarrollar constructos y modelos de riesgo específicos.</w:t>
      </w:r>
      <w:r w:rsidR="00AA685A">
        <w:rPr>
          <w:rFonts w:ascii="Times New Roman" w:eastAsia="Times New Roman" w:hAnsi="Times New Roman"/>
          <w:sz w:val="24"/>
          <w:szCs w:val="20"/>
          <w:lang w:val="es-ES" w:eastAsia="es-ES"/>
        </w:rPr>
        <w:t xml:space="preserve"> Además de un instrumento con excelentes valores de confiabilidad, sensibilidad y especificidad, que permite el cribado de hombres con edad igual o mayor a 14 años.  </w:t>
      </w:r>
    </w:p>
    <w:p w:rsidR="0085522F" w:rsidRDefault="0085522F" w:rsidP="0085522F">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C7E2F" w:rsidP="0085522F">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Metodología:</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B23FB9" w:rsidRPr="00B23FB9" w:rsidRDefault="00B23FB9" w:rsidP="00B23FB9">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val="es-ES" w:eastAsia="es-ES"/>
        </w:rPr>
        <w:t>El estudio observacional de validación de pruebas diagnósticas se realizó en v</w:t>
      </w:r>
      <w:r w:rsidRPr="00B23FB9">
        <w:rPr>
          <w:rFonts w:ascii="Times New Roman" w:eastAsia="Times New Roman" w:hAnsi="Times New Roman"/>
          <w:sz w:val="24"/>
          <w:szCs w:val="20"/>
          <w:lang w:val="es-ES" w:eastAsia="es-ES"/>
        </w:rPr>
        <w:t>eintiún hombres con edad</w:t>
      </w:r>
      <w:r>
        <w:rPr>
          <w:rFonts w:ascii="Times New Roman" w:eastAsia="Times New Roman" w:hAnsi="Times New Roman"/>
          <w:sz w:val="24"/>
          <w:szCs w:val="20"/>
          <w:lang w:val="es-ES" w:eastAsia="es-ES"/>
        </w:rPr>
        <w:t xml:space="preserve"> mayor o igual a 14 añ</w:t>
      </w:r>
      <w:r w:rsidRPr="00B23FB9">
        <w:rPr>
          <w:rFonts w:ascii="Times New Roman" w:eastAsia="Times New Roman" w:hAnsi="Times New Roman"/>
          <w:sz w:val="24"/>
          <w:szCs w:val="20"/>
          <w:lang w:val="es-ES" w:eastAsia="es-ES"/>
        </w:rPr>
        <w:t xml:space="preserve">os que cumplieran criterios DSM-IV-TR </w:t>
      </w:r>
      <w:r>
        <w:rPr>
          <w:rFonts w:ascii="Times New Roman" w:eastAsia="Times New Roman" w:hAnsi="Times New Roman"/>
          <w:sz w:val="24"/>
          <w:szCs w:val="20"/>
          <w:lang w:val="es-ES" w:eastAsia="es-ES"/>
        </w:rPr>
        <w:t xml:space="preserve">(American Psychiatric Association. </w:t>
      </w:r>
      <w:r w:rsidRPr="00B9466D">
        <w:rPr>
          <w:rFonts w:ascii="Times New Roman" w:eastAsia="Times New Roman" w:hAnsi="Times New Roman"/>
          <w:sz w:val="24"/>
          <w:szCs w:val="20"/>
          <w:lang w:eastAsia="es-ES"/>
        </w:rPr>
        <w:t xml:space="preserve">Diagnostic and Statistical Manual of Mental Disorders. </w:t>
      </w:r>
      <w:r w:rsidRPr="00B23FB9">
        <w:rPr>
          <w:rFonts w:ascii="Times New Roman" w:eastAsia="Times New Roman" w:hAnsi="Times New Roman"/>
          <w:sz w:val="24"/>
          <w:szCs w:val="20"/>
          <w:lang w:eastAsia="es-ES"/>
        </w:rPr>
        <w:t>Text Revision) para anorexia nerviosa, bulimia nerviosa y trastorno de alimentaci</w:t>
      </w:r>
      <w:r>
        <w:rPr>
          <w:rFonts w:ascii="Times New Roman" w:eastAsia="Times New Roman" w:hAnsi="Times New Roman"/>
          <w:sz w:val="24"/>
          <w:szCs w:val="20"/>
          <w:lang w:eastAsia="es-ES"/>
        </w:rPr>
        <w:t>ón no especificado</w:t>
      </w:r>
      <w:r w:rsidRPr="00B23FB9">
        <w:rPr>
          <w:rFonts w:ascii="Times New Roman" w:eastAsia="Times New Roman" w:hAnsi="Times New Roman"/>
          <w:sz w:val="24"/>
          <w:szCs w:val="20"/>
          <w:lang w:eastAsia="es-ES"/>
        </w:rPr>
        <w:t xml:space="preserve"> (</w:t>
      </w:r>
      <w:r>
        <w:rPr>
          <w:rFonts w:ascii="Times New Roman" w:eastAsia="Times New Roman" w:hAnsi="Times New Roman"/>
          <w:sz w:val="24"/>
          <w:szCs w:val="20"/>
          <w:lang w:eastAsia="es-ES"/>
        </w:rPr>
        <w:t>TANE</w:t>
      </w:r>
      <w:r w:rsidRPr="00B23FB9">
        <w:rPr>
          <w:rFonts w:ascii="Times New Roman" w:eastAsia="Times New Roman" w:hAnsi="Times New Roman"/>
          <w:sz w:val="24"/>
          <w:szCs w:val="20"/>
          <w:lang w:eastAsia="es-ES"/>
        </w:rPr>
        <w:t>), y 93 controles sin TCA.</w:t>
      </w:r>
    </w:p>
    <w:p w:rsidR="00B23FB9" w:rsidRPr="00B23FB9" w:rsidRDefault="00B23FB9"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254FC"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La muestra de casos fue por conveniencia y en controles, aleatoria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simple.</w:t>
      </w:r>
      <w:r w:rsidR="009254FC">
        <w:rPr>
          <w:rFonts w:ascii="Times New Roman" w:eastAsia="Times New Roman" w:hAnsi="Times New Roman"/>
          <w:sz w:val="24"/>
          <w:szCs w:val="20"/>
          <w:lang w:val="es-ES" w:eastAsia="es-ES"/>
        </w:rPr>
        <w:t xml:space="preserve"> Se comparó el “criterio de oro”</w:t>
      </w:r>
      <w:r w:rsidRPr="00F7430B">
        <w:rPr>
          <w:rFonts w:ascii="Times New Roman" w:eastAsia="Times New Roman" w:hAnsi="Times New Roman"/>
          <w:sz w:val="24"/>
          <w:szCs w:val="20"/>
          <w:lang w:val="es-ES" w:eastAsia="es-ES"/>
        </w:rPr>
        <w:t xml:space="preserve"> (entrevista estructurada por psiquiatra para determinar</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el cumplimiento o no de criterios de inclusión de caso de TCA) con el EAT-26, y al instrumento</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se le hizo validación cultural y semántica, validación factorial, evaluación de confiabilidad, así</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como determinación del mejor punto de corte</w:t>
      </w:r>
      <w:r w:rsidR="009254FC">
        <w:rPr>
          <w:rFonts w:ascii="Times New Roman" w:eastAsia="Times New Roman" w:hAnsi="Times New Roman"/>
          <w:sz w:val="24"/>
          <w:szCs w:val="20"/>
          <w:lang w:val="es-ES" w:eastAsia="es-ES"/>
        </w:rPr>
        <w:t xml:space="preserve"> (20 puntos)</w:t>
      </w:r>
      <w:r w:rsidRPr="00F7430B">
        <w:rPr>
          <w:rFonts w:ascii="Times New Roman" w:eastAsia="Times New Roman" w:hAnsi="Times New Roman"/>
          <w:sz w:val="24"/>
          <w:szCs w:val="20"/>
          <w:lang w:val="es-ES" w:eastAsia="es-ES"/>
        </w:rPr>
        <w:t xml:space="preserve"> por medio de la curva ROC.</w:t>
      </w:r>
      <w:r w:rsidR="009254FC">
        <w:rPr>
          <w:rFonts w:ascii="Times New Roman" w:eastAsia="Times New Roman" w:hAnsi="Times New Roman"/>
          <w:sz w:val="24"/>
          <w:szCs w:val="20"/>
          <w:lang w:val="es-ES" w:eastAsia="es-ES"/>
        </w:rPr>
        <w:t xml:space="preserve"> </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9254FC" w:rsidRDefault="009254FC" w:rsidP="009254FC">
      <w:pPr>
        <w:pStyle w:val="Prrafodelista"/>
        <w:autoSpaceDE w:val="0"/>
        <w:autoSpaceDN w:val="0"/>
        <w:adjustRightInd w:val="0"/>
        <w:spacing w:after="0" w:line="240" w:lineRule="auto"/>
        <w:ind w:left="1440"/>
        <w:rPr>
          <w:rFonts w:ascii="Times New Roman" w:eastAsia="Times New Roman" w:hAnsi="Times New Roman"/>
          <w:sz w:val="24"/>
          <w:szCs w:val="20"/>
          <w:lang w:val="es-ES" w:eastAsia="es-ES"/>
        </w:rPr>
      </w:pPr>
      <w:r>
        <w:rPr>
          <w:noProof/>
          <w:lang w:val="en-US"/>
        </w:rPr>
        <w:drawing>
          <wp:inline distT="0" distB="0" distL="0" distR="0" wp14:anchorId="0B882928" wp14:editId="019FABD7">
            <wp:extent cx="4276725" cy="3114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17" t="-2257" r="-2079" b="-3226"/>
                    <a:stretch/>
                  </pic:blipFill>
                  <pic:spPr bwMode="auto">
                    <a:xfrm>
                      <a:off x="0" y="0"/>
                      <a:ext cx="4276725" cy="3114675"/>
                    </a:xfrm>
                    <a:prstGeom prst="rect">
                      <a:avLst/>
                    </a:prstGeom>
                    <a:ln>
                      <a:noFill/>
                    </a:ln>
                    <a:extLst>
                      <a:ext uri="{53640926-AAD7-44D8-BBD7-CCE9431645EC}">
                        <a14:shadowObscured xmlns:a14="http://schemas.microsoft.com/office/drawing/2010/main"/>
                      </a:ext>
                    </a:extLst>
                  </pic:spPr>
                </pic:pic>
              </a:graphicData>
            </a:graphic>
          </wp:inline>
        </w:drawing>
      </w:r>
    </w:p>
    <w:p w:rsidR="009254FC" w:rsidRDefault="0053373E" w:rsidP="0053373E">
      <w:pPr>
        <w:pStyle w:val="Descripcin"/>
        <w:ind w:left="1156" w:firstLine="264"/>
        <w:rPr>
          <w:rFonts w:ascii="Times New Roman" w:eastAsia="Times New Roman" w:hAnsi="Times New Roman"/>
          <w:sz w:val="24"/>
          <w:szCs w:val="20"/>
          <w:lang w:val="es-ES" w:eastAsia="es-ES"/>
        </w:rPr>
      </w:pPr>
      <w:bookmarkStart w:id="1" w:name="_Toc517625889"/>
      <w:bookmarkStart w:id="2" w:name="_Toc517648303"/>
      <w:r>
        <w:t xml:space="preserve">Ilustración </w:t>
      </w:r>
      <w:r>
        <w:fldChar w:fldCharType="begin"/>
      </w:r>
      <w:r>
        <w:instrText xml:space="preserve"> SEQ Ilustración \* ARABIC </w:instrText>
      </w:r>
      <w:r>
        <w:fldChar w:fldCharType="separate"/>
      </w:r>
      <w:r w:rsidR="00B56345">
        <w:rPr>
          <w:noProof/>
        </w:rPr>
        <w:t>1</w:t>
      </w:r>
      <w:r>
        <w:fldChar w:fldCharType="end"/>
      </w:r>
      <w:r>
        <w:t xml:space="preserve">. </w:t>
      </w:r>
      <w:r w:rsidRPr="0053373E">
        <w:t>Esquema general del estudio. Diseño del estudio observacional de validación del EAT-26.</w:t>
      </w:r>
      <w:bookmarkEnd w:id="1"/>
      <w:bookmarkEnd w:id="2"/>
    </w:p>
    <w:p w:rsidR="009254FC" w:rsidRPr="009254FC" w:rsidRDefault="009254FC" w:rsidP="009254FC">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Además, el instrumento cuenta con 3 subescalas: a) la dieta: 13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evitativas de alimentos que engorden y preocupaciones por delgadez; b) bulimia y preocupación por comida: 6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conductas bulímicas y pensamientos acerca de comida, y c) control oral: 7 </w:t>
      </w:r>
      <w:r w:rsidR="00B9466D">
        <w:rPr>
          <w:rFonts w:ascii="Times New Roman" w:eastAsia="Times New Roman" w:hAnsi="Times New Roman"/>
          <w:sz w:val="24"/>
          <w:szCs w:val="20"/>
          <w:lang w:val="es-ES" w:eastAsia="es-ES"/>
        </w:rPr>
        <w:t>ítems</w:t>
      </w:r>
      <w:r>
        <w:rPr>
          <w:rFonts w:ascii="Times New Roman" w:eastAsia="Times New Roman" w:hAnsi="Times New Roman"/>
          <w:sz w:val="24"/>
          <w:szCs w:val="20"/>
          <w:lang w:val="es-ES" w:eastAsia="es-ES"/>
        </w:rPr>
        <w:t xml:space="preserve"> sobre autocontrol de ingesta y presión externa para ganar peso.</w:t>
      </w:r>
    </w:p>
    <w:p w:rsidR="009254FC" w:rsidRDefault="009254FC"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F7430B"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Resultados: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F7430B"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sidRPr="00F7430B">
        <w:rPr>
          <w:rFonts w:ascii="Times New Roman" w:eastAsia="Times New Roman" w:hAnsi="Times New Roman"/>
          <w:sz w:val="24"/>
          <w:szCs w:val="20"/>
          <w:lang w:val="es-ES" w:eastAsia="es-ES"/>
        </w:rPr>
        <w:t>En</w:t>
      </w:r>
      <w:r w:rsidR="008A2BD4">
        <w:rPr>
          <w:rFonts w:ascii="Times New Roman" w:eastAsia="Times New Roman" w:hAnsi="Times New Roman"/>
          <w:sz w:val="24"/>
          <w:szCs w:val="20"/>
          <w:lang w:val="es-ES" w:eastAsia="es-ES"/>
        </w:rPr>
        <w:t xml:space="preserve"> la validación factorial de la matriz de correlaciones entre los 26 ítems se mostró que los datos fueron los adecuados para el análisis, de donde se identificó 4 dominios:</w:t>
      </w:r>
      <w:r w:rsidRPr="00F7430B">
        <w:rPr>
          <w:rFonts w:ascii="Times New Roman" w:eastAsia="Times New Roman" w:hAnsi="Times New Roman"/>
          <w:sz w:val="24"/>
          <w:szCs w:val="20"/>
          <w:lang w:val="es-ES" w:eastAsia="es-ES"/>
        </w:rPr>
        <w:t xml:space="preserve"> dieta-bulimia y preocupación por comida, dieta,</w:t>
      </w:r>
      <w:r>
        <w:rPr>
          <w:rFonts w:ascii="Times New Roman" w:eastAsia="Times New Roman" w:hAnsi="Times New Roman"/>
          <w:sz w:val="24"/>
          <w:szCs w:val="20"/>
          <w:lang w:val="es-ES" w:eastAsia="es-ES"/>
        </w:rPr>
        <w:t xml:space="preserve"> </w:t>
      </w:r>
      <w:r w:rsidRPr="00F7430B">
        <w:rPr>
          <w:rFonts w:ascii="Times New Roman" w:eastAsia="Times New Roman" w:hAnsi="Times New Roman"/>
          <w:sz w:val="24"/>
          <w:szCs w:val="20"/>
          <w:lang w:val="es-ES" w:eastAsia="es-ES"/>
        </w:rPr>
        <w:t xml:space="preserve">control oral-dieta y control oral-bulimia. </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A2BD4" w:rsidRDefault="00AA685A"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Para la validación cultural </w:t>
      </w:r>
      <w:r w:rsidR="00C23306">
        <w:rPr>
          <w:rFonts w:ascii="Times New Roman" w:eastAsia="Times New Roman" w:hAnsi="Times New Roman"/>
          <w:sz w:val="24"/>
          <w:szCs w:val="20"/>
          <w:lang w:val="es-ES" w:eastAsia="es-ES"/>
        </w:rPr>
        <w:t xml:space="preserve">se hizo una prueba piloto con 7 hombres mayores a 14 años, </w:t>
      </w:r>
      <w:r w:rsidR="008A2BD4">
        <w:rPr>
          <w:rFonts w:ascii="Times New Roman" w:eastAsia="Times New Roman" w:hAnsi="Times New Roman"/>
          <w:sz w:val="24"/>
          <w:szCs w:val="20"/>
          <w:lang w:val="es-ES" w:eastAsia="es-ES"/>
        </w:rPr>
        <w:t xml:space="preserve">y </w:t>
      </w:r>
      <w:r w:rsidR="00C23306">
        <w:rPr>
          <w:rFonts w:ascii="Times New Roman" w:eastAsia="Times New Roman" w:hAnsi="Times New Roman"/>
          <w:sz w:val="24"/>
          <w:szCs w:val="20"/>
          <w:lang w:val="es-ES" w:eastAsia="es-ES"/>
        </w:rPr>
        <w:t xml:space="preserve">para mejorar la compresión </w:t>
      </w:r>
      <w:r w:rsidR="008A2BD4">
        <w:rPr>
          <w:rFonts w:ascii="Times New Roman" w:eastAsia="Times New Roman" w:hAnsi="Times New Roman"/>
          <w:sz w:val="24"/>
          <w:szCs w:val="20"/>
          <w:lang w:val="es-ES" w:eastAsia="es-ES"/>
        </w:rPr>
        <w:t>de las preguntas se cambió el número de opciones de respuesta a 5, combinando las opciones raramente y a veces en una única (casi nunca).</w:t>
      </w:r>
    </w:p>
    <w:p w:rsidR="008A2BD4"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Default="008A2BD4" w:rsidP="008A2BD4">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lastRenderedPageBreak/>
        <w:t>Para la evaluación de confiabilidad de utilizó el valor alfa de Cronbach del EAT-26 donde el resultado</w:t>
      </w:r>
      <w:r w:rsidR="00F7430B" w:rsidRPr="00F7430B">
        <w:rPr>
          <w:rFonts w:ascii="Times New Roman" w:eastAsia="Times New Roman" w:hAnsi="Times New Roman"/>
          <w:sz w:val="24"/>
          <w:szCs w:val="20"/>
          <w:lang w:val="es-ES" w:eastAsia="es-ES"/>
        </w:rPr>
        <w:t xml:space="preserve"> fue de 0,89 y </w:t>
      </w:r>
      <w:r>
        <w:rPr>
          <w:rFonts w:ascii="Times New Roman" w:eastAsia="Times New Roman" w:hAnsi="Times New Roman"/>
          <w:sz w:val="24"/>
          <w:szCs w:val="20"/>
          <w:lang w:val="es-ES" w:eastAsia="es-ES"/>
        </w:rPr>
        <w:t>en el análisis de ROC el</w:t>
      </w:r>
      <w:r w:rsidR="00F7430B" w:rsidRPr="00F7430B">
        <w:rPr>
          <w:rFonts w:ascii="Times New Roman" w:eastAsia="Times New Roman" w:hAnsi="Times New Roman"/>
          <w:sz w:val="24"/>
          <w:szCs w:val="20"/>
          <w:lang w:val="es-ES" w:eastAsia="es-ES"/>
        </w:rPr>
        <w:t xml:space="preserve"> mejor valor de</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corte </w:t>
      </w:r>
      <w:r>
        <w:rPr>
          <w:rFonts w:ascii="Times New Roman" w:eastAsia="Times New Roman" w:hAnsi="Times New Roman"/>
          <w:sz w:val="24"/>
          <w:szCs w:val="20"/>
          <w:lang w:val="es-ES" w:eastAsia="es-ES"/>
        </w:rPr>
        <w:t xml:space="preserve">fue </w:t>
      </w:r>
      <w:r w:rsidR="00F7430B" w:rsidRPr="00F7430B">
        <w:rPr>
          <w:rFonts w:ascii="Times New Roman" w:eastAsia="Times New Roman" w:hAnsi="Times New Roman"/>
          <w:sz w:val="24"/>
          <w:szCs w:val="20"/>
          <w:lang w:val="es-ES" w:eastAsia="es-ES"/>
        </w:rPr>
        <w:t>el de</w:t>
      </w:r>
      <w:r w:rsidR="00F7430B">
        <w:rPr>
          <w:rFonts w:ascii="Times New Roman" w:eastAsia="Times New Roman" w:hAnsi="Times New Roman"/>
          <w:sz w:val="24"/>
          <w:szCs w:val="20"/>
          <w:lang w:val="es-ES" w:eastAsia="es-ES"/>
        </w:rPr>
        <w:t xml:space="preserve"> </w:t>
      </w:r>
      <w:r>
        <w:rPr>
          <w:rFonts w:ascii="Times New Roman" w:eastAsia="Times New Roman" w:hAnsi="Times New Roman"/>
          <w:sz w:val="24"/>
          <w:szCs w:val="20"/>
          <w:lang w:val="es-ES" w:eastAsia="es-ES"/>
        </w:rPr>
        <w:t>mayor a</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 xml:space="preserve">20 puntos (sensibilidad </w:t>
      </w:r>
      <w:r w:rsidR="00C167B9">
        <w:rPr>
          <w:rFonts w:ascii="Times New Roman" w:eastAsia="Times New Roman" w:hAnsi="Times New Roman"/>
          <w:sz w:val="24"/>
          <w:szCs w:val="20"/>
          <w:lang w:val="es-ES" w:eastAsia="es-ES"/>
        </w:rPr>
        <w:t>= 100%; especificidad = 97,8%), siendo e</w:t>
      </w:r>
      <w:r w:rsidR="00F7430B" w:rsidRPr="00F7430B">
        <w:rPr>
          <w:rFonts w:ascii="Times New Roman" w:eastAsia="Times New Roman" w:hAnsi="Times New Roman"/>
          <w:sz w:val="24"/>
          <w:szCs w:val="20"/>
          <w:lang w:val="es-ES" w:eastAsia="es-ES"/>
        </w:rPr>
        <w:t>l valor predictivo positivo</w:t>
      </w:r>
      <w:r w:rsidR="00F7430B">
        <w:rPr>
          <w:rFonts w:ascii="Times New Roman" w:eastAsia="Times New Roman" w:hAnsi="Times New Roman"/>
          <w:sz w:val="24"/>
          <w:szCs w:val="20"/>
          <w:lang w:val="es-ES" w:eastAsia="es-ES"/>
        </w:rPr>
        <w:t xml:space="preserve"> </w:t>
      </w:r>
      <w:r w:rsidR="00C167B9">
        <w:rPr>
          <w:rFonts w:ascii="Times New Roman" w:eastAsia="Times New Roman" w:hAnsi="Times New Roman"/>
          <w:sz w:val="24"/>
          <w:szCs w:val="20"/>
          <w:lang w:val="es-ES" w:eastAsia="es-ES"/>
        </w:rPr>
        <w:t>de 91,3% y el negativo, de</w:t>
      </w:r>
      <w:r w:rsidR="00F7430B" w:rsidRPr="00F7430B">
        <w:rPr>
          <w:rFonts w:ascii="Times New Roman" w:eastAsia="Times New Roman" w:hAnsi="Times New Roman"/>
          <w:sz w:val="24"/>
          <w:szCs w:val="20"/>
          <w:lang w:val="es-ES" w:eastAsia="es-ES"/>
        </w:rPr>
        <w:t xml:space="preserve"> 100,0%.</w:t>
      </w:r>
    </w:p>
    <w:p w:rsidR="00F7430B" w:rsidRP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C7E2F" w:rsidRDefault="008C7E2F" w:rsidP="00F7430B">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val="es-ES" w:eastAsia="es-ES"/>
        </w:rPr>
      </w:pPr>
      <w:r w:rsidRPr="00AE7106">
        <w:rPr>
          <w:rFonts w:ascii="Times New Roman" w:eastAsia="Times New Roman" w:hAnsi="Times New Roman"/>
          <w:sz w:val="24"/>
          <w:szCs w:val="20"/>
          <w:lang w:val="es-ES" w:eastAsia="es-ES"/>
        </w:rPr>
        <w:t>Conclusiones:</w:t>
      </w:r>
    </w:p>
    <w:p w:rsidR="00F7430B" w:rsidRDefault="00F7430B"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 xml:space="preserve">Se encuentra que la aparición tardía del inicio de síntomas en hombres se atribuye a que la pubertad comienza y termina 2 años más tarde que en las mujeres. </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De igual manera</w:t>
      </w:r>
      <w:r w:rsidR="00591068">
        <w:rPr>
          <w:rFonts w:ascii="Times New Roman" w:eastAsia="Times New Roman" w:hAnsi="Times New Roman"/>
          <w:sz w:val="24"/>
          <w:szCs w:val="20"/>
          <w:lang w:val="es-ES" w:eastAsia="es-ES"/>
        </w:rPr>
        <w:t>,</w:t>
      </w:r>
      <w:r>
        <w:rPr>
          <w:rFonts w:ascii="Times New Roman" w:eastAsia="Times New Roman" w:hAnsi="Times New Roman"/>
          <w:sz w:val="24"/>
          <w:szCs w:val="20"/>
          <w:lang w:val="es-ES" w:eastAsia="es-ES"/>
        </w:rPr>
        <w:t xml:space="preserve"> se debe tener en cuenta los antecedentes en la población masculina, muchos de estos son por problemas sobrepeso u obesidad, preocupación por la figura corporal, la cual es relacionada con la masculinidad, la disminución del deseo sexual y las prácticas de gimnasio regulares son aspectos de riesgo que deben tenerse en cuenta.</w:t>
      </w:r>
    </w:p>
    <w:p w:rsidR="008506D2" w:rsidRDefault="008506D2"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p>
    <w:p w:rsidR="00F7430B" w:rsidRPr="00F7430B" w:rsidRDefault="00591068" w:rsidP="00F7430B">
      <w:pPr>
        <w:pStyle w:val="Prrafodelista"/>
        <w:autoSpaceDE w:val="0"/>
        <w:autoSpaceDN w:val="0"/>
        <w:adjustRightInd w:val="0"/>
        <w:spacing w:after="0" w:line="240" w:lineRule="auto"/>
        <w:ind w:left="1440"/>
        <w:jc w:val="both"/>
        <w:rPr>
          <w:rFonts w:ascii="Times New Roman" w:eastAsia="Times New Roman" w:hAnsi="Times New Roman"/>
          <w:sz w:val="24"/>
          <w:szCs w:val="20"/>
          <w:lang w:val="es-ES" w:eastAsia="es-ES"/>
        </w:rPr>
      </w:pPr>
      <w:r>
        <w:rPr>
          <w:rFonts w:ascii="Times New Roman" w:eastAsia="Times New Roman" w:hAnsi="Times New Roman"/>
          <w:sz w:val="24"/>
          <w:szCs w:val="20"/>
          <w:lang w:val="es-ES" w:eastAsia="es-ES"/>
        </w:rPr>
        <w:t>Finalmente, e</w:t>
      </w:r>
      <w:r w:rsidR="00F7430B" w:rsidRPr="00F7430B">
        <w:rPr>
          <w:rFonts w:ascii="Times New Roman" w:eastAsia="Times New Roman" w:hAnsi="Times New Roman"/>
          <w:sz w:val="24"/>
          <w:szCs w:val="20"/>
          <w:lang w:val="es-ES" w:eastAsia="es-ES"/>
        </w:rPr>
        <w:t>l EAT-26 es un instrumento multidimensional con excelentes valores de confiabilidad, sensibilidad y especificidad, ideal para cribado de posibles TCA en población de riesgo, y</w:t>
      </w:r>
      <w:r w:rsidR="00F7430B">
        <w:rPr>
          <w:rFonts w:ascii="Times New Roman" w:eastAsia="Times New Roman" w:hAnsi="Times New Roman"/>
          <w:sz w:val="24"/>
          <w:szCs w:val="20"/>
          <w:lang w:val="es-ES" w:eastAsia="es-ES"/>
        </w:rPr>
        <w:t xml:space="preserve"> </w:t>
      </w:r>
      <w:r w:rsidR="00F7430B" w:rsidRPr="00F7430B">
        <w:rPr>
          <w:rFonts w:ascii="Times New Roman" w:eastAsia="Times New Roman" w:hAnsi="Times New Roman"/>
          <w:sz w:val="24"/>
          <w:szCs w:val="20"/>
          <w:lang w:val="es-ES" w:eastAsia="es-ES"/>
        </w:rPr>
        <w:t>podría ser de utilidad en atención primaria para la detección temprana en población masculina.</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367CF2" w:rsidRPr="00367CF2" w:rsidRDefault="00367CF2" w:rsidP="00262715">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sidRPr="00367CF2">
        <w:rPr>
          <w:rFonts w:ascii="Times New Roman" w:eastAsia="Times New Roman" w:hAnsi="Times New Roman"/>
          <w:b/>
          <w:sz w:val="24"/>
          <w:szCs w:val="20"/>
          <w:lang w:val="es-ES" w:eastAsia="es-ES"/>
        </w:rPr>
        <w:t>Perfeccionismo y baja autoestima a través del continuo de los trastornos alimentarios en adolescentes mujeres de Buenos Aires</w:t>
      </w:r>
    </w:p>
    <w:p w:rsidR="008C7E2F" w:rsidRDefault="008C7E2F" w:rsidP="008C7E2F">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6335C9" w:rsidRDefault="00A5690D"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sidRPr="0033151F">
        <w:rPr>
          <w:rFonts w:ascii="Times New Roman" w:eastAsia="Times New Roman" w:hAnsi="Times New Roman"/>
          <w:i/>
          <w:sz w:val="24"/>
          <w:szCs w:val="20"/>
          <w:lang w:eastAsia="es-ES"/>
        </w:rPr>
        <w:t>Guillermina Rutsztein, M. Luz Scappatura, Brenda Murawski</w:t>
      </w:r>
      <w:r w:rsidR="00FF4688" w:rsidRPr="0033151F">
        <w:rPr>
          <w:rFonts w:ascii="Times New Roman" w:eastAsia="Times New Roman" w:hAnsi="Times New Roman"/>
          <w:i/>
          <w:sz w:val="24"/>
          <w:szCs w:val="20"/>
          <w:lang w:eastAsia="es-ES"/>
        </w:rPr>
        <w:t xml:space="preserve"> (2014). Revista Mexicana de Trastornos Alimentarios, 39-49. Argentina.</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9B7B1A" w:rsidRDefault="00E507B1"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El objetivo de este estudio fue analizar y comparar hábitos y actitudes hacia la alimentación, perfeccionismo y autoestima en mujeres adolescentes con cuadros completos de trastorno alimentario, adolescentes con riesgo de trastorno alimentario y adolescentes sin trastorno alimentario ni riesgo. Para este estudio participaron 200 mujeres entre 13 y 19 años</w:t>
      </w:r>
      <w:r w:rsidR="00BE6B9F">
        <w:rPr>
          <w:rFonts w:ascii="Times New Roman" w:eastAsia="Times New Roman" w:hAnsi="Times New Roman"/>
          <w:sz w:val="24"/>
          <w:szCs w:val="20"/>
          <w:lang w:eastAsia="es-ES"/>
        </w:rPr>
        <w:t>: 167 estudiantes de escuelas secundarias de la Ciudad de Buenos Aires y 33 pacientes con diagnóstico de TA según el DSM-IV-TR, que se encontraban en tratamiento en dos instituciones especializadas (una privada y otra pública).</w:t>
      </w:r>
    </w:p>
    <w:p w:rsidR="009B7B1A" w:rsidRDefault="009B7B1A" w:rsidP="009B7B1A">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Actualmente, los síndromes incompletos o atípicos de TCA resultan ser cuadros sumamente frecuentes, llegando a afectar a las tres cuartas partes de los sujetos con diagnóstico de TA. </w:t>
      </w:r>
    </w:p>
    <w:p w:rsidR="00BE6B9F" w:rsidRDefault="00BE6B9F"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Algunos autores señalan la existencia de una continuidad entre los problemas alimentarios subclínicos y los TCA. Considerándose así a los TCA como un extremo de una continuidad que comienza con la presencia de preocupaciones por el peso y la figura, la insatisfacción corporal y la realización de dietas. </w:t>
      </w:r>
    </w:p>
    <w:p w:rsid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E6B9F" w:rsidRPr="00BE6B9F" w:rsidRDefault="00BE6B9F" w:rsidP="00BE6B9F">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Se ha establecido la relevancia del perfeccionismo y de la baja autoestima para el desarrollo de los TCA</w:t>
      </w:r>
      <w:r w:rsidR="00A43923">
        <w:rPr>
          <w:rFonts w:ascii="Times New Roman" w:eastAsia="Times New Roman" w:hAnsi="Times New Roman"/>
          <w:sz w:val="24"/>
          <w:szCs w:val="20"/>
          <w:lang w:eastAsia="es-ES"/>
        </w:rPr>
        <w:t>, pero en la mayoría de estudios realizados se ha realizado sobre muestras de población general o muestras clínicas, siendo escasas las investigaciones que incluyen muestras de sujetos que no llegan a constituir cuadros completos de TCA.</w:t>
      </w:r>
    </w:p>
    <w:p w:rsidR="009B7B1A" w:rsidRP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Para el estudio se utilizó una muestra de tipo no aleatoria y por conveniencia, fue conformada por 242 mujeres que participaron de manera voluntaria, de las cuales se realizó un recorte de muestra por rango etario quedando 200 mujeres participantes de las cuales 167 estudiantes eran de escuelas secundarias y 33 pacientes tenías diagnóstico de TA según DSM-IV-TR.</w:t>
      </w:r>
    </w:p>
    <w:p w:rsidR="00CA7FA0" w:rsidRDefault="00CA7FA0"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CA7FA0" w:rsidRDefault="00FC3FD2" w:rsidP="00FC3FD2">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65901572" wp14:editId="6393950C">
            <wp:extent cx="3600450" cy="2775208"/>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261" cy="2782000"/>
                    </a:xfrm>
                    <a:prstGeom prst="rect">
                      <a:avLst/>
                    </a:prstGeom>
                  </pic:spPr>
                </pic:pic>
              </a:graphicData>
            </a:graphic>
          </wp:inline>
        </w:drawing>
      </w:r>
    </w:p>
    <w:p w:rsidR="00FC3FD2" w:rsidRPr="0053373E" w:rsidRDefault="0053373E" w:rsidP="0053373E">
      <w:pPr>
        <w:pStyle w:val="Descripcin"/>
        <w:ind w:left="1420" w:firstLine="284"/>
        <w:rPr>
          <w:rFonts w:ascii="Times New Roman" w:eastAsia="Times New Roman" w:hAnsi="Times New Roman"/>
          <w:sz w:val="24"/>
          <w:szCs w:val="20"/>
          <w:lang w:eastAsia="es-ES"/>
        </w:rPr>
      </w:pPr>
      <w:bookmarkStart w:id="3" w:name="_Toc517625890"/>
      <w:bookmarkStart w:id="4" w:name="_Toc517648304"/>
      <w:r>
        <w:t xml:space="preserve">Ilustración </w:t>
      </w:r>
      <w:r>
        <w:fldChar w:fldCharType="begin"/>
      </w:r>
      <w:r>
        <w:instrText xml:space="preserve"> SEQ Ilustración \* ARABIC </w:instrText>
      </w:r>
      <w:r>
        <w:fldChar w:fldCharType="separate"/>
      </w:r>
      <w:r w:rsidR="00B56345">
        <w:rPr>
          <w:noProof/>
        </w:rPr>
        <w:t>2</w:t>
      </w:r>
      <w:r>
        <w:fldChar w:fldCharType="end"/>
      </w:r>
      <w:r>
        <w:t>. Conformación de grupos en la muestra.</w:t>
      </w:r>
      <w:bookmarkEnd w:id="3"/>
      <w:bookmarkEnd w:id="4"/>
    </w:p>
    <w:p w:rsidR="00FC3FD2"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Son 4 los instrumentos utilizados, el primero fue el </w:t>
      </w:r>
      <w:r>
        <w:rPr>
          <w:rFonts w:ascii="Times New Roman" w:eastAsia="Times New Roman" w:hAnsi="Times New Roman"/>
          <w:i/>
          <w:sz w:val="24"/>
          <w:szCs w:val="20"/>
          <w:lang w:eastAsia="es-ES"/>
        </w:rPr>
        <w:t>Cuestionario sociodemográfico y de sintomatología específica de trastornos de la conducta alimentaria</w:t>
      </w:r>
      <w:r>
        <w:rPr>
          <w:rFonts w:ascii="Times New Roman" w:eastAsia="Times New Roman" w:hAnsi="Times New Roman"/>
          <w:sz w:val="24"/>
          <w:szCs w:val="20"/>
          <w:lang w:eastAsia="es-ES"/>
        </w:rPr>
        <w:t>, el cual ayud</w:t>
      </w:r>
      <w:r w:rsidR="008A58DD">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 recabar información sobre la edad, el nivel de escolaridad y la composición del núcleo familiar, además la presencia de obesidad en los padres y/o la presencia de conducta dietante en alguno de los miembros de la familia. </w:t>
      </w:r>
    </w:p>
    <w:p w:rsidR="00C20B5B" w:rsidRDefault="00C20B5B"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 xml:space="preserve">entrevista diagnóstica semiestructurada basada en el </w:t>
      </w:r>
      <w:r w:rsidRPr="00E22C9A">
        <w:rPr>
          <w:rFonts w:ascii="Times New Roman" w:eastAsia="Times New Roman" w:hAnsi="Times New Roman"/>
          <w:i/>
          <w:sz w:val="24"/>
          <w:szCs w:val="20"/>
          <w:lang w:eastAsia="es-ES"/>
        </w:rPr>
        <w:t>Eating</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Disorder</w:t>
      </w:r>
      <w:r>
        <w:rPr>
          <w:rFonts w:ascii="Times New Roman" w:eastAsia="Times New Roman" w:hAnsi="Times New Roman"/>
          <w:i/>
          <w:sz w:val="24"/>
          <w:szCs w:val="20"/>
          <w:lang w:eastAsia="es-ES"/>
        </w:rPr>
        <w:t xml:space="preserve"> </w:t>
      </w:r>
      <w:r w:rsidRPr="00E22C9A">
        <w:rPr>
          <w:rFonts w:ascii="Times New Roman" w:eastAsia="Times New Roman" w:hAnsi="Times New Roman"/>
          <w:i/>
          <w:sz w:val="24"/>
          <w:szCs w:val="20"/>
          <w:lang w:eastAsia="es-ES"/>
        </w:rPr>
        <w:t>Examination</w:t>
      </w:r>
      <w:r>
        <w:rPr>
          <w:rFonts w:ascii="Times New Roman" w:eastAsia="Times New Roman" w:hAnsi="Times New Roman"/>
          <w:i/>
          <w:sz w:val="24"/>
          <w:szCs w:val="20"/>
          <w:lang w:eastAsia="es-ES"/>
        </w:rPr>
        <w:t xml:space="preserve"> (EDE)</w:t>
      </w:r>
      <w:r>
        <w:rPr>
          <w:rFonts w:ascii="Times New Roman" w:eastAsia="Times New Roman" w:hAnsi="Times New Roman"/>
          <w:sz w:val="24"/>
          <w:szCs w:val="20"/>
          <w:lang w:eastAsia="es-ES"/>
        </w:rPr>
        <w:t>, es una entrevista semiestructurada compuesta por preguntas abiertas y cerradas de la cual se obtiene datos sobre rasgos, actitudes y comportamientos correspondientes a criterios de diagnóstico de TCA.</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w:t>
      </w:r>
      <w:r>
        <w:rPr>
          <w:rFonts w:ascii="Times New Roman" w:eastAsia="Times New Roman" w:hAnsi="Times New Roman"/>
          <w:i/>
          <w:sz w:val="24"/>
          <w:szCs w:val="20"/>
          <w:lang w:eastAsia="es-ES"/>
        </w:rPr>
        <w:t>Inventario de Trastornos Alimentarios-3 (EDI-3)</w:t>
      </w:r>
      <w:r>
        <w:rPr>
          <w:rFonts w:ascii="Times New Roman" w:eastAsia="Times New Roman" w:hAnsi="Times New Roman"/>
          <w:sz w:val="24"/>
          <w:szCs w:val="20"/>
          <w:lang w:eastAsia="es-ES"/>
        </w:rPr>
        <w:t xml:space="preserve"> se utiliza como instrumento de cribado para detectar la población de riesgo, de donde se tiene </w:t>
      </w:r>
      <w:r>
        <w:rPr>
          <w:rFonts w:ascii="Times New Roman" w:eastAsia="Times New Roman" w:hAnsi="Times New Roman"/>
          <w:sz w:val="24"/>
          <w:szCs w:val="20"/>
          <w:lang w:eastAsia="es-ES"/>
        </w:rPr>
        <w:lastRenderedPageBreak/>
        <w:t xml:space="preserve">tres subescalas que evalúan las actitudes y comportamientos con respecto a la alimentación, el peso y la imagen corporal, y el resto evalúa rasgos psicológicos asociados a los TCA, que también son relevantes. </w:t>
      </w: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8A58DD" w:rsidRDefault="008A58DD"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La </w:t>
      </w:r>
      <w:r>
        <w:rPr>
          <w:rFonts w:ascii="Times New Roman" w:eastAsia="Times New Roman" w:hAnsi="Times New Roman"/>
          <w:i/>
          <w:sz w:val="24"/>
          <w:szCs w:val="20"/>
          <w:lang w:eastAsia="es-ES"/>
        </w:rPr>
        <w:t>Escala de Autoestima (AUTOE)</w:t>
      </w:r>
      <w:r>
        <w:rPr>
          <w:rFonts w:ascii="Times New Roman" w:eastAsia="Times New Roman" w:hAnsi="Times New Roman"/>
          <w:sz w:val="24"/>
          <w:szCs w:val="20"/>
          <w:lang w:eastAsia="es-ES"/>
        </w:rPr>
        <w:t xml:space="preserve"> permite evaluar la autoestima en forma global, viéndose como un</w:t>
      </w:r>
      <w:r w:rsidR="00496D64">
        <w:rPr>
          <w:rFonts w:ascii="Times New Roman" w:eastAsia="Times New Roman" w:hAnsi="Times New Roman"/>
          <w:sz w:val="24"/>
          <w:szCs w:val="20"/>
          <w:lang w:eastAsia="es-ES"/>
        </w:rPr>
        <w:t>a</w:t>
      </w:r>
      <w:r>
        <w:rPr>
          <w:rFonts w:ascii="Times New Roman" w:eastAsia="Times New Roman" w:hAnsi="Times New Roman"/>
          <w:sz w:val="24"/>
          <w:szCs w:val="20"/>
          <w:lang w:eastAsia="es-ES"/>
        </w:rPr>
        <w:t xml:space="preserve"> actitud </w:t>
      </w:r>
      <w:r w:rsidR="00496D64">
        <w:rPr>
          <w:rFonts w:ascii="Times New Roman" w:eastAsia="Times New Roman" w:hAnsi="Times New Roman"/>
          <w:sz w:val="24"/>
          <w:szCs w:val="20"/>
          <w:lang w:eastAsia="es-ES"/>
        </w:rPr>
        <w:t>positiva</w:t>
      </w:r>
      <w:r>
        <w:rPr>
          <w:rFonts w:ascii="Times New Roman" w:eastAsia="Times New Roman" w:hAnsi="Times New Roman"/>
          <w:sz w:val="24"/>
          <w:szCs w:val="20"/>
          <w:lang w:eastAsia="es-ES"/>
        </w:rPr>
        <w:t xml:space="preserve"> o negativa hacia uno mismo. </w:t>
      </w:r>
      <w:r w:rsidR="00496D64">
        <w:rPr>
          <w:rFonts w:ascii="Times New Roman" w:eastAsia="Times New Roman" w:hAnsi="Times New Roman"/>
          <w:sz w:val="24"/>
          <w:szCs w:val="20"/>
          <w:lang w:eastAsia="es-ES"/>
        </w:rPr>
        <w:t>Esta escala tiene propiedades psicométricas que puede ser utilizada en población adolescente.</w:t>
      </w:r>
    </w:p>
    <w:p w:rsidR="00496D64" w:rsidRDefault="00496D64" w:rsidP="008A58DD">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D60AE" w:rsidRPr="009D60AE" w:rsidRDefault="00496D64" w:rsidP="009D60AE">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sidRPr="009D60AE">
        <w:rPr>
          <w:rFonts w:ascii="Times New Roman" w:eastAsia="Times New Roman" w:hAnsi="Times New Roman"/>
          <w:sz w:val="24"/>
          <w:szCs w:val="20"/>
          <w:lang w:eastAsia="es-ES"/>
        </w:rPr>
        <w:t xml:space="preserve">Por último, </w:t>
      </w:r>
      <w:r w:rsidRPr="009D60AE">
        <w:rPr>
          <w:rFonts w:ascii="Times New Roman" w:eastAsia="Times New Roman" w:hAnsi="Times New Roman"/>
          <w:i/>
          <w:sz w:val="24"/>
          <w:szCs w:val="20"/>
          <w:lang w:eastAsia="es-ES"/>
        </w:rPr>
        <w:t>Almost Perfect Scale Revised (APS-R)</w:t>
      </w:r>
      <w:r w:rsidRPr="009D60AE">
        <w:rPr>
          <w:rFonts w:ascii="Times New Roman" w:eastAsia="Times New Roman" w:hAnsi="Times New Roman"/>
          <w:sz w:val="24"/>
          <w:szCs w:val="20"/>
          <w:lang w:eastAsia="es-ES"/>
        </w:rPr>
        <w:t xml:space="preserve"> </w:t>
      </w:r>
      <w:r w:rsidR="009D60AE" w:rsidRPr="009D60AE">
        <w:rPr>
          <w:rFonts w:ascii="Times New Roman" w:eastAsia="Times New Roman" w:hAnsi="Times New Roman"/>
          <w:sz w:val="24"/>
          <w:szCs w:val="20"/>
          <w:lang w:eastAsia="es-ES"/>
        </w:rPr>
        <w:t xml:space="preserve">es una escala </w:t>
      </w:r>
      <w:r w:rsidR="009D60AE">
        <w:rPr>
          <w:rFonts w:ascii="Times New Roman" w:eastAsia="Times New Roman" w:hAnsi="Times New Roman"/>
          <w:sz w:val="24"/>
          <w:szCs w:val="20"/>
          <w:lang w:eastAsia="es-ES"/>
        </w:rPr>
        <w:t>que permite discriminar perfiles desadaptativos o disfuncionales y perfiles adaptativos o funcionales de perfeccionismo. Luego de aplicar todas las escalas mencionadas, realizado el pesaje y medición de los estudiantes a cargo de un especialista., y una posterior entrevista diagnóstica semiestructurada realizada por profesionales.</w:t>
      </w:r>
    </w:p>
    <w:p w:rsidR="009D60AE" w:rsidRPr="009D60AE" w:rsidRDefault="009D60AE"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E22C9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De acuerdo a los resultados </w:t>
      </w:r>
      <w:r w:rsidR="00B56345">
        <w:rPr>
          <w:rFonts w:ascii="Times New Roman" w:eastAsia="Times New Roman" w:hAnsi="Times New Roman"/>
          <w:sz w:val="24"/>
          <w:szCs w:val="20"/>
          <w:lang w:eastAsia="es-ES"/>
        </w:rPr>
        <w:t>obtenidos entre los grupos</w:t>
      </w:r>
      <w:r>
        <w:rPr>
          <w:rFonts w:ascii="Times New Roman" w:eastAsia="Times New Roman" w:hAnsi="Times New Roman"/>
          <w:sz w:val="24"/>
          <w:szCs w:val="20"/>
          <w:lang w:eastAsia="es-ES"/>
        </w:rPr>
        <w:t xml:space="preserve"> no se encontró diferencias significativas respecto al peso, altura y el IMC</w:t>
      </w:r>
      <w:r w:rsidR="00B56345">
        <w:rPr>
          <w:rFonts w:ascii="Times New Roman" w:eastAsia="Times New Roman" w:hAnsi="Times New Roman"/>
          <w:sz w:val="24"/>
          <w:szCs w:val="20"/>
          <w:lang w:eastAsia="es-ES"/>
        </w:rPr>
        <w:t>. Se observó que los adolescentes con TA y NTA se encuentran distribuidas en casi todas las categorías de IMC, en cambio la mayoría de adolescentes con riesgo de TA presentí peso normal, y solo unas pocas, sobrepeso.</w:t>
      </w:r>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B56345" w:rsidRDefault="00B56345" w:rsidP="00B56345">
      <w:pPr>
        <w:pStyle w:val="Prrafodelista"/>
        <w:autoSpaceDE w:val="0"/>
        <w:autoSpaceDN w:val="0"/>
        <w:adjustRightInd w:val="0"/>
        <w:spacing w:after="0" w:line="240" w:lineRule="auto"/>
        <w:ind w:left="1440"/>
        <w:rPr>
          <w:rFonts w:ascii="Times New Roman" w:eastAsia="Times New Roman" w:hAnsi="Times New Roman"/>
          <w:sz w:val="24"/>
          <w:szCs w:val="20"/>
          <w:lang w:eastAsia="es-ES"/>
        </w:rPr>
      </w:pPr>
      <w:r>
        <w:rPr>
          <w:noProof/>
          <w:lang w:val="en-US"/>
        </w:rPr>
        <w:drawing>
          <wp:inline distT="0" distB="0" distL="0" distR="0" wp14:anchorId="2FC9E279" wp14:editId="6F02121F">
            <wp:extent cx="3863340" cy="24765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8249" cy="2486057"/>
                    </a:xfrm>
                    <a:prstGeom prst="rect">
                      <a:avLst/>
                    </a:prstGeom>
                  </pic:spPr>
                </pic:pic>
              </a:graphicData>
            </a:graphic>
          </wp:inline>
        </w:drawing>
      </w:r>
    </w:p>
    <w:p w:rsidR="00B56345" w:rsidRDefault="00B56345" w:rsidP="00B56345">
      <w:pPr>
        <w:pStyle w:val="Descripcin"/>
        <w:ind w:left="1420" w:firstLine="284"/>
        <w:rPr>
          <w:rFonts w:ascii="Times New Roman" w:eastAsia="Times New Roman" w:hAnsi="Times New Roman"/>
          <w:sz w:val="24"/>
          <w:szCs w:val="20"/>
          <w:lang w:eastAsia="es-ES"/>
        </w:rPr>
      </w:pPr>
      <w:bookmarkStart w:id="5" w:name="_Toc517648305"/>
      <w:r>
        <w:t xml:space="preserve">Ilustración </w:t>
      </w:r>
      <w:r>
        <w:fldChar w:fldCharType="begin"/>
      </w:r>
      <w:r>
        <w:instrText xml:space="preserve"> SEQ Ilustración \* ARABIC </w:instrText>
      </w:r>
      <w:r>
        <w:fldChar w:fldCharType="separate"/>
      </w:r>
      <w:r>
        <w:rPr>
          <w:noProof/>
        </w:rPr>
        <w:t>3</w:t>
      </w:r>
      <w:r>
        <w:fldChar w:fldCharType="end"/>
      </w:r>
      <w:r>
        <w:t>. Distribución del IMC.</w:t>
      </w:r>
      <w:bookmarkEnd w:id="5"/>
    </w:p>
    <w:p w:rsidR="00B56345" w:rsidRDefault="00B56345"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757A6"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relación con la actividad física excesiva (con frecuencia igual o mayor a 2 días) y la conducta dietante, las adolescentes con RTA no presentaron diferencias significativas con los demás grupos. </w:t>
      </w: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AF69E8" w:rsidRDefault="00AF69E8" w:rsidP="00AF69E8">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En la escala del EDI-3 se presentaron 3 subescalas específicas (bulimia, búsqueda de delgadez e insatisfacción corporal donde las adolescentes con </w:t>
      </w:r>
      <w:r>
        <w:rPr>
          <w:rFonts w:ascii="Times New Roman" w:eastAsia="Times New Roman" w:hAnsi="Times New Roman"/>
          <w:sz w:val="24"/>
          <w:szCs w:val="20"/>
          <w:lang w:eastAsia="es-ES"/>
        </w:rPr>
        <w:lastRenderedPageBreak/>
        <w:t>RTA y TA presentaron puntales significativamente más altos que las adolescentes NTA.</w:t>
      </w:r>
    </w:p>
    <w:p w:rsidR="00AF69E8" w:rsidRPr="00960D15" w:rsidRDefault="00AF69E8" w:rsidP="00960D15">
      <w:pPr>
        <w:autoSpaceDE w:val="0"/>
        <w:autoSpaceDN w:val="0"/>
        <w:adjustRightInd w:val="0"/>
        <w:spacing w:after="0" w:line="240" w:lineRule="auto"/>
        <w:jc w:val="both"/>
        <w:rPr>
          <w:rFonts w:ascii="Times New Roman" w:eastAsia="Times New Roman" w:hAnsi="Times New Roman"/>
          <w:sz w:val="24"/>
          <w:szCs w:val="20"/>
          <w:lang w:eastAsia="es-ES"/>
        </w:rPr>
      </w:pPr>
    </w:p>
    <w:p w:rsidR="009B7B1A" w:rsidRDefault="009B7B1A" w:rsidP="009B7B1A">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9B7B1A" w:rsidRDefault="009B7B1A" w:rsidP="009B7B1A">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9B7B1A"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E</w:t>
      </w:r>
      <w:r w:rsidR="00AE42EC">
        <w:rPr>
          <w:rFonts w:ascii="Times New Roman" w:eastAsia="Times New Roman" w:hAnsi="Times New Roman"/>
          <w:sz w:val="24"/>
          <w:szCs w:val="20"/>
          <w:lang w:eastAsia="es-ES"/>
        </w:rPr>
        <w:t>n lo resp</w:t>
      </w:r>
      <w:r>
        <w:rPr>
          <w:rFonts w:ascii="Times New Roman" w:eastAsia="Times New Roman" w:hAnsi="Times New Roman"/>
          <w:sz w:val="24"/>
          <w:szCs w:val="20"/>
          <w:lang w:eastAsia="es-ES"/>
        </w:rPr>
        <w:t xml:space="preserve">ecta al grupo de riesgo (RTA), los resultados no permiten establecer delimitaciones claras entre los grupos, solo se observa una diferencia del grupo con TA en tres características psicológicas: baja autoestima, alineación personal y ascetismo. En comparación con otro estudio realizado a mujeres universitarias con un poco más de edad, se puede deducir que la población tomada de muestra para el RTA no fue suficiente para poder tener diferencias significativas en los resultados. </w:t>
      </w:r>
      <w:r w:rsidRPr="005F0084">
        <w:rPr>
          <w:rFonts w:ascii="Times New Roman" w:eastAsia="Times New Roman" w:hAnsi="Times New Roman"/>
          <w:sz w:val="24"/>
          <w:szCs w:val="20"/>
          <w:lang w:eastAsia="es-ES"/>
        </w:rPr>
        <w:t>Sin embargo, l</w:t>
      </w:r>
      <w:r w:rsidR="00AE42EC" w:rsidRPr="005F0084">
        <w:rPr>
          <w:rFonts w:ascii="Times New Roman" w:eastAsia="Times New Roman" w:hAnsi="Times New Roman"/>
          <w:sz w:val="24"/>
          <w:szCs w:val="20"/>
          <w:lang w:eastAsia="es-ES"/>
        </w:rPr>
        <w:t xml:space="preserve">a presencia de características psicológicas vinculadas con el desarrollo de los TA en adolescentes de población no clínica (RTA) refuerza la importancia de destinar esfuerzos a la prevención de los TA en la adolescencia. </w:t>
      </w:r>
    </w:p>
    <w:p w:rsidR="005F0084" w:rsidRDefault="005F0084" w:rsidP="005F0084">
      <w:pPr>
        <w:pStyle w:val="Prrafodelista"/>
        <w:autoSpaceDE w:val="0"/>
        <w:autoSpaceDN w:val="0"/>
        <w:adjustRightInd w:val="0"/>
        <w:spacing w:after="0" w:line="240" w:lineRule="auto"/>
        <w:ind w:left="1440"/>
        <w:jc w:val="both"/>
        <w:rPr>
          <w:rFonts w:ascii="Times New Roman" w:eastAsia="Times New Roman" w:hAnsi="Times New Roman"/>
          <w:sz w:val="24"/>
          <w:szCs w:val="20"/>
          <w:lang w:eastAsia="es-ES"/>
        </w:rPr>
      </w:pPr>
    </w:p>
    <w:p w:rsidR="005F0084" w:rsidRPr="00367CF2" w:rsidRDefault="00B27B6A" w:rsidP="005F0084">
      <w:pPr>
        <w:pStyle w:val="Prrafodelista"/>
        <w:numPr>
          <w:ilvl w:val="0"/>
          <w:numId w:val="22"/>
        </w:numPr>
        <w:autoSpaceDE w:val="0"/>
        <w:autoSpaceDN w:val="0"/>
        <w:adjustRightInd w:val="0"/>
        <w:spacing w:after="0" w:line="240" w:lineRule="auto"/>
        <w:jc w:val="both"/>
        <w:rPr>
          <w:rFonts w:ascii="Times New Roman" w:eastAsia="Times New Roman" w:hAnsi="Times New Roman"/>
          <w:b/>
          <w:sz w:val="24"/>
          <w:szCs w:val="20"/>
          <w:lang w:val="es-ES" w:eastAsia="es-ES"/>
        </w:rPr>
      </w:pPr>
      <w:r>
        <w:rPr>
          <w:rFonts w:ascii="Times New Roman" w:eastAsia="Times New Roman" w:hAnsi="Times New Roman"/>
          <w:b/>
          <w:sz w:val="24"/>
          <w:szCs w:val="20"/>
          <w:lang w:val="es-ES" w:eastAsia="es-ES"/>
        </w:rPr>
        <w:t>Rol de género y actitudes alimentarias en adolescentes de dos diferentes contextos socioculturales: Tradicional vs. No Tradicional</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val="es-ES" w:eastAsia="es-ES"/>
        </w:rPr>
      </w:pPr>
    </w:p>
    <w:p w:rsidR="005F0084"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r>
        <w:rPr>
          <w:rFonts w:ascii="Times New Roman" w:eastAsia="Times New Roman" w:hAnsi="Times New Roman"/>
          <w:i/>
          <w:sz w:val="24"/>
          <w:szCs w:val="20"/>
          <w:lang w:eastAsia="es-ES"/>
        </w:rPr>
        <w:t xml:space="preserve">Cecilia Silva, Bertha Aurora Millán Díaz, Karla Edith Gonzáles Alcántara (2016). </w:t>
      </w:r>
      <w:r w:rsidRPr="0033151F">
        <w:rPr>
          <w:rFonts w:ascii="Times New Roman" w:eastAsia="Times New Roman" w:hAnsi="Times New Roman"/>
          <w:i/>
          <w:sz w:val="24"/>
          <w:szCs w:val="20"/>
          <w:lang w:eastAsia="es-ES"/>
        </w:rPr>
        <w:t xml:space="preserve">Revista Mexicana de Trastornos Alimentarios, </w:t>
      </w:r>
      <w:r>
        <w:rPr>
          <w:rFonts w:ascii="Times New Roman" w:eastAsia="Times New Roman" w:hAnsi="Times New Roman"/>
          <w:i/>
          <w:sz w:val="24"/>
          <w:szCs w:val="20"/>
          <w:lang w:eastAsia="es-ES"/>
        </w:rPr>
        <w:t>40</w:t>
      </w:r>
      <w:r w:rsidRPr="0033151F">
        <w:rPr>
          <w:rFonts w:ascii="Times New Roman" w:eastAsia="Times New Roman" w:hAnsi="Times New Roman"/>
          <w:i/>
          <w:sz w:val="24"/>
          <w:szCs w:val="20"/>
          <w:lang w:eastAsia="es-ES"/>
        </w:rPr>
        <w:t>-4</w:t>
      </w:r>
      <w:r>
        <w:rPr>
          <w:rFonts w:ascii="Times New Roman" w:eastAsia="Times New Roman" w:hAnsi="Times New Roman"/>
          <w:i/>
          <w:sz w:val="24"/>
          <w:szCs w:val="20"/>
          <w:lang w:eastAsia="es-ES"/>
        </w:rPr>
        <w:t>8. México.</w:t>
      </w:r>
    </w:p>
    <w:p w:rsidR="0086614F" w:rsidRDefault="0086614F" w:rsidP="005F0084">
      <w:pPr>
        <w:pStyle w:val="Prrafodelista"/>
        <w:autoSpaceDE w:val="0"/>
        <w:autoSpaceDN w:val="0"/>
        <w:adjustRightInd w:val="0"/>
        <w:spacing w:after="0" w:line="240" w:lineRule="auto"/>
        <w:jc w:val="both"/>
        <w:rPr>
          <w:rFonts w:ascii="Times New Roman" w:eastAsia="Times New Roman" w:hAnsi="Times New Roman"/>
          <w:i/>
          <w:sz w:val="24"/>
          <w:szCs w:val="20"/>
          <w:lang w:eastAsia="es-ES"/>
        </w:rPr>
      </w:pP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 xml:space="preserve">El objetivo de este estudio fue </w:t>
      </w:r>
    </w:p>
    <w:p w:rsidR="005F0084" w:rsidRDefault="005F0084" w:rsidP="005F0084">
      <w:pPr>
        <w:pStyle w:val="Prrafodelista"/>
        <w:autoSpaceDE w:val="0"/>
        <w:autoSpaceDN w:val="0"/>
        <w:adjustRightInd w:val="0"/>
        <w:spacing w:after="0" w:line="240" w:lineRule="auto"/>
        <w:jc w:val="both"/>
        <w:rPr>
          <w:rFonts w:ascii="Times New Roman" w:eastAsia="Times New Roman" w:hAnsi="Times New Roman"/>
          <w:sz w:val="24"/>
          <w:szCs w:val="20"/>
          <w:lang w:eastAsia="es-ES"/>
        </w:rPr>
      </w:pPr>
    </w:p>
    <w:p w:rsidR="005F0084" w:rsidRDefault="005F0084"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Aporte</w:t>
      </w:r>
    </w:p>
    <w:p w:rsid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Metodología</w:t>
      </w:r>
    </w:p>
    <w:p w:rsid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Resultados</w:t>
      </w:r>
    </w:p>
    <w:p w:rsidR="00BA3CD5" w:rsidRPr="00BA3CD5" w:rsidRDefault="00BA3CD5" w:rsidP="00BA3CD5">
      <w:pPr>
        <w:pStyle w:val="Prrafodelista"/>
        <w:numPr>
          <w:ilvl w:val="0"/>
          <w:numId w:val="23"/>
        </w:numPr>
        <w:autoSpaceDE w:val="0"/>
        <w:autoSpaceDN w:val="0"/>
        <w:adjustRightInd w:val="0"/>
        <w:spacing w:after="0" w:line="240" w:lineRule="auto"/>
        <w:jc w:val="both"/>
        <w:rPr>
          <w:rFonts w:ascii="Times New Roman" w:eastAsia="Times New Roman" w:hAnsi="Times New Roman"/>
          <w:sz w:val="24"/>
          <w:szCs w:val="20"/>
          <w:lang w:eastAsia="es-ES"/>
        </w:rPr>
      </w:pPr>
      <w:r>
        <w:rPr>
          <w:rFonts w:ascii="Times New Roman" w:eastAsia="Times New Roman" w:hAnsi="Times New Roman"/>
          <w:sz w:val="24"/>
          <w:szCs w:val="20"/>
          <w:lang w:eastAsia="es-ES"/>
        </w:rPr>
        <w:t>Conclusiones</w:t>
      </w:r>
    </w:p>
    <w:p w:rsidR="006335C9" w:rsidRPr="0065596F" w:rsidRDefault="006335C9"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p>
    <w:p w:rsidR="0092437E" w:rsidRPr="0065596F" w:rsidRDefault="0092437E" w:rsidP="0065596F">
      <w:pPr>
        <w:pStyle w:val="Prrafodelista"/>
        <w:autoSpaceDE w:val="0"/>
        <w:autoSpaceDN w:val="0"/>
        <w:adjustRightInd w:val="0"/>
        <w:spacing w:after="0" w:line="240" w:lineRule="auto"/>
        <w:ind w:left="0"/>
        <w:jc w:val="both"/>
        <w:rPr>
          <w:rFonts w:ascii="Times New Roman" w:eastAsia="Times New Roman" w:hAnsi="Times New Roman"/>
          <w:sz w:val="24"/>
          <w:szCs w:val="20"/>
          <w:lang w:val="es-ES" w:eastAsia="es-ES"/>
        </w:rPr>
      </w:pPr>
      <w:r w:rsidRPr="0065596F">
        <w:rPr>
          <w:rFonts w:ascii="Times New Roman" w:eastAsia="Times New Roman" w:hAnsi="Times New Roman"/>
          <w:sz w:val="24"/>
          <w:szCs w:val="20"/>
          <w:lang w:val="es-ES" w:eastAsia="es-ES"/>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53373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Content>
            <w:p w:rsidR="00DE46C0" w:rsidRDefault="00253AEC" w:rsidP="00DE46C0">
              <w:pPr>
                <w:pStyle w:val="Bibliografa"/>
                <w:ind w:left="720" w:hanging="720"/>
                <w:rPr>
                  <w:noProof/>
                  <w:sz w:val="24"/>
                  <w:szCs w:val="24"/>
                  <w:lang w:val="es-ES"/>
                </w:rPr>
              </w:pPr>
              <w:r>
                <w:fldChar w:fldCharType="begin"/>
              </w:r>
              <w:r>
                <w:instrText>BIBLIOGRAPHY</w:instrText>
              </w:r>
              <w:r>
                <w:fldChar w:fldCharType="separate"/>
              </w:r>
              <w:r w:rsidR="00DE46C0">
                <w:rPr>
                  <w:noProof/>
                  <w:lang w:val="es-ES"/>
                </w:rPr>
                <w:t xml:space="preserve">Aliño Santiago, M., López Esquirol, J., &amp; Navarro Fernández, R. (2006). Adolescencia. Aspectos generales y atención a la salud. </w:t>
              </w:r>
              <w:r w:rsidR="00DE46C0">
                <w:rPr>
                  <w:i/>
                  <w:iCs/>
                  <w:noProof/>
                  <w:lang w:val="es-ES"/>
                </w:rPr>
                <w:t>Revista Cubana de Medicina General Integral</w:t>
              </w:r>
              <w:r w:rsidR="00DE46C0">
                <w:rPr>
                  <w:noProof/>
                  <w:lang w:val="es-ES"/>
                </w:rPr>
                <w:t>.</w:t>
              </w:r>
            </w:p>
            <w:p w:rsidR="00DE46C0" w:rsidRDefault="00DE46C0" w:rsidP="00DE46C0">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DE46C0" w:rsidRDefault="00DE46C0" w:rsidP="00DE46C0">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DE46C0" w:rsidRDefault="00DE46C0" w:rsidP="00DE46C0">
              <w:pPr>
                <w:pStyle w:val="Bibliografa"/>
                <w:ind w:left="720" w:hanging="720"/>
                <w:rPr>
                  <w:noProof/>
                  <w:lang w:val="es-ES"/>
                </w:rPr>
              </w:pPr>
              <w:r>
                <w:rPr>
                  <w:noProof/>
                  <w:lang w:val="es-ES"/>
                </w:rPr>
                <w:t xml:space="preserve">Constain, G. A., Rodríguez-Gázquez, M., Ramírez Jímenez, G. A., Gómez Vásquez, G. M., Mejía Cardona, L., &amp; Cardona Vélez, J. (2016). Validez y utilidad diagnóstica de la escala Eating Attitudes Test-26 para la evaluación del riesgo de trastornos de la conducta alimentaria en población masculina de Medellín, Colombia. </w:t>
              </w:r>
              <w:r>
                <w:rPr>
                  <w:i/>
                  <w:iCs/>
                  <w:noProof/>
                  <w:lang w:val="es-ES"/>
                </w:rPr>
                <w:t>Atención Primaria</w:t>
              </w:r>
              <w:r>
                <w:rPr>
                  <w:noProof/>
                  <w:lang w:val="es-ES"/>
                </w:rPr>
                <w:t>, 206-213.</w:t>
              </w:r>
            </w:p>
            <w:p w:rsidR="00DE46C0" w:rsidRDefault="00DE46C0" w:rsidP="00DE46C0">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DE46C0" w:rsidRDefault="00DE46C0" w:rsidP="00DE46C0">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DE46C0" w:rsidRPr="00DE46C0" w:rsidRDefault="00DE46C0" w:rsidP="00DE46C0">
              <w:pPr>
                <w:pStyle w:val="Bibliografa"/>
                <w:ind w:left="720" w:hanging="720"/>
                <w:rPr>
                  <w:noProof/>
                  <w:lang w:val="en-US"/>
                </w:rPr>
              </w:pPr>
              <w:r>
                <w:rPr>
                  <w:noProof/>
                  <w:lang w:val="es-ES"/>
                </w:rPr>
                <w:t xml:space="preserve">Grande, M., Cañon, R., &amp; Cantón, I. (2016). Tecnologías de la información y la comunicación: Evolución del concepto y características. </w:t>
              </w:r>
              <w:r w:rsidRPr="00DE46C0">
                <w:rPr>
                  <w:i/>
                  <w:iCs/>
                  <w:noProof/>
                  <w:lang w:val="en-US"/>
                </w:rPr>
                <w:t>International Journal of Educational Research an Innovation</w:t>
              </w:r>
              <w:r w:rsidRPr="00DE46C0">
                <w:rPr>
                  <w:noProof/>
                  <w:lang w:val="en-US"/>
                </w:rPr>
                <w:t>, 2018-230.</w:t>
              </w:r>
            </w:p>
            <w:p w:rsidR="00DE46C0" w:rsidRDefault="00DE46C0" w:rsidP="00DE46C0">
              <w:pPr>
                <w:pStyle w:val="Bibliografa"/>
                <w:ind w:left="720" w:hanging="720"/>
                <w:rPr>
                  <w:noProof/>
                  <w:lang w:val="es-ES"/>
                </w:rPr>
              </w:pPr>
              <w:r w:rsidRPr="00DE46C0">
                <w:rPr>
                  <w:noProof/>
                  <w:lang w:val="en-US"/>
                </w:rPr>
                <w:t xml:space="preserve">Iñarritu Pérez, M., Cruz Licea, V., &amp; Morán Álvarez, I. (2004). </w:t>
              </w:r>
              <w:r>
                <w:rPr>
                  <w:noProof/>
                  <w:lang w:val="es-ES"/>
                </w:rPr>
                <w:t xml:space="preserve">Instrumentos de Evaluación para los Trastornos de la Conducta Alimentaria. </w:t>
              </w:r>
              <w:r>
                <w:rPr>
                  <w:i/>
                  <w:iCs/>
                  <w:noProof/>
                  <w:lang w:val="es-ES"/>
                </w:rPr>
                <w:t>Revista de Salud Pública y Nutrición, 5</w:t>
              </w:r>
              <w:r>
                <w:rPr>
                  <w:noProof/>
                  <w:lang w:val="es-ES"/>
                </w:rPr>
                <w:t>(2).</w:t>
              </w:r>
            </w:p>
            <w:p w:rsidR="00DE46C0" w:rsidRDefault="00DE46C0" w:rsidP="00DE46C0">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DE46C0" w:rsidRDefault="00DE46C0" w:rsidP="00DE46C0">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DE46C0" w:rsidRDefault="00DE46C0" w:rsidP="00DE46C0">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DE46C0" w:rsidRDefault="00DE46C0" w:rsidP="00DE46C0">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DE46C0" w:rsidRDefault="00DE46C0" w:rsidP="00DE46C0">
              <w:pPr>
                <w:pStyle w:val="Bibliografa"/>
                <w:ind w:left="720" w:hanging="720"/>
                <w:rPr>
                  <w:noProof/>
                  <w:lang w:val="es-ES"/>
                </w:rPr>
              </w:pPr>
              <w:r>
                <w:rPr>
                  <w:noProof/>
                  <w:lang w:val="es-ES"/>
                </w:rPr>
                <w:lastRenderedPageBreak/>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DE46C0" w:rsidRDefault="00DE46C0" w:rsidP="00DE46C0">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DE46C0" w:rsidRDefault="00DE46C0" w:rsidP="00DE46C0">
              <w:pPr>
                <w:pStyle w:val="Bibliografa"/>
                <w:ind w:left="720" w:hanging="720"/>
                <w:rPr>
                  <w:noProof/>
                  <w:lang w:val="es-ES"/>
                </w:rPr>
              </w:pPr>
              <w:r>
                <w:rPr>
                  <w:noProof/>
                  <w:lang w:val="es-ES"/>
                </w:rPr>
                <w:t xml:space="preserve">Pastor Sanchez, J. (2013). </w:t>
              </w:r>
              <w:r>
                <w:rPr>
                  <w:i/>
                  <w:iCs/>
                  <w:noProof/>
                  <w:lang w:val="es-ES"/>
                </w:rPr>
                <w:t>Tecnologías de la Web Semántica.</w:t>
              </w:r>
              <w:r>
                <w:rPr>
                  <w:noProof/>
                  <w:lang w:val="es-ES"/>
                </w:rPr>
                <w:t xml:space="preserve"> UOC.</w:t>
              </w:r>
            </w:p>
            <w:p w:rsidR="00DE46C0" w:rsidRDefault="00DE46C0" w:rsidP="00DE46C0">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DE46C0" w:rsidRDefault="00DE46C0" w:rsidP="00DE46C0">
              <w:pPr>
                <w:pStyle w:val="Bibliografa"/>
                <w:ind w:left="720" w:hanging="720"/>
                <w:rPr>
                  <w:noProof/>
                  <w:lang w:val="es-ES"/>
                </w:rPr>
              </w:pPr>
              <w:r>
                <w:rPr>
                  <w:noProof/>
                  <w:lang w:val="es-ES"/>
                </w:rPr>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DE46C0" w:rsidRDefault="00DE46C0" w:rsidP="00DE46C0">
              <w:pPr>
                <w:pStyle w:val="Bibliografa"/>
                <w:ind w:left="720" w:hanging="720"/>
                <w:rPr>
                  <w:noProof/>
                  <w:lang w:val="es-ES"/>
                </w:rPr>
              </w:pPr>
              <w:r>
                <w:rPr>
                  <w:noProof/>
                  <w:lang w:val="es-ES"/>
                </w:rPr>
                <w:t xml:space="preserve">Rutsztein, G., Scappatura, M., &amp; Murawski, B. (2014). Perfeccionismo y baja autoestima en el continuo de los trastornos alimentarios en las adolescentes de Buenos Aires. </w:t>
              </w:r>
              <w:r>
                <w:rPr>
                  <w:i/>
                  <w:iCs/>
                  <w:noProof/>
                  <w:lang w:val="es-ES"/>
                </w:rPr>
                <w:t>Revista Mexicana de Trastornos Alimentarios</w:t>
              </w:r>
              <w:r>
                <w:rPr>
                  <w:noProof/>
                  <w:lang w:val="es-ES"/>
                </w:rPr>
                <w:t>, 39-49.</w:t>
              </w:r>
            </w:p>
            <w:p w:rsidR="00DE46C0" w:rsidRDefault="00DE46C0" w:rsidP="00DE46C0">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DE46C0" w:rsidRDefault="00DE46C0" w:rsidP="00DE46C0">
              <w:pPr>
                <w:pStyle w:val="Bibliografa"/>
                <w:ind w:left="720" w:hanging="720"/>
                <w:rPr>
                  <w:noProof/>
                  <w:lang w:val="es-ES"/>
                </w:rPr>
              </w:pPr>
              <w:r>
                <w:rPr>
                  <w:noProof/>
                  <w:lang w:val="es-ES"/>
                </w:rPr>
                <w:t xml:space="preserve">Silva, C., Millán Díaz, B., &amp; Gonzáles Alcántara, K. (2016). 3. Rol de género y actitudes alimentarias en adolescentes de dos diferentes contextos socioculturales: Tradicional vs. No Tradicional. </w:t>
              </w:r>
              <w:r>
                <w:rPr>
                  <w:i/>
                  <w:iCs/>
                  <w:noProof/>
                  <w:lang w:val="es-ES"/>
                </w:rPr>
                <w:t>Revista Mexicana de Trastornos Alimentarios</w:t>
              </w:r>
              <w:r>
                <w:rPr>
                  <w:noProof/>
                  <w:lang w:val="es-ES"/>
                </w:rPr>
                <w:t>, 40-48.</w:t>
              </w:r>
            </w:p>
            <w:p w:rsidR="00DE46C0" w:rsidRPr="00DE46C0" w:rsidRDefault="00DE46C0" w:rsidP="00DE46C0">
              <w:pPr>
                <w:pStyle w:val="Bibliografa"/>
                <w:ind w:left="720" w:hanging="720"/>
                <w:rPr>
                  <w:noProof/>
                  <w:lang w:val="en-US"/>
                </w:rPr>
              </w:pPr>
              <w:r>
                <w:rPr>
                  <w:noProof/>
                  <w:lang w:val="es-ES"/>
                </w:rPr>
                <w:t xml:space="preserve">UNICEF. (2011). </w:t>
              </w:r>
              <w:r>
                <w:rPr>
                  <w:i/>
                  <w:iCs/>
                  <w:noProof/>
                  <w:lang w:val="es-ES"/>
                </w:rPr>
                <w:t>La adolescencia. Una época de oportunidades.</w:t>
              </w:r>
              <w:r>
                <w:rPr>
                  <w:noProof/>
                  <w:lang w:val="es-ES"/>
                </w:rPr>
                <w:t xml:space="preserve"> </w:t>
              </w:r>
              <w:r w:rsidRPr="00DE46C0">
                <w:rPr>
                  <w:noProof/>
                  <w:lang w:val="en-US"/>
                </w:rPr>
                <w:t>Hatteras Press .</w:t>
              </w:r>
            </w:p>
            <w:p w:rsidR="00DE46C0" w:rsidRDefault="00DE46C0" w:rsidP="00DE46C0">
              <w:pPr>
                <w:pStyle w:val="Bibliografa"/>
                <w:ind w:left="720" w:hanging="720"/>
                <w:rPr>
                  <w:noProof/>
                  <w:lang w:val="es-ES"/>
                </w:rPr>
              </w:pPr>
              <w:r w:rsidRPr="00DE46C0">
                <w:rPr>
                  <w:noProof/>
                  <w:lang w:val="en-US"/>
                </w:rPr>
                <w:t xml:space="preserve">Vargas Baldares, M. J. (2013). </w:t>
              </w:r>
              <w:r>
                <w:rPr>
                  <w:noProof/>
                  <w:lang w:val="es-ES"/>
                </w:rPr>
                <w:t xml:space="preserve">Trastornos de la conducta alimentaria. </w:t>
              </w:r>
              <w:r>
                <w:rPr>
                  <w:i/>
                  <w:iCs/>
                  <w:noProof/>
                  <w:lang w:val="es-ES"/>
                </w:rPr>
                <w:t>Revista Médica de Costa Rica y Centroamérica LXX</w:t>
              </w:r>
              <w:r>
                <w:rPr>
                  <w:noProof/>
                  <w:lang w:val="es-ES"/>
                </w:rPr>
                <w:t>, 475-482.</w:t>
              </w:r>
            </w:p>
            <w:p w:rsidR="00253AEC" w:rsidRDefault="00253AEC" w:rsidP="00DE46C0">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E22C9A" w:rsidP="005F0473">
      <w:pPr>
        <w:jc w:val="both"/>
      </w:pPr>
      <w:hyperlink r:id="rId17"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E22C9A" w:rsidP="005F0473">
      <w:pPr>
        <w:jc w:val="both"/>
      </w:pPr>
      <w:hyperlink r:id="rId18" w:history="1">
        <w:r w:rsidR="00E3466F" w:rsidRPr="00DD1ED9">
          <w:rPr>
            <w:rStyle w:val="Hipervnculo"/>
          </w:rPr>
          <w:t>https://peru21.pe/lima/preocupante-hay-500-casos-bulimia-anorexia-peru-179481</w:t>
        </w:r>
      </w:hyperlink>
      <w:r w:rsidR="00E3466F">
        <w:t xml:space="preserve"> (antecedentes)</w:t>
      </w:r>
    </w:p>
    <w:p w:rsidR="003D5B44" w:rsidRDefault="00E22C9A" w:rsidP="005F0473">
      <w:pPr>
        <w:jc w:val="both"/>
      </w:pPr>
      <w:hyperlink r:id="rId19" w:history="1">
        <w:r w:rsidR="003D5B44" w:rsidRPr="00C15009">
          <w:rPr>
            <w:rStyle w:val="Hipervnculo"/>
          </w:rPr>
          <w:t>https://vinv.ucr.ac.cr/es/noticias/estudio-revela-riesgo-de-anorexia-nerviosa-en-adolescentes-ticas</w:t>
        </w:r>
      </w:hyperlink>
      <w:r w:rsidR="003D5B44">
        <w:t xml:space="preserve"> (antecedentes) </w:t>
      </w:r>
    </w:p>
    <w:p w:rsidR="00BC66C1" w:rsidRDefault="00E22C9A" w:rsidP="005F0473">
      <w:pPr>
        <w:jc w:val="both"/>
      </w:pPr>
      <w:hyperlink r:id="rId20"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E22C9A" w:rsidP="002D752D">
      <w:pPr>
        <w:jc w:val="both"/>
      </w:pPr>
      <w:hyperlink r:id="rId21"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E22C9A" w:rsidP="002D752D">
      <w:pPr>
        <w:jc w:val="both"/>
      </w:pPr>
      <w:hyperlink r:id="rId22"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E16" w:rsidRDefault="00B50E16" w:rsidP="00E3466F">
      <w:pPr>
        <w:spacing w:after="0" w:line="240" w:lineRule="auto"/>
      </w:pPr>
      <w:r>
        <w:separator/>
      </w:r>
    </w:p>
  </w:endnote>
  <w:endnote w:type="continuationSeparator" w:id="0">
    <w:p w:rsidR="00B50E16" w:rsidRDefault="00B50E16"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E16" w:rsidRDefault="00B50E16" w:rsidP="00E3466F">
      <w:pPr>
        <w:spacing w:after="0" w:line="240" w:lineRule="auto"/>
      </w:pPr>
      <w:r>
        <w:separator/>
      </w:r>
    </w:p>
  </w:footnote>
  <w:footnote w:type="continuationSeparator" w:id="0">
    <w:p w:rsidR="00B50E16" w:rsidRDefault="00B50E16"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2EBE7E55"/>
    <w:multiLevelType w:val="hybridMultilevel"/>
    <w:tmpl w:val="E4F6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4"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5"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6"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9"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0" w15:restartNumberingAfterBreak="0">
    <w:nsid w:val="7C884DA0"/>
    <w:multiLevelType w:val="hybridMultilevel"/>
    <w:tmpl w:val="D9426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F47A4"/>
    <w:multiLevelType w:val="hybridMultilevel"/>
    <w:tmpl w:val="F604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22"/>
  </w:num>
  <w:num w:numId="3">
    <w:abstractNumId w:val="18"/>
  </w:num>
  <w:num w:numId="4">
    <w:abstractNumId w:val="3"/>
  </w:num>
  <w:num w:numId="5">
    <w:abstractNumId w:val="7"/>
  </w:num>
  <w:num w:numId="6">
    <w:abstractNumId w:val="5"/>
  </w:num>
  <w:num w:numId="7">
    <w:abstractNumId w:val="8"/>
  </w:num>
  <w:num w:numId="8">
    <w:abstractNumId w:val="17"/>
  </w:num>
  <w:num w:numId="9">
    <w:abstractNumId w:val="9"/>
  </w:num>
  <w:num w:numId="10">
    <w:abstractNumId w:val="14"/>
  </w:num>
  <w:num w:numId="11">
    <w:abstractNumId w:val="1"/>
  </w:num>
  <w:num w:numId="12">
    <w:abstractNumId w:val="13"/>
  </w:num>
  <w:num w:numId="13">
    <w:abstractNumId w:val="19"/>
  </w:num>
  <w:num w:numId="14">
    <w:abstractNumId w:val="6"/>
  </w:num>
  <w:num w:numId="15">
    <w:abstractNumId w:val="16"/>
  </w:num>
  <w:num w:numId="16">
    <w:abstractNumId w:val="11"/>
  </w:num>
  <w:num w:numId="17">
    <w:abstractNumId w:val="12"/>
  </w:num>
  <w:num w:numId="18">
    <w:abstractNumId w:val="4"/>
  </w:num>
  <w:num w:numId="19">
    <w:abstractNumId w:val="15"/>
  </w:num>
  <w:num w:numId="20">
    <w:abstractNumId w:val="2"/>
  </w:num>
  <w:num w:numId="21">
    <w:abstractNumId w:val="2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47089"/>
    <w:rsid w:val="0005159B"/>
    <w:rsid w:val="00052AE6"/>
    <w:rsid w:val="000570B9"/>
    <w:rsid w:val="00060366"/>
    <w:rsid w:val="00064E86"/>
    <w:rsid w:val="00065198"/>
    <w:rsid w:val="00066460"/>
    <w:rsid w:val="00070563"/>
    <w:rsid w:val="0007139A"/>
    <w:rsid w:val="000763E0"/>
    <w:rsid w:val="000838F0"/>
    <w:rsid w:val="00084D0C"/>
    <w:rsid w:val="0008563B"/>
    <w:rsid w:val="00091C6C"/>
    <w:rsid w:val="00093390"/>
    <w:rsid w:val="000939C9"/>
    <w:rsid w:val="00095025"/>
    <w:rsid w:val="000A4DF9"/>
    <w:rsid w:val="000A78E3"/>
    <w:rsid w:val="000B30BD"/>
    <w:rsid w:val="000B7916"/>
    <w:rsid w:val="000C18B8"/>
    <w:rsid w:val="000C1A71"/>
    <w:rsid w:val="000C1F27"/>
    <w:rsid w:val="000C2377"/>
    <w:rsid w:val="000C34B6"/>
    <w:rsid w:val="000C77ED"/>
    <w:rsid w:val="000D0DB2"/>
    <w:rsid w:val="000D4E24"/>
    <w:rsid w:val="000D75BF"/>
    <w:rsid w:val="000E0C1B"/>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4E1"/>
    <w:rsid w:val="00162F58"/>
    <w:rsid w:val="00164597"/>
    <w:rsid w:val="001667A6"/>
    <w:rsid w:val="00167BDD"/>
    <w:rsid w:val="001827D8"/>
    <w:rsid w:val="001850FD"/>
    <w:rsid w:val="00185269"/>
    <w:rsid w:val="00187AAC"/>
    <w:rsid w:val="001A1D5D"/>
    <w:rsid w:val="001A2911"/>
    <w:rsid w:val="001A4055"/>
    <w:rsid w:val="001A779C"/>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C83"/>
    <w:rsid w:val="00246FC9"/>
    <w:rsid w:val="0024717F"/>
    <w:rsid w:val="00247D21"/>
    <w:rsid w:val="002502BB"/>
    <w:rsid w:val="0025303D"/>
    <w:rsid w:val="00253AEC"/>
    <w:rsid w:val="002609F5"/>
    <w:rsid w:val="00260E68"/>
    <w:rsid w:val="00261B53"/>
    <w:rsid w:val="00262715"/>
    <w:rsid w:val="002744C1"/>
    <w:rsid w:val="0027713B"/>
    <w:rsid w:val="0028036F"/>
    <w:rsid w:val="00285321"/>
    <w:rsid w:val="0028570F"/>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2970"/>
    <w:rsid w:val="00303DC7"/>
    <w:rsid w:val="00304169"/>
    <w:rsid w:val="003057FA"/>
    <w:rsid w:val="00306C2A"/>
    <w:rsid w:val="0031057D"/>
    <w:rsid w:val="00314907"/>
    <w:rsid w:val="00317740"/>
    <w:rsid w:val="0033148B"/>
    <w:rsid w:val="0033151F"/>
    <w:rsid w:val="003324D8"/>
    <w:rsid w:val="00332EC3"/>
    <w:rsid w:val="00333F06"/>
    <w:rsid w:val="003348D9"/>
    <w:rsid w:val="00335056"/>
    <w:rsid w:val="00336B1E"/>
    <w:rsid w:val="003370B2"/>
    <w:rsid w:val="003370EA"/>
    <w:rsid w:val="00337E0B"/>
    <w:rsid w:val="00341CBB"/>
    <w:rsid w:val="00341EA6"/>
    <w:rsid w:val="0034370D"/>
    <w:rsid w:val="00351557"/>
    <w:rsid w:val="00354233"/>
    <w:rsid w:val="003544C4"/>
    <w:rsid w:val="00354B7B"/>
    <w:rsid w:val="00355C83"/>
    <w:rsid w:val="00360053"/>
    <w:rsid w:val="00363269"/>
    <w:rsid w:val="00363A8E"/>
    <w:rsid w:val="003668DD"/>
    <w:rsid w:val="00367CF2"/>
    <w:rsid w:val="00370B9D"/>
    <w:rsid w:val="00371635"/>
    <w:rsid w:val="0037411C"/>
    <w:rsid w:val="0037554A"/>
    <w:rsid w:val="00376342"/>
    <w:rsid w:val="003849EA"/>
    <w:rsid w:val="0039449B"/>
    <w:rsid w:val="00397A19"/>
    <w:rsid w:val="00397EB8"/>
    <w:rsid w:val="003A1900"/>
    <w:rsid w:val="003A265A"/>
    <w:rsid w:val="003A5DF9"/>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F6E2C"/>
    <w:rsid w:val="004040FB"/>
    <w:rsid w:val="00404C04"/>
    <w:rsid w:val="004056FA"/>
    <w:rsid w:val="00406D10"/>
    <w:rsid w:val="00412667"/>
    <w:rsid w:val="00413719"/>
    <w:rsid w:val="00417DBF"/>
    <w:rsid w:val="00423F56"/>
    <w:rsid w:val="00432D73"/>
    <w:rsid w:val="00464B4A"/>
    <w:rsid w:val="00466DFB"/>
    <w:rsid w:val="004712B7"/>
    <w:rsid w:val="00471B10"/>
    <w:rsid w:val="00471CAF"/>
    <w:rsid w:val="00472269"/>
    <w:rsid w:val="00472E2F"/>
    <w:rsid w:val="00474B1F"/>
    <w:rsid w:val="00476452"/>
    <w:rsid w:val="004837F0"/>
    <w:rsid w:val="0048385E"/>
    <w:rsid w:val="00483A58"/>
    <w:rsid w:val="004843C2"/>
    <w:rsid w:val="00486B5A"/>
    <w:rsid w:val="0049284E"/>
    <w:rsid w:val="00496D64"/>
    <w:rsid w:val="00497544"/>
    <w:rsid w:val="00497581"/>
    <w:rsid w:val="004A0630"/>
    <w:rsid w:val="004A2E45"/>
    <w:rsid w:val="004A340C"/>
    <w:rsid w:val="004A43B8"/>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2B4B"/>
    <w:rsid w:val="00513A4B"/>
    <w:rsid w:val="00515337"/>
    <w:rsid w:val="005158EC"/>
    <w:rsid w:val="00515E6A"/>
    <w:rsid w:val="00521D35"/>
    <w:rsid w:val="00521D5F"/>
    <w:rsid w:val="00523F7E"/>
    <w:rsid w:val="00525658"/>
    <w:rsid w:val="0053373E"/>
    <w:rsid w:val="005341FD"/>
    <w:rsid w:val="00537720"/>
    <w:rsid w:val="00541B90"/>
    <w:rsid w:val="00541CBE"/>
    <w:rsid w:val="00550E2B"/>
    <w:rsid w:val="00554CFC"/>
    <w:rsid w:val="005567B6"/>
    <w:rsid w:val="00561C29"/>
    <w:rsid w:val="00561F43"/>
    <w:rsid w:val="00562489"/>
    <w:rsid w:val="005668E4"/>
    <w:rsid w:val="005702B7"/>
    <w:rsid w:val="00575070"/>
    <w:rsid w:val="0057607C"/>
    <w:rsid w:val="005760EC"/>
    <w:rsid w:val="00577313"/>
    <w:rsid w:val="005805DD"/>
    <w:rsid w:val="005810B2"/>
    <w:rsid w:val="00590A99"/>
    <w:rsid w:val="00591068"/>
    <w:rsid w:val="00592C3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084"/>
    <w:rsid w:val="005F0473"/>
    <w:rsid w:val="005F16A1"/>
    <w:rsid w:val="005F65E2"/>
    <w:rsid w:val="00601716"/>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596F"/>
    <w:rsid w:val="00657C76"/>
    <w:rsid w:val="006606A7"/>
    <w:rsid w:val="00663969"/>
    <w:rsid w:val="00676BA1"/>
    <w:rsid w:val="00677712"/>
    <w:rsid w:val="006811BD"/>
    <w:rsid w:val="00683797"/>
    <w:rsid w:val="0069534D"/>
    <w:rsid w:val="006968AA"/>
    <w:rsid w:val="006A12E2"/>
    <w:rsid w:val="006A385A"/>
    <w:rsid w:val="006B0AB4"/>
    <w:rsid w:val="006B2280"/>
    <w:rsid w:val="006B6943"/>
    <w:rsid w:val="006C15DE"/>
    <w:rsid w:val="006C1D86"/>
    <w:rsid w:val="006C4AE4"/>
    <w:rsid w:val="006D11A4"/>
    <w:rsid w:val="006D54FB"/>
    <w:rsid w:val="006D594C"/>
    <w:rsid w:val="006F1B47"/>
    <w:rsid w:val="007018FA"/>
    <w:rsid w:val="00703014"/>
    <w:rsid w:val="007268A2"/>
    <w:rsid w:val="0073172F"/>
    <w:rsid w:val="00732389"/>
    <w:rsid w:val="00732FD0"/>
    <w:rsid w:val="00742F3E"/>
    <w:rsid w:val="007447D3"/>
    <w:rsid w:val="00753831"/>
    <w:rsid w:val="00757CA7"/>
    <w:rsid w:val="007678C3"/>
    <w:rsid w:val="007746E6"/>
    <w:rsid w:val="00780671"/>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239C8"/>
    <w:rsid w:val="008249C6"/>
    <w:rsid w:val="00827990"/>
    <w:rsid w:val="00827B7B"/>
    <w:rsid w:val="00831BDA"/>
    <w:rsid w:val="008357A4"/>
    <w:rsid w:val="00836852"/>
    <w:rsid w:val="00844EE6"/>
    <w:rsid w:val="0084644F"/>
    <w:rsid w:val="008506D2"/>
    <w:rsid w:val="0085441E"/>
    <w:rsid w:val="0085522F"/>
    <w:rsid w:val="00857E53"/>
    <w:rsid w:val="00857F67"/>
    <w:rsid w:val="008617A2"/>
    <w:rsid w:val="00862F20"/>
    <w:rsid w:val="00864FB2"/>
    <w:rsid w:val="0086614F"/>
    <w:rsid w:val="00870004"/>
    <w:rsid w:val="00870719"/>
    <w:rsid w:val="00871808"/>
    <w:rsid w:val="00871BAF"/>
    <w:rsid w:val="0087568C"/>
    <w:rsid w:val="008758FB"/>
    <w:rsid w:val="00877998"/>
    <w:rsid w:val="00882752"/>
    <w:rsid w:val="00886DDD"/>
    <w:rsid w:val="00895805"/>
    <w:rsid w:val="008A0CAF"/>
    <w:rsid w:val="008A2BD4"/>
    <w:rsid w:val="008A58DD"/>
    <w:rsid w:val="008B6C08"/>
    <w:rsid w:val="008C21BD"/>
    <w:rsid w:val="008C35F2"/>
    <w:rsid w:val="008C5E21"/>
    <w:rsid w:val="008C7E2F"/>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1791"/>
    <w:rsid w:val="00923E23"/>
    <w:rsid w:val="0092430C"/>
    <w:rsid w:val="0092437E"/>
    <w:rsid w:val="009254FC"/>
    <w:rsid w:val="0092780E"/>
    <w:rsid w:val="00932AFC"/>
    <w:rsid w:val="009363E4"/>
    <w:rsid w:val="00941EF9"/>
    <w:rsid w:val="00956AE1"/>
    <w:rsid w:val="0096067F"/>
    <w:rsid w:val="00960712"/>
    <w:rsid w:val="00960D15"/>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B3B4D"/>
    <w:rsid w:val="009B3CCF"/>
    <w:rsid w:val="009B7B1A"/>
    <w:rsid w:val="009C097B"/>
    <w:rsid w:val="009C0C04"/>
    <w:rsid w:val="009C1FE5"/>
    <w:rsid w:val="009C487B"/>
    <w:rsid w:val="009C6A1E"/>
    <w:rsid w:val="009C7751"/>
    <w:rsid w:val="009D1E54"/>
    <w:rsid w:val="009D3594"/>
    <w:rsid w:val="009D60AE"/>
    <w:rsid w:val="009D7399"/>
    <w:rsid w:val="009E0AAA"/>
    <w:rsid w:val="009E5E17"/>
    <w:rsid w:val="009F2B77"/>
    <w:rsid w:val="009F3C02"/>
    <w:rsid w:val="009F4EB7"/>
    <w:rsid w:val="009F5D83"/>
    <w:rsid w:val="00A00E4B"/>
    <w:rsid w:val="00A0479B"/>
    <w:rsid w:val="00A1159B"/>
    <w:rsid w:val="00A12D46"/>
    <w:rsid w:val="00A16992"/>
    <w:rsid w:val="00A17631"/>
    <w:rsid w:val="00A21011"/>
    <w:rsid w:val="00A2205B"/>
    <w:rsid w:val="00A27ACE"/>
    <w:rsid w:val="00A34B8A"/>
    <w:rsid w:val="00A354B9"/>
    <w:rsid w:val="00A37862"/>
    <w:rsid w:val="00A402B9"/>
    <w:rsid w:val="00A43923"/>
    <w:rsid w:val="00A45D98"/>
    <w:rsid w:val="00A47AD2"/>
    <w:rsid w:val="00A47EF3"/>
    <w:rsid w:val="00A50A3D"/>
    <w:rsid w:val="00A50EDA"/>
    <w:rsid w:val="00A52686"/>
    <w:rsid w:val="00A5473C"/>
    <w:rsid w:val="00A54AB4"/>
    <w:rsid w:val="00A5690D"/>
    <w:rsid w:val="00A61BB9"/>
    <w:rsid w:val="00A64870"/>
    <w:rsid w:val="00A64B03"/>
    <w:rsid w:val="00A66652"/>
    <w:rsid w:val="00A757A6"/>
    <w:rsid w:val="00A83C80"/>
    <w:rsid w:val="00A83F95"/>
    <w:rsid w:val="00A930E3"/>
    <w:rsid w:val="00AA3A11"/>
    <w:rsid w:val="00AA4E7D"/>
    <w:rsid w:val="00AA685A"/>
    <w:rsid w:val="00AB028C"/>
    <w:rsid w:val="00AB46A5"/>
    <w:rsid w:val="00AB6AE1"/>
    <w:rsid w:val="00AC2CE1"/>
    <w:rsid w:val="00AC3941"/>
    <w:rsid w:val="00AC522F"/>
    <w:rsid w:val="00AD21F5"/>
    <w:rsid w:val="00AD7946"/>
    <w:rsid w:val="00AE2444"/>
    <w:rsid w:val="00AE3D09"/>
    <w:rsid w:val="00AE42EC"/>
    <w:rsid w:val="00AE47E5"/>
    <w:rsid w:val="00AE7106"/>
    <w:rsid w:val="00AF381A"/>
    <w:rsid w:val="00AF69E8"/>
    <w:rsid w:val="00B03666"/>
    <w:rsid w:val="00B10E3D"/>
    <w:rsid w:val="00B138CD"/>
    <w:rsid w:val="00B16840"/>
    <w:rsid w:val="00B22414"/>
    <w:rsid w:val="00B23315"/>
    <w:rsid w:val="00B237DA"/>
    <w:rsid w:val="00B23879"/>
    <w:rsid w:val="00B23FB9"/>
    <w:rsid w:val="00B25712"/>
    <w:rsid w:val="00B26E18"/>
    <w:rsid w:val="00B27B6A"/>
    <w:rsid w:val="00B325E4"/>
    <w:rsid w:val="00B40014"/>
    <w:rsid w:val="00B409B9"/>
    <w:rsid w:val="00B41C58"/>
    <w:rsid w:val="00B42D04"/>
    <w:rsid w:val="00B44908"/>
    <w:rsid w:val="00B50E16"/>
    <w:rsid w:val="00B51852"/>
    <w:rsid w:val="00B533E3"/>
    <w:rsid w:val="00B53756"/>
    <w:rsid w:val="00B56345"/>
    <w:rsid w:val="00B56521"/>
    <w:rsid w:val="00B62ABF"/>
    <w:rsid w:val="00B655E3"/>
    <w:rsid w:val="00B67883"/>
    <w:rsid w:val="00B7406F"/>
    <w:rsid w:val="00B773A2"/>
    <w:rsid w:val="00B85C58"/>
    <w:rsid w:val="00B87BA9"/>
    <w:rsid w:val="00B93474"/>
    <w:rsid w:val="00B9466D"/>
    <w:rsid w:val="00BA11E6"/>
    <w:rsid w:val="00BA1C7A"/>
    <w:rsid w:val="00BA277C"/>
    <w:rsid w:val="00BA3CD5"/>
    <w:rsid w:val="00BA542A"/>
    <w:rsid w:val="00BA71DD"/>
    <w:rsid w:val="00BC045F"/>
    <w:rsid w:val="00BC66C1"/>
    <w:rsid w:val="00BD0A86"/>
    <w:rsid w:val="00BD14CC"/>
    <w:rsid w:val="00BE0804"/>
    <w:rsid w:val="00BE0E78"/>
    <w:rsid w:val="00BE1C8E"/>
    <w:rsid w:val="00BE5ABA"/>
    <w:rsid w:val="00BE6B9F"/>
    <w:rsid w:val="00BF4F69"/>
    <w:rsid w:val="00C00062"/>
    <w:rsid w:val="00C04C9F"/>
    <w:rsid w:val="00C0640D"/>
    <w:rsid w:val="00C11BAC"/>
    <w:rsid w:val="00C15CE0"/>
    <w:rsid w:val="00C167B9"/>
    <w:rsid w:val="00C20B5B"/>
    <w:rsid w:val="00C228EE"/>
    <w:rsid w:val="00C23306"/>
    <w:rsid w:val="00C23A6D"/>
    <w:rsid w:val="00C24D11"/>
    <w:rsid w:val="00C26B66"/>
    <w:rsid w:val="00C31976"/>
    <w:rsid w:val="00C33FDB"/>
    <w:rsid w:val="00C34200"/>
    <w:rsid w:val="00C35DE7"/>
    <w:rsid w:val="00C37487"/>
    <w:rsid w:val="00C4346D"/>
    <w:rsid w:val="00C47F06"/>
    <w:rsid w:val="00C518C4"/>
    <w:rsid w:val="00C561D0"/>
    <w:rsid w:val="00C62D71"/>
    <w:rsid w:val="00C71BA8"/>
    <w:rsid w:val="00C777B9"/>
    <w:rsid w:val="00C80347"/>
    <w:rsid w:val="00C8255F"/>
    <w:rsid w:val="00C90414"/>
    <w:rsid w:val="00C94584"/>
    <w:rsid w:val="00CA1155"/>
    <w:rsid w:val="00CA22E7"/>
    <w:rsid w:val="00CA236A"/>
    <w:rsid w:val="00CA2BBC"/>
    <w:rsid w:val="00CA2F30"/>
    <w:rsid w:val="00CA7FA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5EAE"/>
    <w:rsid w:val="00CF6175"/>
    <w:rsid w:val="00D03A39"/>
    <w:rsid w:val="00D06D86"/>
    <w:rsid w:val="00D071E2"/>
    <w:rsid w:val="00D12EF4"/>
    <w:rsid w:val="00D15E08"/>
    <w:rsid w:val="00D172DC"/>
    <w:rsid w:val="00D20C55"/>
    <w:rsid w:val="00D22265"/>
    <w:rsid w:val="00D235C1"/>
    <w:rsid w:val="00D25A36"/>
    <w:rsid w:val="00D25B6C"/>
    <w:rsid w:val="00D26A45"/>
    <w:rsid w:val="00D27D8C"/>
    <w:rsid w:val="00D32CF1"/>
    <w:rsid w:val="00D34E63"/>
    <w:rsid w:val="00D36B1D"/>
    <w:rsid w:val="00D415DB"/>
    <w:rsid w:val="00D42C68"/>
    <w:rsid w:val="00D51A95"/>
    <w:rsid w:val="00D55585"/>
    <w:rsid w:val="00D55AD8"/>
    <w:rsid w:val="00D60052"/>
    <w:rsid w:val="00D6796C"/>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A6CD7"/>
    <w:rsid w:val="00DB12C7"/>
    <w:rsid w:val="00DB12F6"/>
    <w:rsid w:val="00DB375C"/>
    <w:rsid w:val="00DB5835"/>
    <w:rsid w:val="00DC3074"/>
    <w:rsid w:val="00DC3F9A"/>
    <w:rsid w:val="00DC6EEB"/>
    <w:rsid w:val="00DC7A90"/>
    <w:rsid w:val="00DD1464"/>
    <w:rsid w:val="00DD2EE5"/>
    <w:rsid w:val="00DD35A0"/>
    <w:rsid w:val="00DD4029"/>
    <w:rsid w:val="00DE1DA8"/>
    <w:rsid w:val="00DE33F7"/>
    <w:rsid w:val="00DE46C0"/>
    <w:rsid w:val="00DE4AA9"/>
    <w:rsid w:val="00DE4CFF"/>
    <w:rsid w:val="00DF3AD1"/>
    <w:rsid w:val="00DF540F"/>
    <w:rsid w:val="00DF5FF1"/>
    <w:rsid w:val="00E00617"/>
    <w:rsid w:val="00E01070"/>
    <w:rsid w:val="00E0127D"/>
    <w:rsid w:val="00E041D1"/>
    <w:rsid w:val="00E04204"/>
    <w:rsid w:val="00E13F3A"/>
    <w:rsid w:val="00E14485"/>
    <w:rsid w:val="00E179E5"/>
    <w:rsid w:val="00E22C9A"/>
    <w:rsid w:val="00E244AC"/>
    <w:rsid w:val="00E248AC"/>
    <w:rsid w:val="00E3466F"/>
    <w:rsid w:val="00E370B4"/>
    <w:rsid w:val="00E37412"/>
    <w:rsid w:val="00E37675"/>
    <w:rsid w:val="00E4051C"/>
    <w:rsid w:val="00E42AC1"/>
    <w:rsid w:val="00E44654"/>
    <w:rsid w:val="00E507B1"/>
    <w:rsid w:val="00E514C3"/>
    <w:rsid w:val="00E528D3"/>
    <w:rsid w:val="00E532BD"/>
    <w:rsid w:val="00E53F9E"/>
    <w:rsid w:val="00E54FA7"/>
    <w:rsid w:val="00E66684"/>
    <w:rsid w:val="00E83A44"/>
    <w:rsid w:val="00E8449D"/>
    <w:rsid w:val="00E879FC"/>
    <w:rsid w:val="00E9137E"/>
    <w:rsid w:val="00E952EF"/>
    <w:rsid w:val="00E96F50"/>
    <w:rsid w:val="00E9740A"/>
    <w:rsid w:val="00E978E9"/>
    <w:rsid w:val="00E97A16"/>
    <w:rsid w:val="00EA7F6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EF605D"/>
    <w:rsid w:val="00F02663"/>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7430B"/>
    <w:rsid w:val="00F77C6C"/>
    <w:rsid w:val="00F81C2C"/>
    <w:rsid w:val="00F82406"/>
    <w:rsid w:val="00F907C1"/>
    <w:rsid w:val="00FA1B66"/>
    <w:rsid w:val="00FA446C"/>
    <w:rsid w:val="00FB0D5A"/>
    <w:rsid w:val="00FB2907"/>
    <w:rsid w:val="00FB2E84"/>
    <w:rsid w:val="00FB2EB3"/>
    <w:rsid w:val="00FB5250"/>
    <w:rsid w:val="00FB670D"/>
    <w:rsid w:val="00FB7754"/>
    <w:rsid w:val="00FC3FD2"/>
    <w:rsid w:val="00FC517B"/>
    <w:rsid w:val="00FC52B3"/>
    <w:rsid w:val="00FC77BC"/>
    <w:rsid w:val="00FD03AF"/>
    <w:rsid w:val="00FD6B83"/>
    <w:rsid w:val="00FE7B32"/>
    <w:rsid w:val="00FF36B8"/>
    <w:rsid w:val="00FF468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8C63"/>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 w:type="paragraph" w:styleId="Descripcin">
    <w:name w:val="caption"/>
    <w:basedOn w:val="Normal"/>
    <w:next w:val="Normal"/>
    <w:uiPriority w:val="35"/>
    <w:unhideWhenUsed/>
    <w:qFormat/>
    <w:rsid w:val="0053373E"/>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337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16007615">
      <w:bodyDiv w:val="1"/>
      <w:marLeft w:val="0"/>
      <w:marRight w:val="0"/>
      <w:marTop w:val="0"/>
      <w:marBottom w:val="0"/>
      <w:divBdr>
        <w:top w:val="none" w:sz="0" w:space="0" w:color="auto"/>
        <w:left w:val="none" w:sz="0" w:space="0" w:color="auto"/>
        <w:bottom w:val="none" w:sz="0" w:space="0" w:color="auto"/>
        <w:right w:val="none" w:sz="0" w:space="0" w:color="auto"/>
      </w:divBdr>
    </w:div>
    <w:div w:id="24521961">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633986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2706041">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08477196">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79324502">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36018242">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4896359">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01158965">
      <w:bodyDiv w:val="1"/>
      <w:marLeft w:val="0"/>
      <w:marRight w:val="0"/>
      <w:marTop w:val="0"/>
      <w:marBottom w:val="0"/>
      <w:divBdr>
        <w:top w:val="none" w:sz="0" w:space="0" w:color="auto"/>
        <w:left w:val="none" w:sz="0" w:space="0" w:color="auto"/>
        <w:bottom w:val="none" w:sz="0" w:space="0" w:color="auto"/>
        <w:right w:val="none" w:sz="0" w:space="0" w:color="auto"/>
      </w:divBdr>
    </w:div>
    <w:div w:id="31962011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4965492">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364671195">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2486854">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55489079">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75225670">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84587448">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29495833">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58865850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54795769">
      <w:bodyDiv w:val="1"/>
      <w:marLeft w:val="0"/>
      <w:marRight w:val="0"/>
      <w:marTop w:val="0"/>
      <w:marBottom w:val="0"/>
      <w:divBdr>
        <w:top w:val="none" w:sz="0" w:space="0" w:color="auto"/>
        <w:left w:val="none" w:sz="0" w:space="0" w:color="auto"/>
        <w:bottom w:val="none" w:sz="0" w:space="0" w:color="auto"/>
        <w:right w:val="none" w:sz="0" w:space="0" w:color="auto"/>
      </w:divBdr>
    </w:div>
    <w:div w:id="673071870">
      <w:bodyDiv w:val="1"/>
      <w:marLeft w:val="0"/>
      <w:marRight w:val="0"/>
      <w:marTop w:val="0"/>
      <w:marBottom w:val="0"/>
      <w:divBdr>
        <w:top w:val="none" w:sz="0" w:space="0" w:color="auto"/>
        <w:left w:val="none" w:sz="0" w:space="0" w:color="auto"/>
        <w:bottom w:val="none" w:sz="0" w:space="0" w:color="auto"/>
        <w:right w:val="none" w:sz="0" w:space="0" w:color="auto"/>
      </w:divBdr>
    </w:div>
    <w:div w:id="685055856">
      <w:bodyDiv w:val="1"/>
      <w:marLeft w:val="0"/>
      <w:marRight w:val="0"/>
      <w:marTop w:val="0"/>
      <w:marBottom w:val="0"/>
      <w:divBdr>
        <w:top w:val="none" w:sz="0" w:space="0" w:color="auto"/>
        <w:left w:val="none" w:sz="0" w:space="0" w:color="auto"/>
        <w:bottom w:val="none" w:sz="0" w:space="0" w:color="auto"/>
        <w:right w:val="none" w:sz="0" w:space="0" w:color="auto"/>
      </w:divBdr>
    </w:div>
    <w:div w:id="68625218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13971478">
      <w:bodyDiv w:val="1"/>
      <w:marLeft w:val="0"/>
      <w:marRight w:val="0"/>
      <w:marTop w:val="0"/>
      <w:marBottom w:val="0"/>
      <w:divBdr>
        <w:top w:val="none" w:sz="0" w:space="0" w:color="auto"/>
        <w:left w:val="none" w:sz="0" w:space="0" w:color="auto"/>
        <w:bottom w:val="none" w:sz="0" w:space="0" w:color="auto"/>
        <w:right w:val="none" w:sz="0" w:space="0" w:color="auto"/>
      </w:divBdr>
    </w:div>
    <w:div w:id="714158960">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44961750">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004389">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853805943">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8468055">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956566194">
      <w:bodyDiv w:val="1"/>
      <w:marLeft w:val="0"/>
      <w:marRight w:val="0"/>
      <w:marTop w:val="0"/>
      <w:marBottom w:val="0"/>
      <w:divBdr>
        <w:top w:val="none" w:sz="0" w:space="0" w:color="auto"/>
        <w:left w:val="none" w:sz="0" w:space="0" w:color="auto"/>
        <w:bottom w:val="none" w:sz="0" w:space="0" w:color="auto"/>
        <w:right w:val="none" w:sz="0" w:space="0" w:color="auto"/>
      </w:divBdr>
    </w:div>
    <w:div w:id="956714983">
      <w:bodyDiv w:val="1"/>
      <w:marLeft w:val="0"/>
      <w:marRight w:val="0"/>
      <w:marTop w:val="0"/>
      <w:marBottom w:val="0"/>
      <w:divBdr>
        <w:top w:val="none" w:sz="0" w:space="0" w:color="auto"/>
        <w:left w:val="none" w:sz="0" w:space="0" w:color="auto"/>
        <w:bottom w:val="none" w:sz="0" w:space="0" w:color="auto"/>
        <w:right w:val="none" w:sz="0" w:space="0" w:color="auto"/>
      </w:divBdr>
    </w:div>
    <w:div w:id="969825865">
      <w:bodyDiv w:val="1"/>
      <w:marLeft w:val="0"/>
      <w:marRight w:val="0"/>
      <w:marTop w:val="0"/>
      <w:marBottom w:val="0"/>
      <w:divBdr>
        <w:top w:val="none" w:sz="0" w:space="0" w:color="auto"/>
        <w:left w:val="none" w:sz="0" w:space="0" w:color="auto"/>
        <w:bottom w:val="none" w:sz="0" w:space="0" w:color="auto"/>
        <w:right w:val="none" w:sz="0" w:space="0" w:color="auto"/>
      </w:divBdr>
    </w:div>
    <w:div w:id="992216909">
      <w:bodyDiv w:val="1"/>
      <w:marLeft w:val="0"/>
      <w:marRight w:val="0"/>
      <w:marTop w:val="0"/>
      <w:marBottom w:val="0"/>
      <w:divBdr>
        <w:top w:val="none" w:sz="0" w:space="0" w:color="auto"/>
        <w:left w:val="none" w:sz="0" w:space="0" w:color="auto"/>
        <w:bottom w:val="none" w:sz="0" w:space="0" w:color="auto"/>
        <w:right w:val="none" w:sz="0" w:space="0" w:color="auto"/>
      </w:divBdr>
    </w:div>
    <w:div w:id="997660374">
      <w:bodyDiv w:val="1"/>
      <w:marLeft w:val="0"/>
      <w:marRight w:val="0"/>
      <w:marTop w:val="0"/>
      <w:marBottom w:val="0"/>
      <w:divBdr>
        <w:top w:val="none" w:sz="0" w:space="0" w:color="auto"/>
        <w:left w:val="none" w:sz="0" w:space="0" w:color="auto"/>
        <w:bottom w:val="none" w:sz="0" w:space="0" w:color="auto"/>
        <w:right w:val="none" w:sz="0" w:space="0" w:color="auto"/>
      </w:divBdr>
    </w:div>
    <w:div w:id="1005475455">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4551577">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58170045">
      <w:bodyDiv w:val="1"/>
      <w:marLeft w:val="0"/>
      <w:marRight w:val="0"/>
      <w:marTop w:val="0"/>
      <w:marBottom w:val="0"/>
      <w:divBdr>
        <w:top w:val="none" w:sz="0" w:space="0" w:color="auto"/>
        <w:left w:val="none" w:sz="0" w:space="0" w:color="auto"/>
        <w:bottom w:val="none" w:sz="0" w:space="0" w:color="auto"/>
        <w:right w:val="none" w:sz="0" w:space="0" w:color="auto"/>
      </w:divBdr>
    </w:div>
    <w:div w:id="1064329267">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0178562">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149858890">
      <w:bodyDiv w:val="1"/>
      <w:marLeft w:val="0"/>
      <w:marRight w:val="0"/>
      <w:marTop w:val="0"/>
      <w:marBottom w:val="0"/>
      <w:divBdr>
        <w:top w:val="none" w:sz="0" w:space="0" w:color="auto"/>
        <w:left w:val="none" w:sz="0" w:space="0" w:color="auto"/>
        <w:bottom w:val="none" w:sz="0" w:space="0" w:color="auto"/>
        <w:right w:val="none" w:sz="0" w:space="0" w:color="auto"/>
      </w:divBdr>
    </w:div>
    <w:div w:id="1168517747">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68276243">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36616821">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4434122">
      <w:bodyDiv w:val="1"/>
      <w:marLeft w:val="0"/>
      <w:marRight w:val="0"/>
      <w:marTop w:val="0"/>
      <w:marBottom w:val="0"/>
      <w:divBdr>
        <w:top w:val="none" w:sz="0" w:space="0" w:color="auto"/>
        <w:left w:val="none" w:sz="0" w:space="0" w:color="auto"/>
        <w:bottom w:val="none" w:sz="0" w:space="0" w:color="auto"/>
        <w:right w:val="none" w:sz="0" w:space="0" w:color="auto"/>
      </w:divBdr>
    </w:div>
    <w:div w:id="1346400316">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688728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388797407">
      <w:bodyDiv w:val="1"/>
      <w:marLeft w:val="0"/>
      <w:marRight w:val="0"/>
      <w:marTop w:val="0"/>
      <w:marBottom w:val="0"/>
      <w:divBdr>
        <w:top w:val="none" w:sz="0" w:space="0" w:color="auto"/>
        <w:left w:val="none" w:sz="0" w:space="0" w:color="auto"/>
        <w:bottom w:val="none" w:sz="0" w:space="0" w:color="auto"/>
        <w:right w:val="none" w:sz="0" w:space="0" w:color="auto"/>
      </w:divBdr>
    </w:div>
    <w:div w:id="1401706923">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2585731">
      <w:bodyDiv w:val="1"/>
      <w:marLeft w:val="0"/>
      <w:marRight w:val="0"/>
      <w:marTop w:val="0"/>
      <w:marBottom w:val="0"/>
      <w:divBdr>
        <w:top w:val="none" w:sz="0" w:space="0" w:color="auto"/>
        <w:left w:val="none" w:sz="0" w:space="0" w:color="auto"/>
        <w:bottom w:val="none" w:sz="0" w:space="0" w:color="auto"/>
        <w:right w:val="none" w:sz="0" w:space="0" w:color="auto"/>
      </w:divBdr>
    </w:div>
    <w:div w:id="1413500875">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59297376">
      <w:bodyDiv w:val="1"/>
      <w:marLeft w:val="0"/>
      <w:marRight w:val="0"/>
      <w:marTop w:val="0"/>
      <w:marBottom w:val="0"/>
      <w:divBdr>
        <w:top w:val="none" w:sz="0" w:space="0" w:color="auto"/>
        <w:left w:val="none" w:sz="0" w:space="0" w:color="auto"/>
        <w:bottom w:val="none" w:sz="0" w:space="0" w:color="auto"/>
        <w:right w:val="none" w:sz="0" w:space="0" w:color="auto"/>
      </w:divBdr>
    </w:div>
    <w:div w:id="1459566038">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2385956">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0170060">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36232289">
      <w:bodyDiv w:val="1"/>
      <w:marLeft w:val="0"/>
      <w:marRight w:val="0"/>
      <w:marTop w:val="0"/>
      <w:marBottom w:val="0"/>
      <w:divBdr>
        <w:top w:val="none" w:sz="0" w:space="0" w:color="auto"/>
        <w:left w:val="none" w:sz="0" w:space="0" w:color="auto"/>
        <w:bottom w:val="none" w:sz="0" w:space="0" w:color="auto"/>
        <w:right w:val="none" w:sz="0" w:space="0" w:color="auto"/>
      </w:divBdr>
    </w:div>
    <w:div w:id="1560821001">
      <w:bodyDiv w:val="1"/>
      <w:marLeft w:val="0"/>
      <w:marRight w:val="0"/>
      <w:marTop w:val="0"/>
      <w:marBottom w:val="0"/>
      <w:divBdr>
        <w:top w:val="none" w:sz="0" w:space="0" w:color="auto"/>
        <w:left w:val="none" w:sz="0" w:space="0" w:color="auto"/>
        <w:bottom w:val="none" w:sz="0" w:space="0" w:color="auto"/>
        <w:right w:val="none" w:sz="0" w:space="0" w:color="auto"/>
      </w:divBdr>
    </w:div>
    <w:div w:id="1563977915">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599143972">
      <w:bodyDiv w:val="1"/>
      <w:marLeft w:val="0"/>
      <w:marRight w:val="0"/>
      <w:marTop w:val="0"/>
      <w:marBottom w:val="0"/>
      <w:divBdr>
        <w:top w:val="none" w:sz="0" w:space="0" w:color="auto"/>
        <w:left w:val="none" w:sz="0" w:space="0" w:color="auto"/>
        <w:bottom w:val="none" w:sz="0" w:space="0" w:color="auto"/>
        <w:right w:val="none" w:sz="0" w:space="0" w:color="auto"/>
      </w:divBdr>
      <w:divsChild>
        <w:div w:id="201094441">
          <w:marLeft w:val="0"/>
          <w:marRight w:val="0"/>
          <w:marTop w:val="0"/>
          <w:marBottom w:val="0"/>
          <w:divBdr>
            <w:top w:val="none" w:sz="0" w:space="0" w:color="auto"/>
            <w:left w:val="none" w:sz="0" w:space="0" w:color="auto"/>
            <w:bottom w:val="none" w:sz="0" w:space="0" w:color="auto"/>
            <w:right w:val="none" w:sz="0" w:space="0" w:color="auto"/>
          </w:divBdr>
        </w:div>
        <w:div w:id="1354460507">
          <w:marLeft w:val="0"/>
          <w:marRight w:val="0"/>
          <w:marTop w:val="0"/>
          <w:marBottom w:val="0"/>
          <w:divBdr>
            <w:top w:val="none" w:sz="0" w:space="0" w:color="auto"/>
            <w:left w:val="none" w:sz="0" w:space="0" w:color="auto"/>
            <w:bottom w:val="none" w:sz="0" w:space="0" w:color="auto"/>
            <w:right w:val="none" w:sz="0" w:space="0" w:color="auto"/>
          </w:divBdr>
        </w:div>
        <w:div w:id="1557861851">
          <w:marLeft w:val="0"/>
          <w:marRight w:val="0"/>
          <w:marTop w:val="0"/>
          <w:marBottom w:val="0"/>
          <w:divBdr>
            <w:top w:val="none" w:sz="0" w:space="0" w:color="auto"/>
            <w:left w:val="none" w:sz="0" w:space="0" w:color="auto"/>
            <w:bottom w:val="none" w:sz="0" w:space="0" w:color="auto"/>
            <w:right w:val="none" w:sz="0" w:space="0" w:color="auto"/>
          </w:divBdr>
        </w:div>
        <w:div w:id="256523808">
          <w:marLeft w:val="0"/>
          <w:marRight w:val="0"/>
          <w:marTop w:val="0"/>
          <w:marBottom w:val="0"/>
          <w:divBdr>
            <w:top w:val="none" w:sz="0" w:space="0" w:color="auto"/>
            <w:left w:val="none" w:sz="0" w:space="0" w:color="auto"/>
            <w:bottom w:val="none" w:sz="0" w:space="0" w:color="auto"/>
            <w:right w:val="none" w:sz="0" w:space="0" w:color="auto"/>
          </w:divBdr>
        </w:div>
        <w:div w:id="1775904397">
          <w:marLeft w:val="0"/>
          <w:marRight w:val="0"/>
          <w:marTop w:val="0"/>
          <w:marBottom w:val="0"/>
          <w:divBdr>
            <w:top w:val="none" w:sz="0" w:space="0" w:color="auto"/>
            <w:left w:val="none" w:sz="0" w:space="0" w:color="auto"/>
            <w:bottom w:val="none" w:sz="0" w:space="0" w:color="auto"/>
            <w:right w:val="none" w:sz="0" w:space="0" w:color="auto"/>
          </w:divBdr>
        </w:div>
        <w:div w:id="310255870">
          <w:marLeft w:val="0"/>
          <w:marRight w:val="0"/>
          <w:marTop w:val="0"/>
          <w:marBottom w:val="0"/>
          <w:divBdr>
            <w:top w:val="none" w:sz="0" w:space="0" w:color="auto"/>
            <w:left w:val="none" w:sz="0" w:space="0" w:color="auto"/>
            <w:bottom w:val="none" w:sz="0" w:space="0" w:color="auto"/>
            <w:right w:val="none" w:sz="0" w:space="0" w:color="auto"/>
          </w:divBdr>
        </w:div>
        <w:div w:id="1306397386">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72720047">
          <w:marLeft w:val="0"/>
          <w:marRight w:val="0"/>
          <w:marTop w:val="0"/>
          <w:marBottom w:val="0"/>
          <w:divBdr>
            <w:top w:val="none" w:sz="0" w:space="0" w:color="auto"/>
            <w:left w:val="none" w:sz="0" w:space="0" w:color="auto"/>
            <w:bottom w:val="none" w:sz="0" w:space="0" w:color="auto"/>
            <w:right w:val="none" w:sz="0" w:space="0" w:color="auto"/>
          </w:divBdr>
        </w:div>
        <w:div w:id="2086755199">
          <w:marLeft w:val="0"/>
          <w:marRight w:val="0"/>
          <w:marTop w:val="0"/>
          <w:marBottom w:val="0"/>
          <w:divBdr>
            <w:top w:val="none" w:sz="0" w:space="0" w:color="auto"/>
            <w:left w:val="none" w:sz="0" w:space="0" w:color="auto"/>
            <w:bottom w:val="none" w:sz="0" w:space="0" w:color="auto"/>
            <w:right w:val="none" w:sz="0" w:space="0" w:color="auto"/>
          </w:divBdr>
        </w:div>
        <w:div w:id="927539069">
          <w:marLeft w:val="0"/>
          <w:marRight w:val="0"/>
          <w:marTop w:val="0"/>
          <w:marBottom w:val="0"/>
          <w:divBdr>
            <w:top w:val="none" w:sz="0" w:space="0" w:color="auto"/>
            <w:left w:val="none" w:sz="0" w:space="0" w:color="auto"/>
            <w:bottom w:val="none" w:sz="0" w:space="0" w:color="auto"/>
            <w:right w:val="none" w:sz="0" w:space="0" w:color="auto"/>
          </w:divBdr>
        </w:div>
        <w:div w:id="470831896">
          <w:marLeft w:val="0"/>
          <w:marRight w:val="0"/>
          <w:marTop w:val="0"/>
          <w:marBottom w:val="0"/>
          <w:divBdr>
            <w:top w:val="none" w:sz="0" w:space="0" w:color="auto"/>
            <w:left w:val="none" w:sz="0" w:space="0" w:color="auto"/>
            <w:bottom w:val="none" w:sz="0" w:space="0" w:color="auto"/>
            <w:right w:val="none" w:sz="0" w:space="0" w:color="auto"/>
          </w:divBdr>
        </w:div>
        <w:div w:id="1606425428">
          <w:marLeft w:val="0"/>
          <w:marRight w:val="0"/>
          <w:marTop w:val="0"/>
          <w:marBottom w:val="0"/>
          <w:divBdr>
            <w:top w:val="none" w:sz="0" w:space="0" w:color="auto"/>
            <w:left w:val="none" w:sz="0" w:space="0" w:color="auto"/>
            <w:bottom w:val="none" w:sz="0" w:space="0" w:color="auto"/>
            <w:right w:val="none" w:sz="0" w:space="0" w:color="auto"/>
          </w:divBdr>
        </w:div>
        <w:div w:id="2137990168">
          <w:marLeft w:val="0"/>
          <w:marRight w:val="0"/>
          <w:marTop w:val="0"/>
          <w:marBottom w:val="0"/>
          <w:divBdr>
            <w:top w:val="none" w:sz="0" w:space="0" w:color="auto"/>
            <w:left w:val="none" w:sz="0" w:space="0" w:color="auto"/>
            <w:bottom w:val="none" w:sz="0" w:space="0" w:color="auto"/>
            <w:right w:val="none" w:sz="0" w:space="0" w:color="auto"/>
          </w:divBdr>
        </w:div>
        <w:div w:id="788859522">
          <w:marLeft w:val="0"/>
          <w:marRight w:val="0"/>
          <w:marTop w:val="0"/>
          <w:marBottom w:val="0"/>
          <w:divBdr>
            <w:top w:val="none" w:sz="0" w:space="0" w:color="auto"/>
            <w:left w:val="none" w:sz="0" w:space="0" w:color="auto"/>
            <w:bottom w:val="none" w:sz="0" w:space="0" w:color="auto"/>
            <w:right w:val="none" w:sz="0" w:space="0" w:color="auto"/>
          </w:divBdr>
        </w:div>
        <w:div w:id="449053195">
          <w:marLeft w:val="0"/>
          <w:marRight w:val="0"/>
          <w:marTop w:val="0"/>
          <w:marBottom w:val="0"/>
          <w:divBdr>
            <w:top w:val="none" w:sz="0" w:space="0" w:color="auto"/>
            <w:left w:val="none" w:sz="0" w:space="0" w:color="auto"/>
            <w:bottom w:val="none" w:sz="0" w:space="0" w:color="auto"/>
            <w:right w:val="none" w:sz="0" w:space="0" w:color="auto"/>
          </w:divBdr>
        </w:div>
      </w:divsChild>
    </w:div>
    <w:div w:id="1610576299">
      <w:bodyDiv w:val="1"/>
      <w:marLeft w:val="0"/>
      <w:marRight w:val="0"/>
      <w:marTop w:val="0"/>
      <w:marBottom w:val="0"/>
      <w:divBdr>
        <w:top w:val="none" w:sz="0" w:space="0" w:color="auto"/>
        <w:left w:val="none" w:sz="0" w:space="0" w:color="auto"/>
        <w:bottom w:val="none" w:sz="0" w:space="0" w:color="auto"/>
        <w:right w:val="none" w:sz="0" w:space="0" w:color="auto"/>
      </w:divBdr>
    </w:div>
    <w:div w:id="1625232906">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3755403">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3775444">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732193">
      <w:bodyDiv w:val="1"/>
      <w:marLeft w:val="0"/>
      <w:marRight w:val="0"/>
      <w:marTop w:val="0"/>
      <w:marBottom w:val="0"/>
      <w:divBdr>
        <w:top w:val="none" w:sz="0" w:space="0" w:color="auto"/>
        <w:left w:val="none" w:sz="0" w:space="0" w:color="auto"/>
        <w:bottom w:val="none" w:sz="0" w:space="0" w:color="auto"/>
        <w:right w:val="none" w:sz="0" w:space="0" w:color="auto"/>
      </w:divBdr>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33518451">
      <w:bodyDiv w:val="1"/>
      <w:marLeft w:val="0"/>
      <w:marRight w:val="0"/>
      <w:marTop w:val="0"/>
      <w:marBottom w:val="0"/>
      <w:divBdr>
        <w:top w:val="none" w:sz="0" w:space="0" w:color="auto"/>
        <w:left w:val="none" w:sz="0" w:space="0" w:color="auto"/>
        <w:bottom w:val="none" w:sz="0" w:space="0" w:color="auto"/>
        <w:right w:val="none" w:sz="0" w:space="0" w:color="auto"/>
      </w:divBdr>
    </w:div>
    <w:div w:id="1836416706">
      <w:bodyDiv w:val="1"/>
      <w:marLeft w:val="0"/>
      <w:marRight w:val="0"/>
      <w:marTop w:val="0"/>
      <w:marBottom w:val="0"/>
      <w:divBdr>
        <w:top w:val="none" w:sz="0" w:space="0" w:color="auto"/>
        <w:left w:val="none" w:sz="0" w:space="0" w:color="auto"/>
        <w:bottom w:val="none" w:sz="0" w:space="0" w:color="auto"/>
        <w:right w:val="none" w:sz="0" w:space="0" w:color="auto"/>
      </w:divBdr>
    </w:div>
    <w:div w:id="1841043558">
      <w:bodyDiv w:val="1"/>
      <w:marLeft w:val="0"/>
      <w:marRight w:val="0"/>
      <w:marTop w:val="0"/>
      <w:marBottom w:val="0"/>
      <w:divBdr>
        <w:top w:val="none" w:sz="0" w:space="0" w:color="auto"/>
        <w:left w:val="none" w:sz="0" w:space="0" w:color="auto"/>
        <w:bottom w:val="none" w:sz="0" w:space="0" w:color="auto"/>
        <w:right w:val="none" w:sz="0" w:space="0" w:color="auto"/>
      </w:divBdr>
    </w:div>
    <w:div w:id="1852799284">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5892937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06524967">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1955358628">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25859843">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2388655">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 w:id="2145923189">
      <w:bodyDiv w:val="1"/>
      <w:marLeft w:val="0"/>
      <w:marRight w:val="0"/>
      <w:marTop w:val="0"/>
      <w:marBottom w:val="0"/>
      <w:divBdr>
        <w:top w:val="none" w:sz="0" w:space="0" w:color="auto"/>
        <w:left w:val="none" w:sz="0" w:space="0" w:color="auto"/>
        <w:bottom w:val="none" w:sz="0" w:space="0" w:color="auto"/>
        <w:right w:val="none" w:sz="0" w:space="0" w:color="auto"/>
      </w:divBdr>
    </w:div>
    <w:div w:id="21465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ru21.pe/lima/preocupante-hay-500-casos-bulimia-anorexia-peru-179481" TargetMode="External"/><Relationship Id="rId3" Type="http://schemas.openxmlformats.org/officeDocument/2006/relationships/styles" Target="styles.xml"/><Relationship Id="rId21" Type="http://schemas.openxmlformats.org/officeDocument/2006/relationships/hyperlink" Target="https://www.nationaleatingdisorders.org/que-causa-un-trastorno-alimentici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bvs.minsa.gob.pe/local/MINSA/4143.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acion.com/ciencia/salud/mas-de-la-mitad-de-escolares-y-colegiales-ticos-estan-descontentos-con-su-cuerpo/LJUSAF5SHJANFMZAETSZU4AL2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nv.ucr.ac.cr/es/noticias/estudio-revela-riesgo-de-anorexia-nerviosa-en-adolescentes-tic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nmeda.es/test/trastornos_alimenticios_te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13</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14</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15</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16</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17</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18</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4</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3</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5</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6</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7</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8</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19</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11</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12</b:RefOrder>
  </b:Source>
  <b:Source>
    <b:Tag>Pas11</b:Tag>
    <b:SourceType>Book</b:SourceType>
    <b:Guid>{5E18CCFD-E4D0-46BA-B82D-650D13935734}</b:Guid>
    <b:Title>Tecnologías de la Web Semántica</b:Title>
    <b:Year>2013</b:Year>
    <b:Publisher>UOC</b:Publisher>
    <b:Author>
      <b:Author>
        <b:NameList>
          <b:Person>
            <b:Last>Pastor Sanchez</b:Last>
            <b:First>Juan Antonio</b:First>
          </b:Person>
        </b:NameList>
      </b:Author>
    </b:Author>
    <b:RefOrder>9</b:RefOrder>
  </b:Source>
  <b:Source>
    <b:Tag>Gra16</b:Tag>
    <b:SourceType>JournalArticle</b:SourceType>
    <b:Guid>{B6878C2F-7541-4FF9-913A-E1288E94A2E8}</b:Guid>
    <b:Title>Tecnologías de la información y la comunicación: Evolución del concepto y características</b:Title>
    <b:Year>2016</b:Year>
    <b:JournalName>International Journal of Educational Research an Innovation</b:JournalName>
    <b:Pages>2018-230</b:Pages>
    <b:Author>
      <b:Author>
        <b:NameList>
          <b:Person>
            <b:Last>Grande</b:Last>
            <b:First>M</b:First>
          </b:Person>
          <b:Person>
            <b:Last>Cañon</b:Last>
            <b:First>R</b:First>
          </b:Person>
          <b:Person>
            <b:Last>Cantón</b:Last>
            <b:First>I</b:First>
          </b:Person>
        </b:NameList>
      </b:Author>
    </b:Author>
    <b:RefOrder>10</b:RefOrder>
  </b:Source>
  <b:Source>
    <b:Tag>Rod17</b:Tag>
    <b:SourceType>JournalArticle</b:SourceType>
    <b:Guid>{C3C69A27-A0B5-4517-AB81-65B4CFF35CC5}</b:Guid>
    <b:Title>Validez y utilidad diagnóstica de la escala Eating Attitudes Test-26 para la evaluación del riesgo de trastornos de la conducta alimentaria en población masculina de Medellín, Colombia</b:Title>
    <b:JournalName>Atención Primaria</b:JournalName>
    <b:Year>2016</b:Year>
    <b:Pages>206-213</b:Pages>
    <b:Author>
      <b:Author>
        <b:NameList>
          <b:Person>
            <b:Last>Constain</b:Last>
            <b:Middle>A</b:Middle>
            <b:First>Gustavo</b:First>
          </b:Person>
          <b:Person>
            <b:Last>Rodríguez-Gázquez</b:Last>
            <b:First>María de los Ángeles</b:First>
          </b:Person>
          <b:Person>
            <b:Last>Ramírez Jímenez</b:Last>
            <b:Middle>Andrés</b:Middle>
            <b:First>Guillermo</b:First>
          </b:Person>
          <b:Person>
            <b:Last>Gómez Vásquez</b:Last>
            <b:Middle>María</b:Middle>
            <b:First>Gloria</b:First>
          </b:Person>
          <b:Person>
            <b:Last>Mejía Cardona</b:Last>
            <b:First>Laura</b:First>
          </b:Person>
          <b:Person>
            <b:Last>Cardona Vélez</b:Last>
            <b:First>Jonathan</b:First>
          </b:Person>
        </b:NameList>
      </b:Author>
    </b:Author>
    <b:RefOrder>20</b:RefOrder>
  </b:Source>
  <b:Source>
    <b:Tag>Rut14</b:Tag>
    <b:SourceType>JournalArticle</b:SourceType>
    <b:Guid>{1E7AC064-BC1F-4A84-A4A7-8DDB9626829C}</b:Guid>
    <b:Title>Perfeccionismo y baja autoestima en el continuo de los trastornos alimentarios en las adolescentes de Buenos Aires</b:Title>
    <b:JournalName>Revista Mexicana de Trastornos Alimentarios</b:JournalName>
    <b:Year>2014</b:Year>
    <b:Pages>39-49</b:Pages>
    <b:Author>
      <b:Author>
        <b:NameList>
          <b:Person>
            <b:Last>Rutsztein</b:Last>
            <b:First>Guillermo</b:First>
          </b:Person>
          <b:Person>
            <b:Last>Scappatura</b:Last>
            <b:First>M. Luz</b:First>
          </b:Person>
          <b:Person>
            <b:Last>Murawski</b:Last>
            <b:First>Brenda</b:First>
          </b:Person>
        </b:NameList>
      </b:Author>
    </b:Author>
    <b:RefOrder>21</b:RefOrder>
  </b:Source>
  <b:Source>
    <b:Tag>Sil16</b:Tag>
    <b:SourceType>JournalArticle</b:SourceType>
    <b:Guid>{989A97F4-438C-49A0-A59F-43233C25F00E}</b:Guid>
    <b:Title>3.	Rol de género y actitudes alimentarias en adolescentes de dos diferentes contextos socioculturales: Tradicional vs. No Tradicional</b:Title>
    <b:JournalName>Revista Mexicana de Trastornos Alimentarios</b:JournalName>
    <b:Year>2016</b:Year>
    <b:Pages>40-48</b:Pages>
    <b:Author>
      <b:Author>
        <b:NameList>
          <b:Person>
            <b:Last>Silva</b:Last>
            <b:First>Cecilia</b:First>
          </b:Person>
          <b:Person>
            <b:Last>Millán Díaz</b:Last>
            <b:First>Bertha Aurora</b:First>
          </b:Person>
          <b:Person>
            <b:Last>Gonzáles Alcántara</b:Last>
            <b:First>Karla Edith</b:First>
          </b:Person>
        </b:NameList>
      </b:Author>
    </b:Author>
    <b:RefOrder>22</b:RefOrder>
  </b:Source>
</b:Sources>
</file>

<file path=customXml/itemProps1.xml><?xml version="1.0" encoding="utf-8"?>
<ds:datastoreItem xmlns:ds="http://schemas.openxmlformats.org/officeDocument/2006/customXml" ds:itemID="{B6936A70-6B4F-42AB-B71F-1835D544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1</Pages>
  <Words>9017</Words>
  <Characters>51398</Characters>
  <Application>Microsoft Office Word</Application>
  <DocSecurity>0</DocSecurity>
  <Lines>428</Lines>
  <Paragraphs>120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60295</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125</cp:revision>
  <cp:lastPrinted>2013-11-20T23:54:00Z</cp:lastPrinted>
  <dcterms:created xsi:type="dcterms:W3CDTF">2018-05-18T19:59:00Z</dcterms:created>
  <dcterms:modified xsi:type="dcterms:W3CDTF">2018-06-25T05:02:00Z</dcterms:modified>
</cp:coreProperties>
</file>