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End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End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End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End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End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BF4F69"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actual. Por tanto, la web actual, ha evolucionado hacia usos que han trascendido la </w:t>
      </w:r>
      <w:r>
        <w:rPr>
          <w:rFonts w:ascii="Times New Roman" w:hAnsi="Times New Roman"/>
          <w:bCs/>
          <w:color w:val="000000"/>
          <w:sz w:val="24"/>
          <w:szCs w:val="24"/>
        </w:rPr>
        <w:lastRenderedPageBreak/>
        <w:t xml:space="preserve">idea original de Tim Berners-Lee. Ya no estamos hablando de sistemas para publicar y comunicar resultados de experimentos y trabajos de investigación. </w:t>
      </w: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End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33148B" w:rsidRPr="0033148B">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End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BF4F69" w:rsidRPr="00BF4F69">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515337" w:rsidP="00E978E9">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 xml:space="preserve">dificultad en </w:t>
      </w:r>
      <w:r w:rsidR="00932AFC" w:rsidRPr="00932AFC">
        <w:rPr>
          <w:rFonts w:ascii="Times New Roman" w:hAnsi="Times New Roman"/>
          <w:bCs/>
          <w:color w:val="000000"/>
          <w:sz w:val="24"/>
          <w:szCs w:val="24"/>
        </w:rPr>
        <w:lastRenderedPageBreak/>
        <w:t>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End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validado en mujeres mexicanas por </w:t>
      </w:r>
      <w:r w:rsidRPr="003F6E2C">
        <w:rPr>
          <w:rFonts w:ascii="Times New Roman" w:hAnsi="Times New Roman"/>
          <w:bCs/>
          <w:color w:val="000000"/>
          <w:sz w:val="24"/>
          <w:szCs w:val="24"/>
        </w:rPr>
        <w:lastRenderedPageBreak/>
        <w:t>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posee mayor relevancia el valor cuantitativo de cada una de las ocho subescalas que la </w:t>
      </w:r>
      <w:r w:rsidRPr="00D36B1D">
        <w:rPr>
          <w:rFonts w:ascii="Times New Roman" w:hAnsi="Times New Roman"/>
          <w:bCs/>
          <w:color w:val="000000"/>
          <w:sz w:val="24"/>
          <w:szCs w:val="24"/>
        </w:rPr>
        <w:lastRenderedPageBreak/>
        <w:t>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End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71DFB5B3" wp14:editId="2E4A86E5">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341EA6"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End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E726AB">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r>
        <w:rPr>
          <w:rFonts w:ascii="Times New Roman" w:eastAsia="Times New Roman" w:hAnsi="Times New Roman"/>
          <w:b/>
          <w:sz w:val="24"/>
          <w:szCs w:val="20"/>
          <w:lang w:val="es-ES" w:eastAsia="es-ES"/>
        </w:rPr>
        <w:t xml:space="preserve"> (2016)</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41EA6" w:rsidRDefault="00341EA6"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Año autor nombre de la</w:t>
      </w:r>
      <w:r w:rsidR="004A43B8">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rev</w:t>
      </w:r>
    </w:p>
    <w:p w:rsidR="00341EA6" w:rsidRDefault="00341EA6"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El objetivo de la investigación fue evaluar la validez y la utilidad de la escala Eating Attitudes Test (EAT-26) </w:t>
      </w:r>
      <w:bookmarkStart w:id="0" w:name="_GoBack"/>
      <w:bookmarkEnd w:id="0"/>
      <w:r>
        <w:rPr>
          <w:rFonts w:ascii="Times New Roman" w:eastAsia="Times New Roman" w:hAnsi="Times New Roman"/>
          <w:sz w:val="24"/>
          <w:szCs w:val="20"/>
          <w:lang w:val="es-ES" w:eastAsia="es-ES"/>
        </w:rPr>
        <w:t xml:space="preserve">para la evaluación del riesgo de trastornos de conducta alimentaria (TCA) en la población masculina. Esto debido a que la mayoría de instrumentos para evaluar los TCA se han diseñado para mujeres. El uso de escalas para identificar las personas con riesgo contribuye al diagnóstico precoz y a desarrollar programas de prevención. </w:t>
      </w:r>
    </w:p>
    <w:p w:rsidR="00AE7106" w:rsidRDefault="00AE7106"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no se ha encontrado publicaciones de validación masculina del EAT-26, aunque su validación en varones se justifica para conocer diferencias de género y poder desarrollar constructos y modelos de riesgo específicos. </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AE7106"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La validación del EAT-26 para detectar conductas de trastorno alimentario en varones, </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 Se comparó el «criterio de oro»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 por medio de la curva ROC.</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 EAT-26 subyacen 4 dominios: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control oral-dieta y control oral-bulimia. El alfa de Cronbach fue de 0,89 y el mejor valor de</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corte el de</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20 puntos (sensibilidad = 100%; especificidad = 97,8%). El valor predictivo positivo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fue del 91,3% y el negativo, del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lastRenderedPageBreak/>
        <w:t>El EAT-26 es un instrumento multidimensional con excelentes valores de confiabilidad, sensibilidad y especificidad, ideal para cribado de posibles TCA en población de riesgo, y</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385B69">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Objetivo</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8C7E2F" w:rsidRP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Conclusiones</w:t>
      </w: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65596F" w:rsidRDefault="004E4020"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92437E" w:rsidRPr="0065596F" w:rsidRDefault="0092437E"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sidRPr="0065596F">
        <w:rPr>
          <w:rFonts w:ascii="Times New Roman" w:eastAsia="Times New Roman" w:hAnsi="Times New Roman"/>
          <w:sz w:val="24"/>
          <w:szCs w:val="20"/>
          <w:lang w:val="es-ES"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92437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EndPr/>
          <w:sdtContent>
            <w:p w:rsidR="007F0CFA" w:rsidRDefault="00253AEC" w:rsidP="007F0CFA">
              <w:pPr>
                <w:pStyle w:val="Bibliografa"/>
                <w:ind w:left="720" w:hanging="720"/>
                <w:rPr>
                  <w:noProof/>
                  <w:sz w:val="24"/>
                  <w:szCs w:val="24"/>
                  <w:lang w:val="es-ES"/>
                </w:rPr>
              </w:pPr>
              <w:r>
                <w:fldChar w:fldCharType="begin"/>
              </w:r>
              <w:r>
                <w:instrText>BIBLIOGRAPHY</w:instrText>
              </w:r>
              <w:r>
                <w:fldChar w:fldCharType="separate"/>
              </w:r>
              <w:r w:rsidR="007F0CFA">
                <w:rPr>
                  <w:noProof/>
                  <w:lang w:val="es-ES"/>
                </w:rPr>
                <w:t xml:space="preserve">Aliño Santiago, M., López Esquirol, J., &amp; Navarro Fernández, R. (2006). Adolescencia. Aspectos generales y atención a la salud. </w:t>
              </w:r>
              <w:r w:rsidR="007F0CFA">
                <w:rPr>
                  <w:i/>
                  <w:iCs/>
                  <w:noProof/>
                  <w:lang w:val="es-ES"/>
                </w:rPr>
                <w:t>Revista Cubana de Medicina General Integral</w:t>
              </w:r>
              <w:r w:rsidR="007F0CFA">
                <w:rPr>
                  <w:noProof/>
                  <w:lang w:val="es-ES"/>
                </w:rPr>
                <w:t>.</w:t>
              </w:r>
            </w:p>
            <w:p w:rsidR="007F0CFA" w:rsidRDefault="007F0CFA" w:rsidP="007F0CFA">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7F0CFA" w:rsidRDefault="007F0CFA" w:rsidP="007F0CFA">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7F0CFA" w:rsidRDefault="007F0CFA" w:rsidP="007F0CFA">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7F0CFA" w:rsidRDefault="007F0CFA" w:rsidP="007F0CFA">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7F0CFA" w:rsidRDefault="007F0CFA" w:rsidP="007F0CFA">
              <w:pPr>
                <w:pStyle w:val="Bibliografa"/>
                <w:ind w:left="720" w:hanging="720"/>
                <w:rPr>
                  <w:noProof/>
                  <w:lang w:val="es-ES"/>
                </w:rPr>
              </w:pPr>
              <w:r>
                <w:rPr>
                  <w:noProof/>
                  <w:lang w:val="es-ES"/>
                </w:rPr>
                <w:t xml:space="preserve">Iñarritu Pérez, M., Cruz Licea, V., &amp; Morán Álvarez, I. (2004). Instrumentos de Evaluación para los Trastornos de la Conducta Alimentaria. </w:t>
              </w:r>
              <w:r>
                <w:rPr>
                  <w:i/>
                  <w:iCs/>
                  <w:noProof/>
                  <w:lang w:val="es-ES"/>
                </w:rPr>
                <w:t>Revista de Salud Pública y Nutrición, 5</w:t>
              </w:r>
              <w:r>
                <w:rPr>
                  <w:noProof/>
                  <w:lang w:val="es-ES"/>
                </w:rPr>
                <w:t>(2).</w:t>
              </w:r>
            </w:p>
            <w:p w:rsidR="007F0CFA" w:rsidRDefault="007F0CFA" w:rsidP="007F0CFA">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7F0CFA" w:rsidRDefault="007F0CFA" w:rsidP="007F0CFA">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7F0CFA" w:rsidRDefault="007F0CFA" w:rsidP="007F0CFA">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7F0CFA" w:rsidRDefault="007F0CFA" w:rsidP="007F0CFA">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7F0CFA" w:rsidRDefault="007F0CFA" w:rsidP="007F0CFA">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7F0CFA" w:rsidRDefault="007F0CFA" w:rsidP="007F0CFA">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7F0CFA" w:rsidRDefault="007F0CFA" w:rsidP="007F0CFA">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7F0CFA" w:rsidRDefault="007F0CFA" w:rsidP="007F0CFA">
              <w:pPr>
                <w:pStyle w:val="Bibliografa"/>
                <w:ind w:left="720" w:hanging="720"/>
                <w:rPr>
                  <w:noProof/>
                  <w:lang w:val="es-ES"/>
                </w:rPr>
              </w:pPr>
              <w:r>
                <w:rPr>
                  <w:noProof/>
                  <w:lang w:val="es-ES"/>
                </w:rPr>
                <w:lastRenderedPageBreak/>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7F0CFA" w:rsidRDefault="007F0CFA" w:rsidP="007F0CFA">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7F0CFA" w:rsidRDefault="007F0CFA" w:rsidP="007F0CFA">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7F0CFA" w:rsidRDefault="007F0CFA" w:rsidP="007F0CFA">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7F0CFA">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0A78E3" w:rsidP="005F0473">
      <w:pPr>
        <w:jc w:val="both"/>
      </w:pPr>
      <w:hyperlink r:id="rId14"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0A78E3" w:rsidP="005F0473">
      <w:pPr>
        <w:jc w:val="both"/>
      </w:pPr>
      <w:hyperlink r:id="rId15" w:history="1">
        <w:r w:rsidR="00E3466F" w:rsidRPr="00DD1ED9">
          <w:rPr>
            <w:rStyle w:val="Hipervnculo"/>
          </w:rPr>
          <w:t>https://peru21.pe/lima/preocupante-hay-500-casos-bulimia-anorexia-peru-179481</w:t>
        </w:r>
      </w:hyperlink>
      <w:r w:rsidR="00E3466F">
        <w:t xml:space="preserve"> (antecedentes)</w:t>
      </w:r>
    </w:p>
    <w:p w:rsidR="003D5B44" w:rsidRDefault="000A78E3" w:rsidP="005F0473">
      <w:pPr>
        <w:jc w:val="both"/>
      </w:pPr>
      <w:hyperlink r:id="rId16" w:history="1">
        <w:r w:rsidR="003D5B44" w:rsidRPr="00C15009">
          <w:rPr>
            <w:rStyle w:val="Hipervnculo"/>
          </w:rPr>
          <w:t>https://vinv.ucr.ac.cr/es/noticias/estudio-revela-riesgo-de-anorexia-nerviosa-en-adolescentes-ticas</w:t>
        </w:r>
      </w:hyperlink>
      <w:r w:rsidR="003D5B44">
        <w:t xml:space="preserve"> (antecedentes) </w:t>
      </w:r>
    </w:p>
    <w:p w:rsidR="00BC66C1" w:rsidRDefault="000A78E3" w:rsidP="005F0473">
      <w:pPr>
        <w:jc w:val="both"/>
      </w:pPr>
      <w:hyperlink r:id="rId17"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0A78E3" w:rsidP="002D752D">
      <w:pPr>
        <w:jc w:val="both"/>
      </w:pPr>
      <w:hyperlink r:id="rId18"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0A78E3" w:rsidP="002D752D">
      <w:pPr>
        <w:jc w:val="both"/>
      </w:pPr>
      <w:hyperlink r:id="rId19"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8E3" w:rsidRDefault="000A78E3" w:rsidP="00E3466F">
      <w:pPr>
        <w:spacing w:after="0" w:line="240" w:lineRule="auto"/>
      </w:pPr>
      <w:r>
        <w:separator/>
      </w:r>
    </w:p>
  </w:endnote>
  <w:endnote w:type="continuationSeparator" w:id="0">
    <w:p w:rsidR="000A78E3" w:rsidRDefault="000A78E3"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8E3" w:rsidRDefault="000A78E3" w:rsidP="00E3466F">
      <w:pPr>
        <w:spacing w:after="0" w:line="240" w:lineRule="auto"/>
      </w:pPr>
      <w:r>
        <w:separator/>
      </w:r>
    </w:p>
  </w:footnote>
  <w:footnote w:type="continuationSeparator" w:id="0">
    <w:p w:rsidR="000A78E3" w:rsidRDefault="000A78E3"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2EBE7E55"/>
    <w:multiLevelType w:val="hybridMultilevel"/>
    <w:tmpl w:val="E4F6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4"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5"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6"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9"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0" w15:restartNumberingAfterBreak="0">
    <w:nsid w:val="7C884DA0"/>
    <w:multiLevelType w:val="hybridMultilevel"/>
    <w:tmpl w:val="2DEC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22"/>
  </w:num>
  <w:num w:numId="3">
    <w:abstractNumId w:val="18"/>
  </w:num>
  <w:num w:numId="4">
    <w:abstractNumId w:val="3"/>
  </w:num>
  <w:num w:numId="5">
    <w:abstractNumId w:val="7"/>
  </w:num>
  <w:num w:numId="6">
    <w:abstractNumId w:val="5"/>
  </w:num>
  <w:num w:numId="7">
    <w:abstractNumId w:val="8"/>
  </w:num>
  <w:num w:numId="8">
    <w:abstractNumId w:val="17"/>
  </w:num>
  <w:num w:numId="9">
    <w:abstractNumId w:val="9"/>
  </w:num>
  <w:num w:numId="10">
    <w:abstractNumId w:val="14"/>
  </w:num>
  <w:num w:numId="11">
    <w:abstractNumId w:val="1"/>
  </w:num>
  <w:num w:numId="12">
    <w:abstractNumId w:val="13"/>
  </w:num>
  <w:num w:numId="13">
    <w:abstractNumId w:val="19"/>
  </w:num>
  <w:num w:numId="14">
    <w:abstractNumId w:val="6"/>
  </w:num>
  <w:num w:numId="15">
    <w:abstractNumId w:val="16"/>
  </w:num>
  <w:num w:numId="16">
    <w:abstractNumId w:val="11"/>
  </w:num>
  <w:num w:numId="17">
    <w:abstractNumId w:val="12"/>
  </w:num>
  <w:num w:numId="18">
    <w:abstractNumId w:val="4"/>
  </w:num>
  <w:num w:numId="19">
    <w:abstractNumId w:val="15"/>
  </w:num>
  <w:num w:numId="20">
    <w:abstractNumId w:val="2"/>
  </w:num>
  <w:num w:numId="21">
    <w:abstractNumId w:val="2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39C9"/>
    <w:rsid w:val="00095025"/>
    <w:rsid w:val="000A4DF9"/>
    <w:rsid w:val="000A78E3"/>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67BDD"/>
    <w:rsid w:val="001827D8"/>
    <w:rsid w:val="001850FD"/>
    <w:rsid w:val="00187AAC"/>
    <w:rsid w:val="001A1D5D"/>
    <w:rsid w:val="001A2911"/>
    <w:rsid w:val="001A4055"/>
    <w:rsid w:val="001A779C"/>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148B"/>
    <w:rsid w:val="003324D8"/>
    <w:rsid w:val="00332EC3"/>
    <w:rsid w:val="00333F06"/>
    <w:rsid w:val="003348D9"/>
    <w:rsid w:val="00335056"/>
    <w:rsid w:val="00336B1E"/>
    <w:rsid w:val="003370B2"/>
    <w:rsid w:val="003370EA"/>
    <w:rsid w:val="00337E0B"/>
    <w:rsid w:val="00341CBB"/>
    <w:rsid w:val="00341EA6"/>
    <w:rsid w:val="0034370D"/>
    <w:rsid w:val="00351557"/>
    <w:rsid w:val="00354233"/>
    <w:rsid w:val="003544C4"/>
    <w:rsid w:val="00354B7B"/>
    <w:rsid w:val="00355C83"/>
    <w:rsid w:val="00360053"/>
    <w:rsid w:val="00363269"/>
    <w:rsid w:val="00363A8E"/>
    <w:rsid w:val="003668DD"/>
    <w:rsid w:val="00367CF2"/>
    <w:rsid w:val="00370B9D"/>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43B8"/>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3A4B"/>
    <w:rsid w:val="00515337"/>
    <w:rsid w:val="005158EC"/>
    <w:rsid w:val="00515E6A"/>
    <w:rsid w:val="00521D35"/>
    <w:rsid w:val="00521D5F"/>
    <w:rsid w:val="00523F7E"/>
    <w:rsid w:val="00525658"/>
    <w:rsid w:val="005341FD"/>
    <w:rsid w:val="00537720"/>
    <w:rsid w:val="00541B90"/>
    <w:rsid w:val="00541CBE"/>
    <w:rsid w:val="00550E2B"/>
    <w:rsid w:val="00554CFC"/>
    <w:rsid w:val="005567B6"/>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2389"/>
    <w:rsid w:val="00732FD0"/>
    <w:rsid w:val="00742F3E"/>
    <w:rsid w:val="007447D3"/>
    <w:rsid w:val="00753831"/>
    <w:rsid w:val="00757CA7"/>
    <w:rsid w:val="007678C3"/>
    <w:rsid w:val="007746E6"/>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239C8"/>
    <w:rsid w:val="008249C6"/>
    <w:rsid w:val="00827990"/>
    <w:rsid w:val="00827B7B"/>
    <w:rsid w:val="00831BDA"/>
    <w:rsid w:val="008357A4"/>
    <w:rsid w:val="00836852"/>
    <w:rsid w:val="00844EE6"/>
    <w:rsid w:val="0084644F"/>
    <w:rsid w:val="0085441E"/>
    <w:rsid w:val="00857E53"/>
    <w:rsid w:val="00857F67"/>
    <w:rsid w:val="008617A2"/>
    <w:rsid w:val="00862F20"/>
    <w:rsid w:val="00864FB2"/>
    <w:rsid w:val="00870004"/>
    <w:rsid w:val="00870719"/>
    <w:rsid w:val="00871BAF"/>
    <w:rsid w:val="0087568C"/>
    <w:rsid w:val="008758FB"/>
    <w:rsid w:val="00877998"/>
    <w:rsid w:val="00882752"/>
    <w:rsid w:val="00886DDD"/>
    <w:rsid w:val="00895805"/>
    <w:rsid w:val="008A0CAF"/>
    <w:rsid w:val="008B6C08"/>
    <w:rsid w:val="008C21BD"/>
    <w:rsid w:val="008C5E21"/>
    <w:rsid w:val="008C7E2F"/>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1791"/>
    <w:rsid w:val="00923E23"/>
    <w:rsid w:val="0092430C"/>
    <w:rsid w:val="0092437E"/>
    <w:rsid w:val="0092780E"/>
    <w:rsid w:val="00932AFC"/>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B4D"/>
    <w:rsid w:val="009B3CCF"/>
    <w:rsid w:val="009C097B"/>
    <w:rsid w:val="009C0C04"/>
    <w:rsid w:val="009C1FE5"/>
    <w:rsid w:val="009C487B"/>
    <w:rsid w:val="009C6A1E"/>
    <w:rsid w:val="009C7751"/>
    <w:rsid w:val="009D1E54"/>
    <w:rsid w:val="009D3594"/>
    <w:rsid w:val="009D7399"/>
    <w:rsid w:val="009E0AAA"/>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3941"/>
    <w:rsid w:val="00AC522F"/>
    <w:rsid w:val="00AD21F5"/>
    <w:rsid w:val="00AD7946"/>
    <w:rsid w:val="00AE2444"/>
    <w:rsid w:val="00AE3D09"/>
    <w:rsid w:val="00AE47E5"/>
    <w:rsid w:val="00AE7106"/>
    <w:rsid w:val="00AF381A"/>
    <w:rsid w:val="00B03666"/>
    <w:rsid w:val="00B10E3D"/>
    <w:rsid w:val="00B138CD"/>
    <w:rsid w:val="00B16840"/>
    <w:rsid w:val="00B22414"/>
    <w:rsid w:val="00B23315"/>
    <w:rsid w:val="00B237DA"/>
    <w:rsid w:val="00B23879"/>
    <w:rsid w:val="00B25712"/>
    <w:rsid w:val="00B26E18"/>
    <w:rsid w:val="00B325E4"/>
    <w:rsid w:val="00B40014"/>
    <w:rsid w:val="00B409B9"/>
    <w:rsid w:val="00B41C58"/>
    <w:rsid w:val="00B42D04"/>
    <w:rsid w:val="00B44908"/>
    <w:rsid w:val="00B51852"/>
    <w:rsid w:val="00B533E3"/>
    <w:rsid w:val="00B53756"/>
    <w:rsid w:val="00B56521"/>
    <w:rsid w:val="00B62ABF"/>
    <w:rsid w:val="00B655E3"/>
    <w:rsid w:val="00B6788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BF4F69"/>
    <w:rsid w:val="00C00062"/>
    <w:rsid w:val="00C04C9F"/>
    <w:rsid w:val="00C0640D"/>
    <w:rsid w:val="00C11BAC"/>
    <w:rsid w:val="00C15CE0"/>
    <w:rsid w:val="00C24D11"/>
    <w:rsid w:val="00C26B66"/>
    <w:rsid w:val="00C31976"/>
    <w:rsid w:val="00C33FDB"/>
    <w:rsid w:val="00C34200"/>
    <w:rsid w:val="00C35DE7"/>
    <w:rsid w:val="00C37487"/>
    <w:rsid w:val="00C4346D"/>
    <w:rsid w:val="00C518C4"/>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3F9A"/>
    <w:rsid w:val="00DC6EEB"/>
    <w:rsid w:val="00DC7A90"/>
    <w:rsid w:val="00DD1464"/>
    <w:rsid w:val="00DD2EE5"/>
    <w:rsid w:val="00DD35A0"/>
    <w:rsid w:val="00DD4029"/>
    <w:rsid w:val="00DE1DA8"/>
    <w:rsid w:val="00DE33F7"/>
    <w:rsid w:val="00DE4AA9"/>
    <w:rsid w:val="00DE4CFF"/>
    <w:rsid w:val="00DF3AD1"/>
    <w:rsid w:val="00DF540F"/>
    <w:rsid w:val="00DF5FF1"/>
    <w:rsid w:val="00E00617"/>
    <w:rsid w:val="00E01070"/>
    <w:rsid w:val="00E0127D"/>
    <w:rsid w:val="00E041D1"/>
    <w:rsid w:val="00E04204"/>
    <w:rsid w:val="00E13F3A"/>
    <w:rsid w:val="00E14485"/>
    <w:rsid w:val="00E179E5"/>
    <w:rsid w:val="00E244AC"/>
    <w:rsid w:val="00E248AC"/>
    <w:rsid w:val="00E3466F"/>
    <w:rsid w:val="00E370B4"/>
    <w:rsid w:val="00E37412"/>
    <w:rsid w:val="00E37675"/>
    <w:rsid w:val="00E4051C"/>
    <w:rsid w:val="00E42AC1"/>
    <w:rsid w:val="00E44654"/>
    <w:rsid w:val="00E514C3"/>
    <w:rsid w:val="00E528D3"/>
    <w:rsid w:val="00E532BD"/>
    <w:rsid w:val="00E53F9E"/>
    <w:rsid w:val="00E54FA7"/>
    <w:rsid w:val="00E66684"/>
    <w:rsid w:val="00E83A44"/>
    <w:rsid w:val="00E8449D"/>
    <w:rsid w:val="00E879FC"/>
    <w:rsid w:val="00E9137E"/>
    <w:rsid w:val="00E952EF"/>
    <w:rsid w:val="00E96F50"/>
    <w:rsid w:val="00E9740A"/>
    <w:rsid w:val="00E978E9"/>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81C2C"/>
    <w:rsid w:val="00F82406"/>
    <w:rsid w:val="00F907C1"/>
    <w:rsid w:val="00FA1B66"/>
    <w:rsid w:val="00FA446C"/>
    <w:rsid w:val="00FB0D5A"/>
    <w:rsid w:val="00FB2907"/>
    <w:rsid w:val="00FB2E84"/>
    <w:rsid w:val="00FB2EB3"/>
    <w:rsid w:val="00FB5250"/>
    <w:rsid w:val="00FB670D"/>
    <w:rsid w:val="00FB7754"/>
    <w:rsid w:val="00FC517B"/>
    <w:rsid w:val="00FC52B3"/>
    <w:rsid w:val="00FC77BC"/>
    <w:rsid w:val="00FD03AF"/>
    <w:rsid w:val="00FD6B83"/>
    <w:rsid w:val="00FE7B32"/>
    <w:rsid w:val="00FF36B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D9DE"/>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tionaleatingdisorders.org/que-causa-un-trastorno-alimentic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cion.com/ciencia/salud/mas-de-la-mitad-de-escolares-y-colegiales-ticos-estan-descontentos-con-su-cuerpo/LJUSAF5SHJANFMZAETSZU4AL2I/story/" TargetMode="External"/><Relationship Id="rId2" Type="http://schemas.openxmlformats.org/officeDocument/2006/relationships/numbering" Target="numbering.xml"/><Relationship Id="rId16" Type="http://schemas.openxmlformats.org/officeDocument/2006/relationships/hyperlink" Target="https://vinv.ucr.ac.cr/es/noticias/estudio-revela-riesgo-de-anorexia-nerviosa-en-adolescentes-tic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ru21.pe/lima/preocupante-hay-500-casos-bulimia-anorexia-peru-179481" TargetMode="External"/><Relationship Id="rId10" Type="http://schemas.openxmlformats.org/officeDocument/2006/relationships/image" Target="media/image3.png"/><Relationship Id="rId19" Type="http://schemas.openxmlformats.org/officeDocument/2006/relationships/hyperlink" Target="https://www.onmeda.es/test/trastornos_alimenticios_tes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vs.minsa.gob.pe/local/MINSA/414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14</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15</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16</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17</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18</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6</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7</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8</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9</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19</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12</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13</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10</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11</b:RefOrder>
  </b:Source>
</b:Sources>
</file>

<file path=customXml/itemProps1.xml><?xml version="1.0" encoding="utf-8"?>
<ds:datastoreItem xmlns:ds="http://schemas.openxmlformats.org/officeDocument/2006/customXml" ds:itemID="{11E5DC41-5694-4F04-8135-252FEA38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36</Pages>
  <Words>7543</Words>
  <Characters>42997</Characters>
  <Application>Microsoft Office Word</Application>
  <DocSecurity>0</DocSecurity>
  <Lines>358</Lines>
  <Paragraphs>100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50440</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100</cp:revision>
  <cp:lastPrinted>2013-11-20T23:54:00Z</cp:lastPrinted>
  <dcterms:created xsi:type="dcterms:W3CDTF">2018-05-18T19:59:00Z</dcterms:created>
  <dcterms:modified xsi:type="dcterms:W3CDTF">2018-06-24T01:36:00Z</dcterms:modified>
</cp:coreProperties>
</file>