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53373E" w:rsidRDefault="0037411C" w:rsidP="005337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53373E" w:rsidRPr="0053373E">
        <w:rPr>
          <w:rFonts w:ascii="Times New Roman" w:hAnsi="Times New Roman"/>
          <w:b/>
          <w:color w:val="000000"/>
          <w:sz w:val="30"/>
          <w:szCs w:val="30"/>
        </w:rPr>
        <w:lastRenderedPageBreak/>
        <w:t>LISTA DE ILUSTRACIONES</w:t>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DE46C0" w:rsidRDefault="001624E1">
      <w:pPr>
        <w:pStyle w:val="Tabladeilustraciones"/>
        <w:tabs>
          <w:tab w:val="right" w:leader="dot" w:pos="8828"/>
        </w:tabs>
        <w:rPr>
          <w:rFonts w:asciiTheme="minorHAnsi" w:eastAsiaTheme="minorEastAsia" w:hAnsiTheme="minorHAnsi" w:cstheme="minorBidi"/>
          <w:noProof/>
          <w:lang w:val="en-US"/>
        </w:rPr>
      </w:pPr>
      <w:r>
        <w:rPr>
          <w:rFonts w:ascii="Times New Roman" w:hAnsi="Times New Roman"/>
          <w:b/>
          <w:color w:val="000000"/>
          <w:sz w:val="30"/>
          <w:szCs w:val="30"/>
        </w:rPr>
        <w:fldChar w:fldCharType="begin"/>
      </w:r>
      <w:r>
        <w:rPr>
          <w:rFonts w:ascii="Times New Roman" w:hAnsi="Times New Roman"/>
          <w:b/>
          <w:color w:val="000000"/>
          <w:sz w:val="30"/>
          <w:szCs w:val="30"/>
        </w:rPr>
        <w:instrText xml:space="preserve"> TOC \p " " \h \z \c "Ilustración" </w:instrText>
      </w:r>
      <w:r>
        <w:rPr>
          <w:rFonts w:ascii="Times New Roman" w:hAnsi="Times New Roman"/>
          <w:b/>
          <w:color w:val="000000"/>
          <w:sz w:val="30"/>
          <w:szCs w:val="30"/>
        </w:rPr>
        <w:fldChar w:fldCharType="separate"/>
      </w:r>
      <w:hyperlink w:anchor="_Toc517648303" w:history="1">
        <w:r w:rsidR="00DE46C0" w:rsidRPr="008E3B92">
          <w:rPr>
            <w:rStyle w:val="Hipervnculo"/>
            <w:noProof/>
          </w:rPr>
          <w:t>Ilustración 1. Esquema general del estudio. Diseño del estudio observacional de validación del EAT-26.</w:t>
        </w:r>
        <w:r w:rsidR="00DE46C0">
          <w:rPr>
            <w:noProof/>
            <w:webHidden/>
          </w:rPr>
          <w:t xml:space="preserve"> </w:t>
        </w:r>
        <w:r w:rsidR="00DE46C0">
          <w:rPr>
            <w:noProof/>
            <w:webHidden/>
          </w:rPr>
          <w:fldChar w:fldCharType="begin"/>
        </w:r>
        <w:r w:rsidR="00DE46C0">
          <w:rPr>
            <w:noProof/>
            <w:webHidden/>
          </w:rPr>
          <w:instrText xml:space="preserve"> PAGEREF _Toc517648303 \h </w:instrText>
        </w:r>
        <w:r w:rsidR="00DE46C0">
          <w:rPr>
            <w:noProof/>
            <w:webHidden/>
          </w:rPr>
        </w:r>
        <w:r w:rsidR="00DE46C0">
          <w:rPr>
            <w:noProof/>
            <w:webHidden/>
          </w:rPr>
          <w:fldChar w:fldCharType="separate"/>
        </w:r>
        <w:r w:rsidR="00DE46C0">
          <w:rPr>
            <w:noProof/>
            <w:webHidden/>
          </w:rPr>
          <w:t>30</w:t>
        </w:r>
        <w:r w:rsidR="00DE46C0">
          <w:rPr>
            <w:noProof/>
            <w:webHidden/>
          </w:rPr>
          <w:fldChar w:fldCharType="end"/>
        </w:r>
      </w:hyperlink>
    </w:p>
    <w:p w:rsidR="00DE46C0" w:rsidRDefault="00A61764">
      <w:pPr>
        <w:pStyle w:val="Tabladeilustraciones"/>
        <w:tabs>
          <w:tab w:val="right" w:leader="dot" w:pos="8828"/>
        </w:tabs>
        <w:rPr>
          <w:rFonts w:asciiTheme="minorHAnsi" w:eastAsiaTheme="minorEastAsia" w:hAnsiTheme="minorHAnsi" w:cstheme="minorBidi"/>
          <w:noProof/>
          <w:lang w:val="en-US"/>
        </w:rPr>
      </w:pPr>
      <w:hyperlink w:anchor="_Toc517648304" w:history="1">
        <w:r w:rsidR="00DE46C0" w:rsidRPr="008E3B92">
          <w:rPr>
            <w:rStyle w:val="Hipervnculo"/>
            <w:noProof/>
          </w:rPr>
          <w:t>Ilustración 2. Conformación de grupos en la muestra.</w:t>
        </w:r>
        <w:r w:rsidR="00DE46C0">
          <w:rPr>
            <w:noProof/>
            <w:webHidden/>
          </w:rPr>
          <w:t xml:space="preserve"> </w:t>
        </w:r>
        <w:r w:rsidR="00DE46C0">
          <w:rPr>
            <w:noProof/>
            <w:webHidden/>
          </w:rPr>
          <w:fldChar w:fldCharType="begin"/>
        </w:r>
        <w:r w:rsidR="00DE46C0">
          <w:rPr>
            <w:noProof/>
            <w:webHidden/>
          </w:rPr>
          <w:instrText xml:space="preserve"> PAGEREF _Toc517648304 \h </w:instrText>
        </w:r>
        <w:r w:rsidR="00DE46C0">
          <w:rPr>
            <w:noProof/>
            <w:webHidden/>
          </w:rPr>
        </w:r>
        <w:r w:rsidR="00DE46C0">
          <w:rPr>
            <w:noProof/>
            <w:webHidden/>
          </w:rPr>
          <w:fldChar w:fldCharType="separate"/>
        </w:r>
        <w:r w:rsidR="00DE46C0">
          <w:rPr>
            <w:noProof/>
            <w:webHidden/>
          </w:rPr>
          <w:t>32</w:t>
        </w:r>
        <w:r w:rsidR="00DE46C0">
          <w:rPr>
            <w:noProof/>
            <w:webHidden/>
          </w:rPr>
          <w:fldChar w:fldCharType="end"/>
        </w:r>
      </w:hyperlink>
    </w:p>
    <w:p w:rsidR="00DE46C0" w:rsidRDefault="00A61764">
      <w:pPr>
        <w:pStyle w:val="Tabladeilustraciones"/>
        <w:tabs>
          <w:tab w:val="right" w:leader="dot" w:pos="8828"/>
        </w:tabs>
        <w:rPr>
          <w:rFonts w:asciiTheme="minorHAnsi" w:eastAsiaTheme="minorEastAsia" w:hAnsiTheme="minorHAnsi" w:cstheme="minorBidi"/>
          <w:noProof/>
          <w:lang w:val="en-US"/>
        </w:rPr>
      </w:pPr>
      <w:hyperlink w:anchor="_Toc517648305" w:history="1">
        <w:r w:rsidR="00DE46C0" w:rsidRPr="008E3B92">
          <w:rPr>
            <w:rStyle w:val="Hipervnculo"/>
            <w:noProof/>
          </w:rPr>
          <w:t>Ilustración 3. Distribución del IMC.</w:t>
        </w:r>
        <w:r w:rsidR="00DE46C0">
          <w:rPr>
            <w:noProof/>
            <w:webHidden/>
          </w:rPr>
          <w:t xml:space="preserve"> </w:t>
        </w:r>
        <w:r w:rsidR="00DE46C0">
          <w:rPr>
            <w:noProof/>
            <w:webHidden/>
          </w:rPr>
          <w:fldChar w:fldCharType="begin"/>
        </w:r>
        <w:r w:rsidR="00DE46C0">
          <w:rPr>
            <w:noProof/>
            <w:webHidden/>
          </w:rPr>
          <w:instrText xml:space="preserve"> PAGEREF _Toc517648305 \h </w:instrText>
        </w:r>
        <w:r w:rsidR="00DE46C0">
          <w:rPr>
            <w:noProof/>
            <w:webHidden/>
          </w:rPr>
        </w:r>
        <w:r w:rsidR="00DE46C0">
          <w:rPr>
            <w:noProof/>
            <w:webHidden/>
          </w:rPr>
          <w:fldChar w:fldCharType="separate"/>
        </w:r>
        <w:r w:rsidR="00DE46C0">
          <w:rPr>
            <w:noProof/>
            <w:webHidden/>
          </w:rPr>
          <w:t>33</w:t>
        </w:r>
        <w:r w:rsidR="00DE46C0">
          <w:rPr>
            <w:noProof/>
            <w:webHidden/>
          </w:rPr>
          <w:fldChar w:fldCharType="end"/>
        </w:r>
      </w:hyperlink>
    </w:p>
    <w:p w:rsidR="0053373E" w:rsidRDefault="001624E1" w:rsidP="0053373E">
      <w:pPr>
        <w:autoSpaceDE w:val="0"/>
        <w:autoSpaceDN w:val="0"/>
        <w:adjustRightInd w:val="0"/>
        <w:spacing w:after="0" w:line="240" w:lineRule="auto"/>
        <w:jc w:val="both"/>
        <w:rPr>
          <w:rFonts w:ascii="Times New Roman" w:hAnsi="Times New Roman"/>
          <w:b/>
          <w:color w:val="000000"/>
          <w:sz w:val="30"/>
          <w:szCs w:val="30"/>
        </w:rPr>
      </w:pPr>
      <w:r>
        <w:rPr>
          <w:rFonts w:ascii="Times New Roman" w:hAnsi="Times New Roman"/>
          <w:b/>
          <w:color w:val="000000"/>
          <w:sz w:val="30"/>
          <w:szCs w:val="30"/>
        </w:rPr>
        <w:fldChar w:fldCharType="end"/>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53373E" w:rsidRDefault="0053373E" w:rsidP="0053373E">
      <w:pPr>
        <w:autoSpaceDE w:val="0"/>
        <w:autoSpaceDN w:val="0"/>
        <w:adjustRightInd w:val="0"/>
        <w:spacing w:after="0" w:line="240" w:lineRule="auto"/>
        <w:rPr>
          <w:rFonts w:ascii="Times New Roman" w:hAnsi="Times New Roman"/>
          <w:color w:val="000000"/>
          <w:sz w:val="30"/>
          <w:szCs w:val="30"/>
        </w:rPr>
      </w:pPr>
      <w:r>
        <w:rPr>
          <w:rFonts w:ascii="Times New Roman" w:hAnsi="Times New Roman"/>
          <w:color w:val="000000"/>
          <w:sz w:val="30"/>
          <w:szCs w:val="30"/>
        </w:rPr>
        <w:br w:type="page"/>
      </w:r>
    </w:p>
    <w:p w:rsidR="00EF23BB" w:rsidRDefault="001624E1"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 xml:space="preserve">se pueda detectar la tendencia </w:t>
      </w:r>
      <w:r w:rsidR="00D83595">
        <w:rPr>
          <w:rFonts w:ascii="Times New Roman" w:hAnsi="Times New Roman"/>
          <w:color w:val="000000"/>
          <w:sz w:val="24"/>
          <w:szCs w:val="24"/>
          <w:lang w:val="es-ES"/>
        </w:rPr>
        <w:lastRenderedPageBreak/>
        <w:t>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sdt>
        <w:sdtPr>
          <w:rPr>
            <w:rFonts w:ascii="Times New Roman" w:hAnsi="Times New Roman"/>
            <w:color w:val="000000"/>
            <w:sz w:val="24"/>
            <w:szCs w:val="24"/>
          </w:rPr>
          <w:id w:val="1661421758"/>
          <w:citation/>
        </w:sdtPr>
        <w:sdtContent>
          <w:r w:rsidR="00B8236A">
            <w:rPr>
              <w:rFonts w:ascii="Times New Roman" w:hAnsi="Times New Roman"/>
              <w:color w:val="000000"/>
              <w:sz w:val="24"/>
              <w:szCs w:val="24"/>
            </w:rPr>
            <w:fldChar w:fldCharType="begin"/>
          </w:r>
          <w:r w:rsidR="00B8236A">
            <w:rPr>
              <w:rFonts w:ascii="Times New Roman" w:hAnsi="Times New Roman"/>
              <w:color w:val="000000"/>
              <w:sz w:val="24"/>
              <w:szCs w:val="24"/>
            </w:rPr>
            <w:instrText xml:space="preserve"> CITATION Bio14 \l 10250 </w:instrText>
          </w:r>
          <w:r w:rsidR="00B8236A">
            <w:rPr>
              <w:rFonts w:ascii="Times New Roman" w:hAnsi="Times New Roman"/>
              <w:color w:val="000000"/>
              <w:sz w:val="24"/>
              <w:szCs w:val="24"/>
            </w:rPr>
            <w:fldChar w:fldCharType="separate"/>
          </w:r>
          <w:r w:rsidR="00B8236A" w:rsidRPr="00B8236A">
            <w:rPr>
              <w:rFonts w:ascii="Times New Roman" w:hAnsi="Times New Roman"/>
              <w:noProof/>
              <w:color w:val="000000"/>
              <w:sz w:val="24"/>
              <w:szCs w:val="24"/>
            </w:rPr>
            <w:t>(BioBioChile, 2014)</w:t>
          </w:r>
          <w:r w:rsidR="00B8236A">
            <w:rPr>
              <w:rFonts w:ascii="Times New Roman" w:hAnsi="Times New Roman"/>
              <w:color w:val="000000"/>
              <w:sz w:val="24"/>
              <w:szCs w:val="24"/>
            </w:rPr>
            <w:fldChar w:fldCharType="end"/>
          </w:r>
        </w:sdtContent>
      </w:sdt>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r w:rsidR="00DD60E9">
        <w:rPr>
          <w:rFonts w:ascii="Times New Roman" w:hAnsi="Times New Roman"/>
          <w:color w:val="000000"/>
          <w:sz w:val="24"/>
          <w:szCs w:val="24"/>
        </w:rPr>
        <w:t xml:space="preserve"> </w:t>
      </w:r>
      <w:sdt>
        <w:sdtPr>
          <w:rPr>
            <w:rFonts w:ascii="Times New Roman" w:hAnsi="Times New Roman"/>
            <w:color w:val="000000"/>
            <w:sz w:val="24"/>
            <w:szCs w:val="24"/>
          </w:rPr>
          <w:id w:val="-1538579040"/>
          <w:citation/>
        </w:sdtPr>
        <w:sdtContent>
          <w:r w:rsidR="00B8236A">
            <w:rPr>
              <w:rFonts w:ascii="Times New Roman" w:hAnsi="Times New Roman"/>
              <w:color w:val="000000"/>
              <w:sz w:val="24"/>
              <w:szCs w:val="24"/>
            </w:rPr>
            <w:fldChar w:fldCharType="begin"/>
          </w:r>
          <w:r w:rsidR="00B8236A">
            <w:rPr>
              <w:rFonts w:ascii="Times New Roman" w:hAnsi="Times New Roman"/>
              <w:color w:val="000000"/>
              <w:sz w:val="24"/>
              <w:szCs w:val="24"/>
            </w:rPr>
            <w:instrText xml:space="preserve"> CITATION San15 \l 10250 </w:instrText>
          </w:r>
          <w:r w:rsidR="00B8236A">
            <w:rPr>
              <w:rFonts w:ascii="Times New Roman" w:hAnsi="Times New Roman"/>
              <w:color w:val="000000"/>
              <w:sz w:val="24"/>
              <w:szCs w:val="24"/>
            </w:rPr>
            <w:fldChar w:fldCharType="separate"/>
          </w:r>
          <w:r w:rsidR="00B8236A" w:rsidRPr="00B8236A">
            <w:rPr>
              <w:rFonts w:ascii="Times New Roman" w:hAnsi="Times New Roman"/>
              <w:noProof/>
              <w:color w:val="000000"/>
              <w:sz w:val="24"/>
              <w:szCs w:val="24"/>
            </w:rPr>
            <w:t>(Santamaría-Puerto &amp; Hernández-Rincón, 2015)</w:t>
          </w:r>
          <w:r w:rsidR="00B8236A">
            <w:rPr>
              <w:rFonts w:ascii="Times New Roman" w:hAnsi="Times New Roman"/>
              <w:color w:val="000000"/>
              <w:sz w:val="24"/>
              <w:szCs w:val="24"/>
            </w:rPr>
            <w:fldChar w:fldCharType="end"/>
          </w:r>
        </w:sdtContent>
      </w:sdt>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6C1B67" w:rsidRDefault="00383770"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Según las guías clínicas nacionales españolas atribuyen a atención primaria las siguientes funciones sobre TCA: 1) Identificar a las personas con riesgo de padecer TCA y establecer un diagnóstico precoz; 2) Decidir si se puede tratar en atención primaria o se tiene que derivar a salud mental; 3) Informar sobre la</w:t>
      </w:r>
      <w:r w:rsidR="002F5AD2">
        <w:rPr>
          <w:rFonts w:ascii="Times New Roman" w:hAnsi="Times New Roman"/>
          <w:color w:val="000000"/>
          <w:sz w:val="24"/>
          <w:szCs w:val="24"/>
        </w:rPr>
        <w:t xml:space="preserve"> enfermedad a pacientes y familiares; 4) Iniciar el tratamiento nutricional y controlar las complicaciones físicas. Sin embargo, atención primaria no está cumpliendo su función por diversos motivos. Aquí es donde las tecnologías de información y comunicación podrían ser de gran utilidad para cumplir esas ta</w:t>
      </w:r>
      <w:r w:rsidR="005054DB">
        <w:rPr>
          <w:rFonts w:ascii="Times New Roman" w:hAnsi="Times New Roman"/>
          <w:color w:val="000000"/>
          <w:sz w:val="24"/>
          <w:szCs w:val="24"/>
        </w:rPr>
        <w:t>reas. A</w:t>
      </w:r>
      <w:r w:rsidR="002F5AD2">
        <w:rPr>
          <w:rFonts w:ascii="Times New Roman" w:hAnsi="Times New Roman"/>
          <w:color w:val="000000"/>
          <w:sz w:val="24"/>
          <w:szCs w:val="24"/>
        </w:rPr>
        <w:t xml:space="preserve">ctualmente hay muchas investigaciones que analizan como las tecnologías pueden ayudar </w:t>
      </w:r>
      <w:r w:rsidR="002F5AD2">
        <w:rPr>
          <w:rFonts w:ascii="Times New Roman" w:hAnsi="Times New Roman"/>
          <w:color w:val="000000"/>
          <w:sz w:val="24"/>
          <w:szCs w:val="24"/>
        </w:rPr>
        <w:lastRenderedPageBreak/>
        <w:t xml:space="preserve">en el diagnóstico, prevención y tratamiento de diversas enfermedades, incluyendo los TCA. </w:t>
      </w:r>
      <w:r w:rsidR="005054DB">
        <w:rPr>
          <w:rFonts w:ascii="Times New Roman" w:hAnsi="Times New Roman"/>
          <w:color w:val="000000"/>
          <w:sz w:val="24"/>
          <w:szCs w:val="24"/>
        </w:rPr>
        <w:t xml:space="preserve">Además, se tiene como ventaja su facilidad para acceder a gran número de pacientes y personas en riesgo un coste relativamente bajo, sin problemas de horario y a gran velocidad. Otra ventaja también es la posible disminución de la resistencia de los pacientes a buscar ayuda profesional. Por último, el internet te ofrece el anonimato que permitiría a la persona revelar información que en otro tipo de circunstancia podría ser difícil. </w:t>
      </w:r>
      <w:sdt>
        <w:sdtPr>
          <w:rPr>
            <w:rFonts w:ascii="Times New Roman" w:hAnsi="Times New Roman"/>
            <w:color w:val="000000"/>
            <w:sz w:val="24"/>
            <w:szCs w:val="24"/>
          </w:rPr>
          <w:id w:val="1486510350"/>
          <w:citation/>
        </w:sdtPr>
        <w:sdtContent>
          <w:r w:rsidR="005054DB">
            <w:rPr>
              <w:rFonts w:ascii="Times New Roman" w:hAnsi="Times New Roman"/>
              <w:color w:val="000000"/>
              <w:sz w:val="24"/>
              <w:szCs w:val="24"/>
            </w:rPr>
            <w:fldChar w:fldCharType="begin"/>
          </w:r>
          <w:r w:rsidR="005054DB">
            <w:rPr>
              <w:rFonts w:ascii="Times New Roman" w:hAnsi="Times New Roman"/>
              <w:color w:val="000000"/>
              <w:sz w:val="24"/>
              <w:szCs w:val="24"/>
            </w:rPr>
            <w:instrText xml:space="preserve"> CITATION Gar14 \l 10250 </w:instrText>
          </w:r>
          <w:r w:rsidR="005054DB">
            <w:rPr>
              <w:rFonts w:ascii="Times New Roman" w:hAnsi="Times New Roman"/>
              <w:color w:val="000000"/>
              <w:sz w:val="24"/>
              <w:szCs w:val="24"/>
            </w:rPr>
            <w:fldChar w:fldCharType="separate"/>
          </w:r>
          <w:r w:rsidR="005054DB" w:rsidRPr="005054DB">
            <w:rPr>
              <w:rFonts w:ascii="Times New Roman" w:hAnsi="Times New Roman"/>
              <w:noProof/>
              <w:color w:val="000000"/>
              <w:sz w:val="24"/>
              <w:szCs w:val="24"/>
            </w:rPr>
            <w:t>(García-Campayo, Cebolla, &amp; Baños, 2014)</w:t>
          </w:r>
          <w:r w:rsidR="005054DB">
            <w:rPr>
              <w:rFonts w:ascii="Times New Roman" w:hAnsi="Times New Roman"/>
              <w:color w:val="000000"/>
              <w:sz w:val="24"/>
              <w:szCs w:val="24"/>
            </w:rPr>
            <w:fldChar w:fldCharType="end"/>
          </w:r>
        </w:sdtContent>
      </w:sdt>
    </w:p>
    <w:p w:rsidR="002F27AF" w:rsidRDefault="002F27AF" w:rsidP="003A1900">
      <w:pPr>
        <w:autoSpaceDE w:val="0"/>
        <w:autoSpaceDN w:val="0"/>
        <w:adjustRightInd w:val="0"/>
        <w:spacing w:after="0" w:line="240" w:lineRule="auto"/>
        <w:jc w:val="both"/>
        <w:rPr>
          <w:rFonts w:ascii="Times New Roman" w:hAnsi="Times New Roman"/>
          <w:color w:val="000000"/>
          <w:sz w:val="24"/>
          <w:szCs w:val="24"/>
        </w:rPr>
      </w:pPr>
    </w:p>
    <w:p w:rsidR="005054DB" w:rsidRDefault="005054DB" w:rsidP="003A1900">
      <w:pPr>
        <w:autoSpaceDE w:val="0"/>
        <w:autoSpaceDN w:val="0"/>
        <w:adjustRightInd w:val="0"/>
        <w:spacing w:after="0" w:line="240" w:lineRule="auto"/>
        <w:jc w:val="both"/>
        <w:rPr>
          <w:rFonts w:ascii="Times New Roman" w:hAnsi="Times New Roman"/>
          <w:color w:val="000000"/>
          <w:sz w:val="24"/>
          <w:szCs w:val="24"/>
        </w:rPr>
      </w:pPr>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Pr="006F1B47"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BF4F69"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BF4F69">
        <w:rPr>
          <w:rFonts w:ascii="Times New Roman" w:hAnsi="Times New Roman"/>
          <w:bCs/>
          <w:color w:val="000000"/>
          <w:sz w:val="24"/>
          <w:szCs w:val="24"/>
        </w:rPr>
        <w:t xml:space="preserve">Tecnología </w:t>
      </w:r>
      <w:r w:rsidR="00732FD0" w:rsidRPr="00BF4F69">
        <w:rPr>
          <w:rFonts w:ascii="Times New Roman" w:hAnsi="Times New Roman"/>
          <w:bCs/>
          <w:color w:val="000000"/>
          <w:sz w:val="24"/>
          <w:szCs w:val="24"/>
        </w:rPr>
        <w:t>web</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La introducción de internet en todos los ámbitos de nuestra sociedad, más allá del uso científico o académico, solo fue cuestión de tiempo y revolucionó el panorama anteriormente descrito. Las aplicaciones como el correo electrónico o la web, han tomado tanto peso que el desarrollo de contenidos digitales en línea, las redes sociales, los servicios de banca online o la Administración electrónica se han impensables sin esas herramientas. Como consecuencia, la web se ha convertido en un instrumento de uso cotidiano para el intercambio de información en nuestra sociedad, llegando a superar a medios como la televisión, y se ha constituido, junto con el papel, en uno de los medios de publicación más importante en la sociedad actual. Por tanto, la web actual, ha evolucionado hacia usos que han trascendido la </w:t>
      </w:r>
      <w:r>
        <w:rPr>
          <w:rFonts w:ascii="Times New Roman" w:hAnsi="Times New Roman"/>
          <w:bCs/>
          <w:color w:val="000000"/>
          <w:sz w:val="24"/>
          <w:szCs w:val="24"/>
        </w:rPr>
        <w:lastRenderedPageBreak/>
        <w:t xml:space="preserve">idea original de Tim Berners-Lee. Ya no estamos hablando de sistemas para publicar y comunicar resultados de experimentos y trabajos de investigación. </w:t>
      </w: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Los usuarios han comenzado a interactuar con la web más allá de la búsqueda y consulta de información. La idea fundamental ahora se centra en establecer redes o comunidades de usuarios que trabajos con una serie de servicios basados en aplicaciones web. Esto fomenta la colaboración para difundir e intercambiar información de forma rápida y sencilla. </w:t>
      </w:r>
      <w:sdt>
        <w:sdtPr>
          <w:rPr>
            <w:rFonts w:ascii="Times New Roman" w:hAnsi="Times New Roman"/>
            <w:bCs/>
            <w:color w:val="000000"/>
            <w:sz w:val="24"/>
            <w:szCs w:val="24"/>
          </w:rPr>
          <w:id w:val="-260772096"/>
          <w:citation/>
        </w:sdtPr>
        <w:sdtContent>
          <w:r>
            <w:rPr>
              <w:rFonts w:ascii="Times New Roman" w:hAnsi="Times New Roman"/>
              <w:bCs/>
              <w:color w:val="000000"/>
              <w:sz w:val="24"/>
              <w:szCs w:val="24"/>
            </w:rPr>
            <w:fldChar w:fldCharType="begin"/>
          </w:r>
          <w:r w:rsidR="0033148B">
            <w:rPr>
              <w:rFonts w:ascii="Times New Roman" w:hAnsi="Times New Roman"/>
              <w:bCs/>
              <w:color w:val="000000"/>
              <w:sz w:val="24"/>
              <w:szCs w:val="24"/>
            </w:rPr>
            <w:instrText xml:space="preserve">CITATION Pas11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(Pastor Sanchez, 2013)</w:t>
          </w:r>
          <w:r>
            <w:rPr>
              <w:rFonts w:ascii="Times New Roman" w:hAnsi="Times New Roman"/>
              <w:bCs/>
              <w:color w:val="000000"/>
              <w:sz w:val="24"/>
              <w:szCs w:val="24"/>
            </w:rPr>
            <w:fldChar w:fldCharType="end"/>
          </w:r>
        </w:sdtContent>
      </w:sdt>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mismo, las TIC han variado con el</w:t>
      </w:r>
      <w:r w:rsidRPr="0033148B">
        <w:rPr>
          <w:rFonts w:ascii="Times New Roman" w:hAnsi="Times New Roman"/>
          <w:bCs/>
          <w:color w:val="000000"/>
          <w:sz w:val="24"/>
          <w:szCs w:val="24"/>
        </w:rPr>
        <w:t xml:space="preserve"> tiempo, debido a los rápidos avances que se suceden. Esto es consecuencia de los desarrollos tecnológicos e</w:t>
      </w:r>
      <w:r>
        <w:rPr>
          <w:rFonts w:ascii="Times New Roman" w:hAnsi="Times New Roman"/>
          <w:bCs/>
          <w:color w:val="000000"/>
          <w:sz w:val="24"/>
          <w:szCs w:val="24"/>
        </w:rPr>
        <w:t xml:space="preserve">n </w:t>
      </w:r>
      <w:r w:rsidRPr="0033148B">
        <w:rPr>
          <w:rFonts w:ascii="Times New Roman" w:hAnsi="Times New Roman"/>
          <w:bCs/>
          <w:color w:val="000000"/>
          <w:sz w:val="24"/>
          <w:szCs w:val="24"/>
        </w:rPr>
        <w:t>los máximos representantes</w:t>
      </w:r>
      <w:r>
        <w:rPr>
          <w:rFonts w:ascii="Times New Roman" w:hAnsi="Times New Roman"/>
          <w:bCs/>
          <w:color w:val="000000"/>
          <w:sz w:val="24"/>
          <w:szCs w:val="24"/>
        </w:rPr>
        <w:t xml:space="preserve"> de las TIC: </w:t>
      </w:r>
      <w:r w:rsidRPr="0033148B">
        <w:rPr>
          <w:rFonts w:ascii="Times New Roman" w:hAnsi="Times New Roman"/>
          <w:bCs/>
          <w:color w:val="000000"/>
          <w:sz w:val="24"/>
          <w:szCs w:val="24"/>
        </w:rPr>
        <w:t>los ordenadores</w:t>
      </w:r>
      <w:r>
        <w:rPr>
          <w:rFonts w:ascii="Times New Roman" w:hAnsi="Times New Roman"/>
          <w:bCs/>
          <w:color w:val="000000"/>
          <w:sz w:val="24"/>
          <w:szCs w:val="24"/>
        </w:rPr>
        <w:t xml:space="preserve">, </w:t>
      </w:r>
      <w:r w:rsidRPr="0033148B">
        <w:rPr>
          <w:rFonts w:ascii="Times New Roman" w:hAnsi="Times New Roman"/>
          <w:bCs/>
          <w:color w:val="000000"/>
          <w:sz w:val="24"/>
          <w:szCs w:val="24"/>
        </w:rPr>
        <w:t>la informática, Internet y los Smartphone</w:t>
      </w:r>
      <w:r>
        <w:rPr>
          <w:rFonts w:ascii="Times New Roman" w:hAnsi="Times New Roman"/>
          <w:bCs/>
          <w:color w:val="000000"/>
          <w:sz w:val="24"/>
          <w:szCs w:val="24"/>
        </w:rPr>
        <w:t>.</w:t>
      </w:r>
      <w:r w:rsidRPr="0033148B">
        <w:rPr>
          <w:rFonts w:ascii="Times New Roman" w:hAnsi="Times New Roman"/>
          <w:bCs/>
          <w:color w:val="000000"/>
          <w:sz w:val="24"/>
          <w:szCs w:val="24"/>
        </w:rPr>
        <w:t xml:space="preserve"> Su impacto social actual es innegable.  </w:t>
      </w: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w:t>
      </w:r>
      <w:r w:rsidRPr="0033148B">
        <w:rPr>
          <w:rFonts w:ascii="Times New Roman" w:hAnsi="Times New Roman"/>
          <w:bCs/>
          <w:color w:val="000000"/>
          <w:sz w:val="24"/>
          <w:szCs w:val="24"/>
        </w:rPr>
        <w:t xml:space="preserve"> características de estas tecnologías van</w:t>
      </w:r>
      <w:r>
        <w:rPr>
          <w:rFonts w:ascii="Times New Roman" w:hAnsi="Times New Roman"/>
          <w:bCs/>
          <w:color w:val="000000"/>
          <w:sz w:val="24"/>
          <w:szCs w:val="24"/>
        </w:rPr>
        <w:t xml:space="preserve"> cobrando diferentes grados</w:t>
      </w:r>
      <w:r w:rsidRPr="0033148B">
        <w:rPr>
          <w:rFonts w:ascii="Times New Roman" w:hAnsi="Times New Roman"/>
          <w:bCs/>
          <w:color w:val="000000"/>
          <w:sz w:val="24"/>
          <w:szCs w:val="24"/>
        </w:rPr>
        <w:t xml:space="preserve"> de protagonismo con el paso del tiempo y en estos últimos años destacan las</w:t>
      </w:r>
      <w:r>
        <w:rPr>
          <w:rFonts w:ascii="Times New Roman" w:hAnsi="Times New Roman"/>
          <w:bCs/>
          <w:color w:val="000000"/>
          <w:sz w:val="24"/>
          <w:szCs w:val="24"/>
        </w:rPr>
        <w:t xml:space="preserve"> siguientes:  instantaneidad, interactividad, interconexión y diversidad, sin   que </w:t>
      </w:r>
      <w:r w:rsidRPr="0033148B">
        <w:rPr>
          <w:rFonts w:ascii="Times New Roman" w:hAnsi="Times New Roman"/>
          <w:bCs/>
          <w:color w:val="000000"/>
          <w:sz w:val="24"/>
          <w:szCs w:val="24"/>
        </w:rPr>
        <w:t xml:space="preserve">  por    e</w:t>
      </w:r>
      <w:r>
        <w:rPr>
          <w:rFonts w:ascii="Times New Roman" w:hAnsi="Times New Roman"/>
          <w:bCs/>
          <w:color w:val="000000"/>
          <w:sz w:val="24"/>
          <w:szCs w:val="24"/>
        </w:rPr>
        <w:t>llo desaparezca otras características</w:t>
      </w:r>
      <w:r w:rsidRPr="0033148B">
        <w:rPr>
          <w:rFonts w:ascii="Times New Roman" w:hAnsi="Times New Roman"/>
          <w:bCs/>
          <w:color w:val="000000"/>
          <w:sz w:val="24"/>
          <w:szCs w:val="24"/>
        </w:rPr>
        <w:t xml:space="preserve"> que podemos considerar básicas o fundamentales.</w:t>
      </w:r>
    </w:p>
    <w:p w:rsidR="00732FD0"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sidRPr="0033148B">
        <w:rPr>
          <w:rFonts w:ascii="Times New Roman" w:hAnsi="Times New Roman"/>
          <w:bCs/>
          <w:color w:val="000000"/>
          <w:sz w:val="24"/>
          <w:szCs w:val="24"/>
        </w:rPr>
        <w:t xml:space="preserve">Quizá lo más destacable en esta evolución sea su amplificación de uso, de ramificación y de desarrollo.  En este sentido es reseñable que la evolución diacrónica va pasando de la mera recepción, información y almacenamiento, a la transformación de lo recibido para generar un conocimiento nuevo:  gestión de la </w:t>
      </w:r>
      <w:r>
        <w:rPr>
          <w:rFonts w:ascii="Times New Roman" w:hAnsi="Times New Roman"/>
          <w:bCs/>
          <w:color w:val="000000"/>
          <w:sz w:val="24"/>
          <w:szCs w:val="24"/>
        </w:rPr>
        <w:t>información</w:t>
      </w:r>
      <w:r w:rsidRPr="0033148B">
        <w:rPr>
          <w:rFonts w:ascii="Times New Roman" w:hAnsi="Times New Roman"/>
          <w:bCs/>
          <w:color w:val="000000"/>
          <w:sz w:val="24"/>
          <w:szCs w:val="24"/>
        </w:rPr>
        <w:t xml:space="preserve"> </w:t>
      </w:r>
      <w:r>
        <w:rPr>
          <w:rFonts w:ascii="Times New Roman" w:hAnsi="Times New Roman"/>
          <w:bCs/>
          <w:color w:val="000000"/>
          <w:sz w:val="24"/>
          <w:szCs w:val="24"/>
        </w:rPr>
        <w:t>y</w:t>
      </w:r>
      <w:r w:rsidRPr="0033148B">
        <w:rPr>
          <w:rFonts w:ascii="Times New Roman" w:hAnsi="Times New Roman"/>
          <w:bCs/>
          <w:color w:val="000000"/>
          <w:sz w:val="24"/>
          <w:szCs w:val="24"/>
        </w:rPr>
        <w:t xml:space="preserve"> del conocimiento.  Esta es la línea prospectiva que nos ofrece la dimensión evolutiva de las TIC: desde la Web 1.0 a la Web Social 2.0 y posteriormente a la llamada Web Inteligen</w:t>
      </w:r>
      <w:r>
        <w:rPr>
          <w:rFonts w:ascii="Times New Roman" w:hAnsi="Times New Roman"/>
          <w:bCs/>
          <w:color w:val="000000"/>
          <w:sz w:val="24"/>
          <w:szCs w:val="24"/>
        </w:rPr>
        <w:t>t</w:t>
      </w:r>
      <w:r w:rsidRPr="0033148B">
        <w:rPr>
          <w:rFonts w:ascii="Times New Roman" w:hAnsi="Times New Roman"/>
          <w:bCs/>
          <w:color w:val="000000"/>
          <w:sz w:val="24"/>
          <w:szCs w:val="24"/>
        </w:rPr>
        <w:t>e</w:t>
      </w:r>
      <w:r w:rsidR="00BF4F69">
        <w:rPr>
          <w:rFonts w:ascii="Times New Roman" w:hAnsi="Times New Roman"/>
          <w:bCs/>
          <w:color w:val="000000"/>
          <w:sz w:val="24"/>
          <w:szCs w:val="24"/>
        </w:rPr>
        <w:t xml:space="preserve">. </w:t>
      </w:r>
      <w:sdt>
        <w:sdtPr>
          <w:rPr>
            <w:rFonts w:ascii="Times New Roman" w:hAnsi="Times New Roman"/>
            <w:bCs/>
            <w:color w:val="000000"/>
            <w:sz w:val="24"/>
            <w:szCs w:val="24"/>
          </w:rPr>
          <w:id w:val="-1447534765"/>
          <w:citation/>
        </w:sdtPr>
        <w:sdtContent>
          <w:r w:rsidR="00BF4F69">
            <w:rPr>
              <w:rFonts w:ascii="Times New Roman" w:hAnsi="Times New Roman"/>
              <w:bCs/>
              <w:color w:val="000000"/>
              <w:sz w:val="24"/>
              <w:szCs w:val="24"/>
            </w:rPr>
            <w:fldChar w:fldCharType="begin"/>
          </w:r>
          <w:r w:rsidR="00BF4F69">
            <w:rPr>
              <w:rFonts w:ascii="Times New Roman" w:hAnsi="Times New Roman"/>
              <w:bCs/>
              <w:color w:val="000000"/>
              <w:sz w:val="24"/>
              <w:szCs w:val="24"/>
            </w:rPr>
            <w:instrText xml:space="preserve"> CITATION Gra16 \l 10250 </w:instrText>
          </w:r>
          <w:r w:rsidR="00BF4F6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(Grande, Cañon, &amp; Cantón, 2016)</w:t>
          </w:r>
          <w:r w:rsidR="00BF4F69">
            <w:rPr>
              <w:rFonts w:ascii="Times New Roman" w:hAnsi="Times New Roman"/>
              <w:bCs/>
              <w:color w:val="000000"/>
              <w:sz w:val="24"/>
              <w:szCs w:val="24"/>
            </w:rPr>
            <w:fldChar w:fldCharType="end"/>
          </w:r>
        </w:sdtContent>
      </w:sdt>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B22414" w:rsidRDefault="00B22414" w:rsidP="00B22414">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sidRPr="00515337">
        <w:rPr>
          <w:rFonts w:ascii="Times New Roman" w:hAnsi="Times New Roman"/>
          <w:bCs/>
          <w:color w:val="000000"/>
          <w:sz w:val="24"/>
          <w:szCs w:val="24"/>
        </w:rPr>
        <w:t>estructuradas, los cuales son los principales instrumentos para la evaluación de los TCA, además existen otras mediciones relacionadas</w:t>
      </w:r>
      <w:r w:rsidR="00515337">
        <w:rPr>
          <w:rFonts w:ascii="Times New Roman" w:hAnsi="Times New Roman"/>
          <w:bCs/>
          <w:color w:val="000000"/>
          <w:sz w:val="24"/>
          <w:szCs w:val="24"/>
        </w:rPr>
        <w:t xml:space="preserve"> como puede ser la preocupación por la imagen corporal, el índice de masa corporal, la ingesta dietética, entre otras.</w:t>
      </w:r>
    </w:p>
    <w:p w:rsidR="00515337" w:rsidRDefault="00515337" w:rsidP="00B22414">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515337" w:rsidP="00E978E9">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cuestionarios aut</w:t>
      </w:r>
      <w:r w:rsidR="00D06D86">
        <w:rPr>
          <w:rFonts w:ascii="Times New Roman" w:hAnsi="Times New Roman"/>
          <w:bCs/>
          <w:color w:val="000000"/>
          <w:sz w:val="24"/>
          <w:szCs w:val="24"/>
        </w:rPr>
        <w:t>o</w:t>
      </w:r>
      <w:r>
        <w:rPr>
          <w:rFonts w:ascii="Times New Roman" w:hAnsi="Times New Roman"/>
          <w:bCs/>
          <w:color w:val="000000"/>
          <w:sz w:val="24"/>
          <w:szCs w:val="24"/>
        </w:rPr>
        <w:t xml:space="preserve">aplicados </w:t>
      </w:r>
      <w:r w:rsidR="00D06D86">
        <w:rPr>
          <w:rFonts w:ascii="Times New Roman" w:hAnsi="Times New Roman"/>
          <w:bCs/>
          <w:color w:val="000000"/>
          <w:sz w:val="24"/>
          <w:szCs w:val="24"/>
        </w:rPr>
        <w:t xml:space="preserve">ayudan a reportar síntomas o conductas de riesgo ante la posible presencia de un TCA; si bien no dan un diagnóstico especifico del trastorno que se tenga, la puntuación que obtenga el individuo mediante el cuestionario podría indicar la presencia de algún trastorno alimenticio y por ello es necesario verificar </w:t>
      </w:r>
      <w:r w:rsidR="00932AFC" w:rsidRPr="00932AFC">
        <w:rPr>
          <w:rFonts w:ascii="Times New Roman" w:hAnsi="Times New Roman"/>
          <w:bCs/>
          <w:color w:val="000000"/>
          <w:sz w:val="24"/>
          <w:szCs w:val="24"/>
        </w:rPr>
        <w:t>el diagnóstico por medio de entrevistas estructuradas. Las entrevistas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estructuradas son más precisas para evaluar un TCA, ya que pueden definirse los diferentes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conceptos de cada pregunta; sin embargo, tienen la desventaja de necesitar entrevistadores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entrenados debiéndose aplicar individualmente y, por consiguiente, aumento en el costo y en el</w:t>
      </w:r>
      <w:r w:rsidR="00932AFC">
        <w:rPr>
          <w:rFonts w:ascii="Times New Roman" w:hAnsi="Times New Roman"/>
          <w:bCs/>
          <w:color w:val="000000"/>
          <w:sz w:val="24"/>
          <w:szCs w:val="24"/>
        </w:rPr>
        <w:t xml:space="preserve"> tiempo. </w:t>
      </w:r>
      <w:r w:rsidR="00932AFC" w:rsidRPr="00932AFC">
        <w:rPr>
          <w:rFonts w:ascii="Times New Roman" w:hAnsi="Times New Roman"/>
          <w:bCs/>
          <w:color w:val="000000"/>
          <w:sz w:val="24"/>
          <w:szCs w:val="24"/>
        </w:rPr>
        <w:t>Mientras que los cuestionarios autoaplicados son relativamente económicos, consumen</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menos tiempo y pueden aplicarse a grupos grandes de personas; sin embargo, existe mayor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 xml:space="preserve">dificultad en </w:t>
      </w:r>
      <w:r w:rsidR="00932AFC" w:rsidRPr="00932AFC">
        <w:rPr>
          <w:rFonts w:ascii="Times New Roman" w:hAnsi="Times New Roman"/>
          <w:bCs/>
          <w:color w:val="000000"/>
          <w:sz w:val="24"/>
          <w:szCs w:val="24"/>
        </w:rPr>
        <w:lastRenderedPageBreak/>
        <w:t>cuanto a la definición e interpretación de los conceptos, por lo que hay que tener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cautela en pretender generalizar los resultados.</w:t>
      </w:r>
    </w:p>
    <w:p w:rsidR="008A0CAF" w:rsidRDefault="008A0CAF" w:rsidP="008A0CAF">
      <w:pPr>
        <w:autoSpaceDE w:val="0"/>
        <w:autoSpaceDN w:val="0"/>
        <w:adjustRightInd w:val="0"/>
        <w:spacing w:after="0" w:line="240" w:lineRule="auto"/>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validado en mujeres mexicanas por </w:t>
      </w:r>
      <w:r w:rsidRPr="003F6E2C">
        <w:rPr>
          <w:rFonts w:ascii="Times New Roman" w:hAnsi="Times New Roman"/>
          <w:bCs/>
          <w:color w:val="000000"/>
          <w:sz w:val="24"/>
          <w:szCs w:val="24"/>
        </w:rPr>
        <w:lastRenderedPageBreak/>
        <w:t>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posee mayor relevancia el valor cuantitativo de cada una de las ocho subescalas que la </w:t>
      </w:r>
      <w:r w:rsidRPr="00D36B1D">
        <w:rPr>
          <w:rFonts w:ascii="Times New Roman" w:hAnsi="Times New Roman"/>
          <w:bCs/>
          <w:color w:val="000000"/>
          <w:sz w:val="24"/>
          <w:szCs w:val="24"/>
        </w:rPr>
        <w:lastRenderedPageBreak/>
        <w:t>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sugiere que el EDI es capaz de discriminar entre individuos con TCA e individuos sin padecimientos psiquiátricos. Este cuestionario ha 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087277FC" wp14:editId="2A71B77E">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341EA6"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de élites. 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6F1B47" w:rsidRPr="006F1B47" w:rsidRDefault="00FC4803" w:rsidP="006F1B47">
      <w:pPr>
        <w:pStyle w:val="Prrafodelista"/>
        <w:numPr>
          <w:ilvl w:val="0"/>
          <w:numId w:val="18"/>
        </w:num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Gamificación</w:t>
      </w:r>
    </w:p>
    <w:p w:rsidR="006F1B47" w:rsidRDefault="006F1B4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FC4803"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r w:rsidRPr="00FC72A7">
        <w:rPr>
          <w:rFonts w:ascii="Times New Roman" w:hAnsi="Times New Roman"/>
          <w:bCs/>
          <w:color w:val="000000"/>
          <w:sz w:val="24"/>
          <w:szCs w:val="24"/>
        </w:rPr>
        <w:t>La conceptualización de este término tiene su origen en el mundo de los negocios,</w:t>
      </w:r>
      <w:r>
        <w:rPr>
          <w:rFonts w:ascii="Times New Roman" w:hAnsi="Times New Roman"/>
          <w:bCs/>
          <w:color w:val="000000"/>
          <w:sz w:val="24"/>
          <w:szCs w:val="24"/>
        </w:rPr>
        <w:t xml:space="preserve"> </w:t>
      </w:r>
      <w:r w:rsidRPr="00FC72A7">
        <w:rPr>
          <w:rFonts w:ascii="Times New Roman" w:hAnsi="Times New Roman"/>
          <w:bCs/>
          <w:color w:val="000000"/>
          <w:sz w:val="24"/>
          <w:szCs w:val="24"/>
        </w:rPr>
        <w:t>pues es en este contexto donde se empezó a utilizar. Así, Werbach y Hunter (2012) señalan</w:t>
      </w:r>
      <w:r>
        <w:rPr>
          <w:rFonts w:ascii="Times New Roman" w:hAnsi="Times New Roman"/>
          <w:bCs/>
          <w:color w:val="000000"/>
          <w:sz w:val="24"/>
          <w:szCs w:val="24"/>
        </w:rPr>
        <w:t xml:space="preserve"> </w:t>
      </w:r>
      <w:r w:rsidRPr="00FC72A7">
        <w:rPr>
          <w:rFonts w:ascii="Times New Roman" w:hAnsi="Times New Roman"/>
          <w:bCs/>
          <w:color w:val="000000"/>
          <w:sz w:val="24"/>
          <w:szCs w:val="24"/>
        </w:rPr>
        <w:t>que la gamificación consiste en el uso de elementos de juegos y técnicas de diseño</w:t>
      </w:r>
      <w:r>
        <w:rPr>
          <w:rFonts w:ascii="Times New Roman" w:hAnsi="Times New Roman"/>
          <w:bCs/>
          <w:color w:val="000000"/>
          <w:sz w:val="24"/>
          <w:szCs w:val="24"/>
        </w:rPr>
        <w:t xml:space="preserve"> </w:t>
      </w:r>
      <w:r w:rsidRPr="00FC72A7">
        <w:rPr>
          <w:rFonts w:ascii="Times New Roman" w:hAnsi="Times New Roman"/>
          <w:bCs/>
          <w:color w:val="000000"/>
          <w:sz w:val="24"/>
          <w:szCs w:val="24"/>
        </w:rPr>
        <w:t>de juegos en contextos no lúdicos.</w:t>
      </w:r>
    </w:p>
    <w:p w:rsidR="00FC72A7" w:rsidRPr="00FC72A7" w:rsidRDefault="00FC72A7" w:rsidP="00FC72A7">
      <w:pPr>
        <w:autoSpaceDE w:val="0"/>
        <w:autoSpaceDN w:val="0"/>
        <w:adjustRightInd w:val="0"/>
        <w:spacing w:after="0" w:line="240" w:lineRule="auto"/>
        <w:jc w:val="both"/>
        <w:rPr>
          <w:rFonts w:ascii="Times New Roman" w:hAnsi="Times New Roman"/>
          <w:bCs/>
          <w:color w:val="000000"/>
          <w:sz w:val="24"/>
          <w:szCs w:val="24"/>
        </w:rPr>
      </w:pPr>
    </w:p>
    <w:p w:rsidR="00FC72A7" w:rsidRPr="00FC72A7"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r w:rsidRPr="00FC72A7">
        <w:rPr>
          <w:rFonts w:ascii="Times New Roman" w:hAnsi="Times New Roman"/>
          <w:bCs/>
          <w:color w:val="000000"/>
          <w:sz w:val="24"/>
          <w:szCs w:val="24"/>
        </w:rPr>
        <w:t>Es importante no confundir el concepto de gamificación frente al concepto de juego</w:t>
      </w:r>
    </w:p>
    <w:p w:rsidR="00FC4803"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r w:rsidRPr="00FC72A7">
        <w:rPr>
          <w:rFonts w:ascii="Times New Roman" w:hAnsi="Times New Roman"/>
          <w:bCs/>
          <w:color w:val="000000"/>
          <w:sz w:val="24"/>
          <w:szCs w:val="24"/>
        </w:rPr>
        <w:t xml:space="preserve">serio y el concepto de </w:t>
      </w:r>
      <w:r>
        <w:rPr>
          <w:rFonts w:ascii="Times New Roman" w:hAnsi="Times New Roman"/>
          <w:bCs/>
          <w:color w:val="000000"/>
          <w:sz w:val="24"/>
          <w:szCs w:val="24"/>
        </w:rPr>
        <w:t>gamificación</w:t>
      </w:r>
      <w:r w:rsidRPr="00FC72A7">
        <w:rPr>
          <w:rFonts w:ascii="Times New Roman" w:hAnsi="Times New Roman"/>
          <w:bCs/>
          <w:color w:val="000000"/>
          <w:sz w:val="24"/>
          <w:szCs w:val="24"/>
        </w:rPr>
        <w:t>, puesto que la línea que separa la definición de</w:t>
      </w:r>
      <w:r>
        <w:rPr>
          <w:rFonts w:ascii="Times New Roman" w:hAnsi="Times New Roman"/>
          <w:bCs/>
          <w:color w:val="000000"/>
          <w:sz w:val="24"/>
          <w:szCs w:val="24"/>
        </w:rPr>
        <w:t xml:space="preserve"> </w:t>
      </w:r>
      <w:r w:rsidRPr="00FC72A7">
        <w:rPr>
          <w:rFonts w:ascii="Times New Roman" w:hAnsi="Times New Roman"/>
          <w:bCs/>
          <w:color w:val="000000"/>
          <w:sz w:val="24"/>
          <w:szCs w:val="24"/>
        </w:rPr>
        <w:t xml:space="preserve">estos conceptos no está tan clara, pero es cierto que existen diferencias que </w:t>
      </w:r>
      <w:r>
        <w:rPr>
          <w:rFonts w:ascii="Times New Roman" w:hAnsi="Times New Roman"/>
          <w:bCs/>
          <w:color w:val="000000"/>
          <w:sz w:val="24"/>
          <w:szCs w:val="24"/>
        </w:rPr>
        <w:t xml:space="preserve">se debe </w:t>
      </w:r>
      <w:r w:rsidRPr="00FC72A7">
        <w:rPr>
          <w:rFonts w:ascii="Times New Roman" w:hAnsi="Times New Roman"/>
          <w:bCs/>
          <w:color w:val="000000"/>
          <w:sz w:val="24"/>
          <w:szCs w:val="24"/>
        </w:rPr>
        <w:t>aclarar.</w:t>
      </w:r>
      <w:r>
        <w:rPr>
          <w:rFonts w:ascii="Times New Roman" w:hAnsi="Times New Roman"/>
          <w:bCs/>
          <w:color w:val="000000"/>
          <w:sz w:val="24"/>
          <w:szCs w:val="24"/>
        </w:rPr>
        <w:t xml:space="preserve"> </w:t>
      </w:r>
      <w:r w:rsidRPr="00FC72A7">
        <w:rPr>
          <w:rFonts w:ascii="Times New Roman" w:hAnsi="Times New Roman"/>
          <w:bCs/>
          <w:color w:val="000000"/>
          <w:sz w:val="24"/>
          <w:szCs w:val="24"/>
        </w:rPr>
        <w:t>Por un lado, el juego serio consiste en el uso de un juego propiamente dicho, ya existente</w:t>
      </w:r>
      <w:r>
        <w:rPr>
          <w:rFonts w:ascii="Times New Roman" w:hAnsi="Times New Roman"/>
          <w:bCs/>
          <w:color w:val="000000"/>
          <w:sz w:val="24"/>
          <w:szCs w:val="24"/>
        </w:rPr>
        <w:t xml:space="preserve"> </w:t>
      </w:r>
      <w:r w:rsidRPr="00FC72A7">
        <w:rPr>
          <w:rFonts w:ascii="Times New Roman" w:hAnsi="Times New Roman"/>
          <w:bCs/>
          <w:color w:val="000000"/>
          <w:sz w:val="24"/>
          <w:szCs w:val="24"/>
        </w:rPr>
        <w:t>o creado con el objetivo de aprender, mientras que la gamificación, que también</w:t>
      </w:r>
      <w:r>
        <w:rPr>
          <w:rFonts w:ascii="Times New Roman" w:hAnsi="Times New Roman"/>
          <w:bCs/>
          <w:color w:val="000000"/>
          <w:sz w:val="24"/>
          <w:szCs w:val="24"/>
        </w:rPr>
        <w:t xml:space="preserve"> </w:t>
      </w:r>
      <w:r w:rsidRPr="00FC72A7">
        <w:rPr>
          <w:rFonts w:ascii="Times New Roman" w:hAnsi="Times New Roman"/>
          <w:bCs/>
          <w:color w:val="000000"/>
          <w:sz w:val="24"/>
          <w:szCs w:val="24"/>
        </w:rPr>
        <w:t>persigue el aprendizaje, no requiere del uso de juegos. Un ejemplo de juego serio es un</w:t>
      </w:r>
      <w:r>
        <w:rPr>
          <w:rFonts w:ascii="Times New Roman" w:hAnsi="Times New Roman"/>
          <w:bCs/>
          <w:color w:val="000000"/>
          <w:sz w:val="24"/>
          <w:szCs w:val="24"/>
        </w:rPr>
        <w:t xml:space="preserve"> </w:t>
      </w:r>
      <w:r w:rsidRPr="00FC72A7">
        <w:rPr>
          <w:rFonts w:ascii="Times New Roman" w:hAnsi="Times New Roman"/>
          <w:bCs/>
          <w:color w:val="000000"/>
          <w:sz w:val="24"/>
          <w:szCs w:val="24"/>
        </w:rPr>
        <w:t>bingo que puede ser utilizado para repaso de contenido, y un ejemplo de gamificación es</w:t>
      </w:r>
      <w:r>
        <w:rPr>
          <w:rFonts w:ascii="Times New Roman" w:hAnsi="Times New Roman"/>
          <w:bCs/>
          <w:color w:val="000000"/>
          <w:sz w:val="24"/>
          <w:szCs w:val="24"/>
        </w:rPr>
        <w:t xml:space="preserve"> </w:t>
      </w:r>
      <w:r w:rsidRPr="00FC72A7">
        <w:rPr>
          <w:rFonts w:ascii="Times New Roman" w:hAnsi="Times New Roman"/>
          <w:bCs/>
          <w:color w:val="000000"/>
          <w:sz w:val="24"/>
          <w:szCs w:val="24"/>
        </w:rPr>
        <w:t xml:space="preserve">utilizar elementos del juego; por ejemplo, dar puntos o recompensar </w:t>
      </w:r>
      <w:r w:rsidRPr="00FC72A7">
        <w:rPr>
          <w:rFonts w:ascii="Times New Roman" w:hAnsi="Times New Roman"/>
          <w:bCs/>
          <w:color w:val="000000"/>
          <w:sz w:val="24"/>
          <w:szCs w:val="24"/>
        </w:rPr>
        <w:lastRenderedPageBreak/>
        <w:t>a un estudiante por</w:t>
      </w:r>
      <w:r>
        <w:rPr>
          <w:rFonts w:ascii="Times New Roman" w:hAnsi="Times New Roman"/>
          <w:bCs/>
          <w:color w:val="000000"/>
          <w:sz w:val="24"/>
          <w:szCs w:val="24"/>
        </w:rPr>
        <w:t xml:space="preserve"> </w:t>
      </w:r>
      <w:r w:rsidRPr="00FC72A7">
        <w:rPr>
          <w:rFonts w:ascii="Times New Roman" w:hAnsi="Times New Roman"/>
          <w:bCs/>
          <w:color w:val="000000"/>
          <w:sz w:val="24"/>
          <w:szCs w:val="24"/>
        </w:rPr>
        <w:t>completar satisfactoriamente una tarea o ser el primero en completarla; o por el contrario</w:t>
      </w:r>
      <w:r>
        <w:rPr>
          <w:rFonts w:ascii="Times New Roman" w:hAnsi="Times New Roman"/>
          <w:bCs/>
          <w:color w:val="000000"/>
          <w:sz w:val="24"/>
          <w:szCs w:val="24"/>
        </w:rPr>
        <w:t xml:space="preserve"> </w:t>
      </w:r>
      <w:r w:rsidRPr="00FC72A7">
        <w:rPr>
          <w:rFonts w:ascii="Times New Roman" w:hAnsi="Times New Roman"/>
          <w:bCs/>
          <w:color w:val="000000"/>
          <w:sz w:val="24"/>
          <w:szCs w:val="24"/>
        </w:rPr>
        <w:t>penalizarlo por ser el último o no cumplir los objetivos</w:t>
      </w:r>
      <w:r>
        <w:rPr>
          <w:rFonts w:ascii="Times New Roman" w:hAnsi="Times New Roman"/>
          <w:bCs/>
          <w:color w:val="000000"/>
          <w:sz w:val="24"/>
          <w:szCs w:val="24"/>
        </w:rPr>
        <w:t>.</w:t>
      </w:r>
    </w:p>
    <w:p w:rsidR="00FC72A7"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p>
    <w:p w:rsidR="00FC72A7" w:rsidRPr="00FC72A7" w:rsidRDefault="00FC72A7" w:rsidP="00FC72A7">
      <w:pPr>
        <w:pStyle w:val="Prrafodelista"/>
        <w:autoSpaceDE w:val="0"/>
        <w:autoSpaceDN w:val="0"/>
        <w:adjustRightInd w:val="0"/>
        <w:spacing w:after="0" w:line="240" w:lineRule="auto"/>
        <w:jc w:val="both"/>
        <w:rPr>
          <w:rFonts w:ascii="Times New Roman" w:hAnsi="Times New Roman"/>
          <w:b/>
          <w:bCs/>
          <w:color w:val="000000"/>
          <w:sz w:val="24"/>
          <w:szCs w:val="24"/>
        </w:rPr>
      </w:pPr>
      <w:r w:rsidRPr="00FC72A7">
        <w:rPr>
          <w:rFonts w:ascii="Times New Roman" w:hAnsi="Times New Roman"/>
          <w:b/>
          <w:bCs/>
          <w:color w:val="000000"/>
          <w:sz w:val="24"/>
          <w:szCs w:val="24"/>
        </w:rPr>
        <w:t>Elementos de la Gamificación</w:t>
      </w:r>
    </w:p>
    <w:p w:rsidR="00FC72A7"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p>
    <w:p w:rsidR="00FC72A7" w:rsidRPr="00FC72A7"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r w:rsidRPr="00FC72A7">
        <w:rPr>
          <w:rFonts w:ascii="Times New Roman" w:hAnsi="Times New Roman"/>
          <w:bCs/>
          <w:color w:val="000000"/>
          <w:sz w:val="24"/>
          <w:szCs w:val="24"/>
        </w:rPr>
        <w:t>Es importante conocer los elementos que forman la g</w:t>
      </w:r>
      <w:r>
        <w:rPr>
          <w:rFonts w:ascii="Times New Roman" w:hAnsi="Times New Roman"/>
          <w:bCs/>
          <w:color w:val="000000"/>
          <w:sz w:val="24"/>
          <w:szCs w:val="24"/>
        </w:rPr>
        <w:t xml:space="preserve">amificación, </w:t>
      </w:r>
      <w:r w:rsidRPr="00FC72A7">
        <w:rPr>
          <w:rFonts w:ascii="Times New Roman" w:hAnsi="Times New Roman"/>
          <w:bCs/>
          <w:color w:val="000000"/>
          <w:sz w:val="24"/>
          <w:szCs w:val="24"/>
        </w:rPr>
        <w:t>Kevin Werbach y Dan Hunter</w:t>
      </w:r>
      <w:r>
        <w:rPr>
          <w:rFonts w:ascii="Times New Roman" w:hAnsi="Times New Roman"/>
          <w:bCs/>
          <w:color w:val="000000"/>
          <w:sz w:val="24"/>
          <w:szCs w:val="24"/>
        </w:rPr>
        <w:t xml:space="preserve"> </w:t>
      </w:r>
      <w:r w:rsidRPr="00FC72A7">
        <w:rPr>
          <w:rFonts w:ascii="Times New Roman" w:hAnsi="Times New Roman"/>
          <w:bCs/>
          <w:color w:val="000000"/>
          <w:sz w:val="24"/>
          <w:szCs w:val="24"/>
        </w:rPr>
        <w:t>(2012) clasifican estos elementos en tres categorías: dinámicas, mecánicas y componentes.</w:t>
      </w:r>
    </w:p>
    <w:p w:rsidR="00FC4803" w:rsidRDefault="00FC4803"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77F1FDF1" wp14:editId="3446D013">
            <wp:extent cx="3521246" cy="194310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386" cy="1944833"/>
                    </a:xfrm>
                    <a:prstGeom prst="rect">
                      <a:avLst/>
                    </a:prstGeom>
                  </pic:spPr>
                </pic:pic>
              </a:graphicData>
            </a:graphic>
          </wp:inline>
        </w:drawing>
      </w:r>
    </w:p>
    <w:p w:rsid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Elementos de la gamificación</w:t>
      </w:r>
    </w:p>
    <w:p w:rsidR="00FC72A7" w:rsidRDefault="00FC72A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FC72A7" w:rsidRPr="00FC72A7"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r w:rsidRPr="00FC72A7">
        <w:rPr>
          <w:rFonts w:ascii="Times New Roman" w:hAnsi="Times New Roman"/>
          <w:bCs/>
          <w:color w:val="000000"/>
          <w:sz w:val="24"/>
          <w:szCs w:val="24"/>
        </w:rPr>
        <w:t>Entendemos por mecánicas a los componentes básicos del juego, sus reglas, su motor</w:t>
      </w:r>
    </w:p>
    <w:p w:rsidR="00FC72A7" w:rsidRDefault="00FC72A7" w:rsidP="00FC72A7">
      <w:pPr>
        <w:pStyle w:val="Prrafodelista"/>
        <w:autoSpaceDE w:val="0"/>
        <w:autoSpaceDN w:val="0"/>
        <w:adjustRightInd w:val="0"/>
        <w:spacing w:after="0" w:line="240" w:lineRule="auto"/>
        <w:jc w:val="both"/>
        <w:rPr>
          <w:rFonts w:ascii="Times New Roman" w:hAnsi="Times New Roman"/>
          <w:bCs/>
          <w:color w:val="000000"/>
          <w:sz w:val="24"/>
          <w:szCs w:val="24"/>
        </w:rPr>
      </w:pPr>
      <w:r w:rsidRPr="00FC72A7">
        <w:rPr>
          <w:rFonts w:ascii="Times New Roman" w:hAnsi="Times New Roman"/>
          <w:bCs/>
          <w:color w:val="000000"/>
          <w:sz w:val="24"/>
          <w:szCs w:val="24"/>
        </w:rPr>
        <w:t>y su funcionamiento, por otro lado</w:t>
      </w:r>
      <w:r>
        <w:rPr>
          <w:rFonts w:ascii="Times New Roman" w:hAnsi="Times New Roman"/>
          <w:bCs/>
          <w:color w:val="000000"/>
          <w:sz w:val="24"/>
          <w:szCs w:val="24"/>
        </w:rPr>
        <w:t>,</w:t>
      </w:r>
      <w:r w:rsidRPr="00FC72A7">
        <w:rPr>
          <w:rFonts w:ascii="Times New Roman" w:hAnsi="Times New Roman"/>
          <w:bCs/>
          <w:color w:val="000000"/>
          <w:sz w:val="24"/>
          <w:szCs w:val="24"/>
        </w:rPr>
        <w:t xml:space="preserve"> las dinámicas son la forma en que se ponen en marcha</w:t>
      </w:r>
      <w:r>
        <w:rPr>
          <w:rFonts w:ascii="Times New Roman" w:hAnsi="Times New Roman"/>
          <w:bCs/>
          <w:color w:val="000000"/>
          <w:sz w:val="24"/>
          <w:szCs w:val="24"/>
        </w:rPr>
        <w:t xml:space="preserve"> las mecánicas y son</w:t>
      </w:r>
      <w:r w:rsidRPr="00FC72A7">
        <w:rPr>
          <w:rFonts w:ascii="Times New Roman" w:hAnsi="Times New Roman"/>
          <w:bCs/>
          <w:color w:val="000000"/>
          <w:sz w:val="24"/>
          <w:szCs w:val="24"/>
        </w:rPr>
        <w:t xml:space="preserve"> determinan</w:t>
      </w:r>
      <w:r>
        <w:rPr>
          <w:rFonts w:ascii="Times New Roman" w:hAnsi="Times New Roman"/>
          <w:bCs/>
          <w:color w:val="000000"/>
          <w:sz w:val="24"/>
          <w:szCs w:val="24"/>
        </w:rPr>
        <w:t xml:space="preserve">tes en el comportamiento de las personas </w:t>
      </w:r>
      <w:r w:rsidRPr="00FC72A7">
        <w:rPr>
          <w:rFonts w:ascii="Times New Roman" w:hAnsi="Times New Roman"/>
          <w:bCs/>
          <w:color w:val="000000"/>
          <w:sz w:val="24"/>
          <w:szCs w:val="24"/>
        </w:rPr>
        <w:t>y están relacionadas</w:t>
      </w:r>
      <w:r>
        <w:rPr>
          <w:rFonts w:ascii="Times New Roman" w:hAnsi="Times New Roman"/>
          <w:bCs/>
          <w:color w:val="000000"/>
          <w:sz w:val="24"/>
          <w:szCs w:val="24"/>
        </w:rPr>
        <w:t xml:space="preserve"> </w:t>
      </w:r>
      <w:r w:rsidRPr="00FC72A7">
        <w:rPr>
          <w:rFonts w:ascii="Times New Roman" w:hAnsi="Times New Roman"/>
          <w:bCs/>
          <w:color w:val="000000"/>
          <w:sz w:val="24"/>
          <w:szCs w:val="24"/>
        </w:rPr>
        <w:t xml:space="preserve">con la motivación </w:t>
      </w:r>
      <w:r>
        <w:rPr>
          <w:rFonts w:ascii="Times New Roman" w:hAnsi="Times New Roman"/>
          <w:bCs/>
          <w:color w:val="000000"/>
          <w:sz w:val="24"/>
          <w:szCs w:val="24"/>
        </w:rPr>
        <w:t>de los mismos</w:t>
      </w:r>
      <w:r w:rsidRPr="00FC72A7">
        <w:rPr>
          <w:rFonts w:ascii="Times New Roman" w:hAnsi="Times New Roman"/>
          <w:bCs/>
          <w:color w:val="000000"/>
          <w:sz w:val="24"/>
          <w:szCs w:val="24"/>
        </w:rPr>
        <w:t>. Por último, los componentes son los recursos</w:t>
      </w:r>
      <w:r>
        <w:rPr>
          <w:rFonts w:ascii="Times New Roman" w:hAnsi="Times New Roman"/>
          <w:bCs/>
          <w:color w:val="000000"/>
          <w:sz w:val="24"/>
          <w:szCs w:val="24"/>
        </w:rPr>
        <w:t xml:space="preserve"> </w:t>
      </w:r>
      <w:r w:rsidRPr="00FC72A7">
        <w:rPr>
          <w:rFonts w:ascii="Times New Roman" w:hAnsi="Times New Roman"/>
          <w:bCs/>
          <w:color w:val="000000"/>
          <w:sz w:val="24"/>
          <w:szCs w:val="24"/>
        </w:rPr>
        <w:t>con los que contamos y las herramientas que utilizamos para diseñar una actividad en la</w:t>
      </w:r>
      <w:r>
        <w:rPr>
          <w:rFonts w:ascii="Times New Roman" w:hAnsi="Times New Roman"/>
          <w:bCs/>
          <w:color w:val="000000"/>
          <w:sz w:val="24"/>
          <w:szCs w:val="24"/>
        </w:rPr>
        <w:t xml:space="preserve"> </w:t>
      </w:r>
      <w:r w:rsidRPr="00FC72A7">
        <w:rPr>
          <w:rFonts w:ascii="Times New Roman" w:hAnsi="Times New Roman"/>
          <w:bCs/>
          <w:color w:val="000000"/>
          <w:sz w:val="24"/>
          <w:szCs w:val="24"/>
        </w:rPr>
        <w:t>práctica de la gamificación. En las siguientes tablas presentamos ejemplos de dinámicas,</w:t>
      </w:r>
      <w:r>
        <w:rPr>
          <w:rFonts w:ascii="Times New Roman" w:hAnsi="Times New Roman"/>
          <w:bCs/>
          <w:color w:val="000000"/>
          <w:sz w:val="24"/>
          <w:szCs w:val="24"/>
        </w:rPr>
        <w:t xml:space="preserve"> </w:t>
      </w:r>
      <w:r w:rsidRPr="00FC72A7">
        <w:rPr>
          <w:rFonts w:ascii="Times New Roman" w:hAnsi="Times New Roman"/>
          <w:bCs/>
          <w:color w:val="000000"/>
          <w:sz w:val="24"/>
          <w:szCs w:val="24"/>
        </w:rPr>
        <w:t>mecánicas y componentes.</w:t>
      </w:r>
    </w:p>
    <w:p w:rsid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p>
    <w:p w:rsid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5FB3AEAB" wp14:editId="0EFDC8D9">
            <wp:extent cx="4724400" cy="160687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8757" cy="1611756"/>
                    </a:xfrm>
                    <a:prstGeom prst="rect">
                      <a:avLst/>
                    </a:prstGeom>
                  </pic:spPr>
                </pic:pic>
              </a:graphicData>
            </a:graphic>
          </wp:inline>
        </w:drawing>
      </w:r>
    </w:p>
    <w:p w:rsid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p>
    <w:p w:rsid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lastRenderedPageBreak/>
        <w:drawing>
          <wp:inline distT="0" distB="0" distL="0" distR="0" wp14:anchorId="75193248" wp14:editId="1AC1DD22">
            <wp:extent cx="4705350" cy="1975203"/>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915" cy="1983836"/>
                    </a:xfrm>
                    <a:prstGeom prst="rect">
                      <a:avLst/>
                    </a:prstGeom>
                  </pic:spPr>
                </pic:pic>
              </a:graphicData>
            </a:graphic>
          </wp:inline>
        </w:drawing>
      </w:r>
    </w:p>
    <w:p w:rsidR="00FC72A7" w:rsidRP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p>
    <w:p w:rsidR="00FC72A7" w:rsidRDefault="00FC72A7" w:rsidP="00FC72A7">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65D6CE57" wp14:editId="12D73DAA">
            <wp:extent cx="4710145" cy="36671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5325" cy="3671158"/>
                    </a:xfrm>
                    <a:prstGeom prst="rect">
                      <a:avLst/>
                    </a:prstGeom>
                  </pic:spPr>
                </pic:pic>
              </a:graphicData>
            </a:graphic>
          </wp:inline>
        </w:drawing>
      </w:r>
    </w:p>
    <w:p w:rsidR="00FC72A7" w:rsidRDefault="00FC72A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FC72A7" w:rsidRPr="003E3425" w:rsidRDefault="003E3425"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sidRPr="003E3425">
        <w:rPr>
          <w:rFonts w:ascii="Times New Roman" w:hAnsi="Times New Roman"/>
          <w:b/>
          <w:bCs/>
          <w:color w:val="000000"/>
          <w:sz w:val="24"/>
          <w:szCs w:val="24"/>
        </w:rPr>
        <w:t>Tipos de jugadores</w:t>
      </w:r>
    </w:p>
    <w:p w:rsidR="003E3425" w:rsidRDefault="003E3425"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3E3425" w:rsidRDefault="003E3425" w:rsidP="003E3425">
      <w:pPr>
        <w:pStyle w:val="Prrafodelista"/>
        <w:autoSpaceDE w:val="0"/>
        <w:autoSpaceDN w:val="0"/>
        <w:adjustRightInd w:val="0"/>
        <w:spacing w:after="0" w:line="240" w:lineRule="auto"/>
        <w:jc w:val="both"/>
        <w:rPr>
          <w:rFonts w:ascii="Times New Roman" w:hAnsi="Times New Roman"/>
          <w:bCs/>
          <w:color w:val="000000"/>
          <w:sz w:val="24"/>
          <w:szCs w:val="24"/>
        </w:rPr>
      </w:pPr>
      <w:r w:rsidRPr="003E3425">
        <w:rPr>
          <w:rFonts w:ascii="Times New Roman" w:hAnsi="Times New Roman"/>
          <w:bCs/>
          <w:color w:val="000000"/>
          <w:sz w:val="24"/>
          <w:szCs w:val="24"/>
        </w:rPr>
        <w:t>Otro elemento que debemos tener en cuenta antes de implementar una estrategia o</w:t>
      </w:r>
      <w:r>
        <w:rPr>
          <w:rFonts w:ascii="Times New Roman" w:hAnsi="Times New Roman"/>
          <w:bCs/>
          <w:color w:val="000000"/>
          <w:sz w:val="24"/>
          <w:szCs w:val="24"/>
        </w:rPr>
        <w:t xml:space="preserve"> </w:t>
      </w:r>
      <w:r w:rsidRPr="003E3425">
        <w:rPr>
          <w:rFonts w:ascii="Times New Roman" w:hAnsi="Times New Roman"/>
          <w:bCs/>
          <w:color w:val="000000"/>
          <w:sz w:val="24"/>
          <w:szCs w:val="24"/>
        </w:rPr>
        <w:t xml:space="preserve">un elemento de la gamificación es las características específicas de </w:t>
      </w:r>
      <w:r>
        <w:rPr>
          <w:rFonts w:ascii="Times New Roman" w:hAnsi="Times New Roman"/>
          <w:bCs/>
          <w:color w:val="000000"/>
          <w:sz w:val="24"/>
          <w:szCs w:val="24"/>
        </w:rPr>
        <w:t>las personas</w:t>
      </w:r>
      <w:r w:rsidRPr="003E3425">
        <w:rPr>
          <w:rFonts w:ascii="Times New Roman" w:hAnsi="Times New Roman"/>
          <w:bCs/>
          <w:color w:val="000000"/>
          <w:sz w:val="24"/>
          <w:szCs w:val="24"/>
        </w:rPr>
        <w:t>. Para ello,</w:t>
      </w:r>
      <w:r>
        <w:rPr>
          <w:rFonts w:ascii="Times New Roman" w:hAnsi="Times New Roman"/>
          <w:bCs/>
          <w:color w:val="000000"/>
          <w:sz w:val="24"/>
          <w:szCs w:val="24"/>
        </w:rPr>
        <w:t xml:space="preserve"> </w:t>
      </w:r>
      <w:r w:rsidRPr="003E3425">
        <w:rPr>
          <w:rFonts w:ascii="Times New Roman" w:hAnsi="Times New Roman"/>
          <w:bCs/>
          <w:color w:val="000000"/>
          <w:sz w:val="24"/>
          <w:szCs w:val="24"/>
        </w:rPr>
        <w:t>contaremos con la clasificación hecha por Richard Bartle (1996) que clasifica el perfil de</w:t>
      </w:r>
      <w:r>
        <w:rPr>
          <w:rFonts w:ascii="Times New Roman" w:hAnsi="Times New Roman"/>
          <w:bCs/>
          <w:color w:val="000000"/>
          <w:sz w:val="24"/>
          <w:szCs w:val="24"/>
        </w:rPr>
        <w:t xml:space="preserve"> </w:t>
      </w:r>
      <w:r w:rsidRPr="003E3425">
        <w:rPr>
          <w:rFonts w:ascii="Times New Roman" w:hAnsi="Times New Roman"/>
          <w:bCs/>
          <w:color w:val="000000"/>
          <w:sz w:val="24"/>
          <w:szCs w:val="24"/>
        </w:rPr>
        <w:t>los jugadores según la personalidad y los comportamientos que muestran:</w:t>
      </w:r>
    </w:p>
    <w:p w:rsidR="003E3425" w:rsidRPr="003E3425" w:rsidRDefault="003E3425" w:rsidP="003E3425">
      <w:pPr>
        <w:pStyle w:val="Prrafodelista"/>
        <w:autoSpaceDE w:val="0"/>
        <w:autoSpaceDN w:val="0"/>
        <w:adjustRightInd w:val="0"/>
        <w:spacing w:after="0" w:line="240" w:lineRule="auto"/>
        <w:jc w:val="both"/>
        <w:rPr>
          <w:rFonts w:ascii="Times New Roman" w:hAnsi="Times New Roman"/>
          <w:bCs/>
          <w:color w:val="000000"/>
          <w:sz w:val="24"/>
          <w:szCs w:val="24"/>
        </w:rPr>
      </w:pPr>
    </w:p>
    <w:p w:rsidR="003E3425" w:rsidRPr="003E3425" w:rsidRDefault="003E3425" w:rsidP="003E3425">
      <w:pPr>
        <w:pStyle w:val="Prrafodelista"/>
        <w:numPr>
          <w:ilvl w:val="0"/>
          <w:numId w:val="25"/>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w:t>
      </w:r>
      <w:r w:rsidRPr="003E3425">
        <w:rPr>
          <w:rFonts w:ascii="Times New Roman" w:hAnsi="Times New Roman"/>
          <w:bCs/>
          <w:color w:val="000000"/>
          <w:sz w:val="24"/>
          <w:szCs w:val="24"/>
        </w:rPr>
        <w:t>sesinos: son ganadores, pero para ellos ganar no es suficiente, necesitan ser los</w:t>
      </w:r>
    </w:p>
    <w:p w:rsidR="003E3425" w:rsidRPr="003E3425" w:rsidRDefault="003E3425" w:rsidP="003E3425">
      <w:pPr>
        <w:pStyle w:val="Prrafodelista"/>
        <w:autoSpaceDE w:val="0"/>
        <w:autoSpaceDN w:val="0"/>
        <w:adjustRightInd w:val="0"/>
        <w:spacing w:after="0" w:line="240" w:lineRule="auto"/>
        <w:jc w:val="both"/>
        <w:rPr>
          <w:rFonts w:ascii="Times New Roman" w:hAnsi="Times New Roman"/>
          <w:bCs/>
          <w:color w:val="000000"/>
          <w:sz w:val="24"/>
          <w:szCs w:val="24"/>
        </w:rPr>
      </w:pPr>
      <w:r w:rsidRPr="003E3425">
        <w:rPr>
          <w:rFonts w:ascii="Times New Roman" w:hAnsi="Times New Roman"/>
          <w:bCs/>
          <w:color w:val="000000"/>
          <w:sz w:val="24"/>
          <w:szCs w:val="24"/>
        </w:rPr>
        <w:t>mejores y conseguir el primer puesto en la tabla de clasificación.</w:t>
      </w:r>
    </w:p>
    <w:p w:rsidR="003E3425" w:rsidRPr="003E3425" w:rsidRDefault="003E3425" w:rsidP="003E3425">
      <w:pPr>
        <w:pStyle w:val="Prrafodelista"/>
        <w:numPr>
          <w:ilvl w:val="0"/>
          <w:numId w:val="25"/>
        </w:numPr>
        <w:autoSpaceDE w:val="0"/>
        <w:autoSpaceDN w:val="0"/>
        <w:adjustRightInd w:val="0"/>
        <w:spacing w:after="0" w:line="240" w:lineRule="auto"/>
        <w:jc w:val="both"/>
        <w:rPr>
          <w:rFonts w:ascii="Times New Roman" w:hAnsi="Times New Roman"/>
          <w:bCs/>
          <w:color w:val="000000"/>
          <w:sz w:val="24"/>
          <w:szCs w:val="24"/>
        </w:rPr>
      </w:pPr>
      <w:r w:rsidRPr="003E3425">
        <w:rPr>
          <w:rFonts w:ascii="Times New Roman" w:hAnsi="Times New Roman"/>
          <w:bCs/>
          <w:color w:val="000000"/>
          <w:sz w:val="24"/>
          <w:szCs w:val="24"/>
        </w:rPr>
        <w:t xml:space="preserve"> </w:t>
      </w:r>
      <w:r>
        <w:rPr>
          <w:rFonts w:ascii="Times New Roman" w:hAnsi="Times New Roman"/>
          <w:bCs/>
          <w:color w:val="000000"/>
          <w:sz w:val="24"/>
          <w:szCs w:val="24"/>
        </w:rPr>
        <w:t>T</w:t>
      </w:r>
      <w:r w:rsidRPr="003E3425">
        <w:rPr>
          <w:rFonts w:ascii="Times New Roman" w:hAnsi="Times New Roman"/>
          <w:bCs/>
          <w:color w:val="000000"/>
          <w:sz w:val="24"/>
          <w:szCs w:val="24"/>
        </w:rPr>
        <w:t>riunfadores: son aventureros y se mueven guiados por un afán de superación</w:t>
      </w:r>
    </w:p>
    <w:p w:rsidR="003E3425" w:rsidRPr="003E3425" w:rsidRDefault="003E3425" w:rsidP="003E3425">
      <w:pPr>
        <w:pStyle w:val="Prrafodelista"/>
        <w:autoSpaceDE w:val="0"/>
        <w:autoSpaceDN w:val="0"/>
        <w:adjustRightInd w:val="0"/>
        <w:spacing w:after="0" w:line="240" w:lineRule="auto"/>
        <w:jc w:val="both"/>
        <w:rPr>
          <w:rFonts w:ascii="Times New Roman" w:hAnsi="Times New Roman"/>
          <w:bCs/>
          <w:color w:val="000000"/>
          <w:sz w:val="24"/>
          <w:szCs w:val="24"/>
        </w:rPr>
      </w:pPr>
      <w:r w:rsidRPr="003E3425">
        <w:rPr>
          <w:rFonts w:ascii="Times New Roman" w:hAnsi="Times New Roman"/>
          <w:bCs/>
          <w:color w:val="000000"/>
          <w:sz w:val="24"/>
          <w:szCs w:val="24"/>
        </w:rPr>
        <w:t>personal para ir subiendo niveles y desbloqueando contenidos.</w:t>
      </w:r>
    </w:p>
    <w:p w:rsidR="003E3425" w:rsidRPr="003E3425" w:rsidRDefault="003E3425" w:rsidP="003E3425">
      <w:pPr>
        <w:pStyle w:val="Prrafodelista"/>
        <w:numPr>
          <w:ilvl w:val="0"/>
          <w:numId w:val="25"/>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w:t>
      </w:r>
      <w:r w:rsidRPr="003E3425">
        <w:rPr>
          <w:rFonts w:ascii="Times New Roman" w:hAnsi="Times New Roman"/>
          <w:bCs/>
          <w:color w:val="000000"/>
          <w:sz w:val="24"/>
          <w:szCs w:val="24"/>
        </w:rPr>
        <w:t>ociables: juegan para relacionarse con otros jugadores, para ellos jugar es compartir</w:t>
      </w:r>
    </w:p>
    <w:p w:rsidR="003E3425" w:rsidRPr="003E3425" w:rsidRDefault="003E3425" w:rsidP="003E3425">
      <w:pPr>
        <w:pStyle w:val="Prrafodelista"/>
        <w:autoSpaceDE w:val="0"/>
        <w:autoSpaceDN w:val="0"/>
        <w:adjustRightInd w:val="0"/>
        <w:spacing w:after="0" w:line="240" w:lineRule="auto"/>
        <w:jc w:val="both"/>
        <w:rPr>
          <w:rFonts w:ascii="Times New Roman" w:hAnsi="Times New Roman"/>
          <w:bCs/>
          <w:color w:val="000000"/>
          <w:sz w:val="24"/>
          <w:szCs w:val="24"/>
        </w:rPr>
      </w:pPr>
      <w:r w:rsidRPr="003E3425">
        <w:rPr>
          <w:rFonts w:ascii="Times New Roman" w:hAnsi="Times New Roman"/>
          <w:bCs/>
          <w:color w:val="000000"/>
          <w:sz w:val="24"/>
          <w:szCs w:val="24"/>
        </w:rPr>
        <w:t>ideas, experiencias y crear una red de contactos o amigos.</w:t>
      </w:r>
    </w:p>
    <w:p w:rsidR="003E3425" w:rsidRDefault="003E3425" w:rsidP="003E3425">
      <w:pPr>
        <w:pStyle w:val="Prrafodelista"/>
        <w:numPr>
          <w:ilvl w:val="0"/>
          <w:numId w:val="25"/>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w:t>
      </w:r>
      <w:r w:rsidRPr="003E3425">
        <w:rPr>
          <w:rFonts w:ascii="Times New Roman" w:hAnsi="Times New Roman"/>
          <w:bCs/>
          <w:color w:val="000000"/>
          <w:sz w:val="24"/>
          <w:szCs w:val="24"/>
        </w:rPr>
        <w:t>xploradores: les gusta explorar el juego, descubrir nuevas cosas.</w:t>
      </w:r>
    </w:p>
    <w:p w:rsidR="00FC72A7" w:rsidRDefault="00FC72A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3E3425" w:rsidRPr="003E3425" w:rsidRDefault="003E3425"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sidRPr="003E3425">
        <w:rPr>
          <w:rFonts w:ascii="Times New Roman" w:hAnsi="Times New Roman"/>
          <w:b/>
          <w:bCs/>
          <w:color w:val="000000"/>
          <w:sz w:val="24"/>
          <w:szCs w:val="24"/>
        </w:rPr>
        <w:t>Tipos de Gamificación</w:t>
      </w:r>
    </w:p>
    <w:p w:rsidR="003E3425" w:rsidRDefault="003E3425"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3E3425" w:rsidRPr="003E3425" w:rsidRDefault="003E3425" w:rsidP="003E3425">
      <w:pPr>
        <w:pStyle w:val="Prrafodelista"/>
        <w:autoSpaceDE w:val="0"/>
        <w:autoSpaceDN w:val="0"/>
        <w:adjustRightInd w:val="0"/>
        <w:spacing w:after="0" w:line="240" w:lineRule="auto"/>
        <w:jc w:val="both"/>
        <w:rPr>
          <w:rFonts w:ascii="Times New Roman" w:hAnsi="Times New Roman"/>
          <w:bCs/>
          <w:color w:val="000000"/>
          <w:sz w:val="24"/>
          <w:szCs w:val="24"/>
        </w:rPr>
      </w:pPr>
      <w:r w:rsidRPr="003E3425">
        <w:rPr>
          <w:rFonts w:ascii="Times New Roman" w:hAnsi="Times New Roman"/>
          <w:bCs/>
          <w:color w:val="000000"/>
          <w:sz w:val="24"/>
          <w:szCs w:val="24"/>
        </w:rPr>
        <w:t>En cuanto a lo que se refiere a la inclusión de las estrategias de gamificación en el</w:t>
      </w:r>
      <w:r>
        <w:rPr>
          <w:rFonts w:ascii="Times New Roman" w:hAnsi="Times New Roman"/>
          <w:bCs/>
          <w:color w:val="000000"/>
          <w:sz w:val="24"/>
          <w:szCs w:val="24"/>
        </w:rPr>
        <w:t xml:space="preserve"> </w:t>
      </w:r>
      <w:r w:rsidRPr="003E3425">
        <w:rPr>
          <w:rFonts w:ascii="Times New Roman" w:hAnsi="Times New Roman"/>
          <w:bCs/>
          <w:color w:val="000000"/>
          <w:sz w:val="24"/>
          <w:szCs w:val="24"/>
        </w:rPr>
        <w:t>currículo de un curso de lengua extranjera, existen do</w:t>
      </w:r>
      <w:r>
        <w:rPr>
          <w:rFonts w:ascii="Times New Roman" w:hAnsi="Times New Roman"/>
          <w:bCs/>
          <w:color w:val="000000"/>
          <w:sz w:val="24"/>
          <w:szCs w:val="24"/>
        </w:rPr>
        <w:t xml:space="preserve">s tipos de gamificación. Por un </w:t>
      </w:r>
      <w:r w:rsidRPr="003E3425">
        <w:rPr>
          <w:rFonts w:ascii="Times New Roman" w:hAnsi="Times New Roman"/>
          <w:bCs/>
          <w:color w:val="000000"/>
          <w:sz w:val="24"/>
          <w:szCs w:val="24"/>
        </w:rPr>
        <w:t>lado, entendemos como gamificación superficial o de contenido la que se utiliza en periodos</w:t>
      </w:r>
      <w:r w:rsidRPr="003E3425">
        <w:rPr>
          <w:rFonts w:ascii="Times New Roman" w:hAnsi="Times New Roman"/>
          <w:bCs/>
          <w:color w:val="000000"/>
          <w:sz w:val="24"/>
          <w:szCs w:val="24"/>
        </w:rPr>
        <w:t xml:space="preserve"> </w:t>
      </w:r>
      <w:r w:rsidRPr="003E3425">
        <w:rPr>
          <w:rFonts w:ascii="Times New Roman" w:hAnsi="Times New Roman"/>
          <w:bCs/>
          <w:color w:val="000000"/>
          <w:sz w:val="24"/>
          <w:szCs w:val="24"/>
        </w:rPr>
        <w:t>cortos y de forma puntual en nuestra actividad docente; por ejemplo, en una clase o en</w:t>
      </w:r>
      <w:r w:rsidRPr="003E3425">
        <w:rPr>
          <w:rFonts w:ascii="Times New Roman" w:hAnsi="Times New Roman"/>
          <w:bCs/>
          <w:color w:val="000000"/>
          <w:sz w:val="24"/>
          <w:szCs w:val="24"/>
        </w:rPr>
        <w:t xml:space="preserve"> </w:t>
      </w:r>
      <w:r w:rsidRPr="003E3425">
        <w:rPr>
          <w:rFonts w:ascii="Times New Roman" w:hAnsi="Times New Roman"/>
          <w:bCs/>
          <w:color w:val="000000"/>
          <w:sz w:val="24"/>
          <w:szCs w:val="24"/>
        </w:rPr>
        <w:t>una actividad concreta. Por otro lado, nos referimos a gamificación estructural o profunda</w:t>
      </w:r>
      <w:r w:rsidRPr="003E3425">
        <w:rPr>
          <w:rFonts w:ascii="Times New Roman" w:hAnsi="Times New Roman"/>
          <w:bCs/>
          <w:color w:val="000000"/>
          <w:sz w:val="24"/>
          <w:szCs w:val="24"/>
        </w:rPr>
        <w:t xml:space="preserve"> </w:t>
      </w:r>
      <w:r w:rsidRPr="003E3425">
        <w:rPr>
          <w:rFonts w:ascii="Times New Roman" w:hAnsi="Times New Roman"/>
          <w:bCs/>
          <w:color w:val="000000"/>
          <w:sz w:val="24"/>
          <w:szCs w:val="24"/>
        </w:rPr>
        <w:t>a la implementada en una programación completa, es decir, está presente en toda la</w:t>
      </w:r>
      <w:r w:rsidRPr="003E3425">
        <w:rPr>
          <w:rFonts w:ascii="Times New Roman" w:hAnsi="Times New Roman"/>
          <w:bCs/>
          <w:color w:val="000000"/>
          <w:sz w:val="24"/>
          <w:szCs w:val="24"/>
        </w:rPr>
        <w:t xml:space="preserve"> </w:t>
      </w:r>
      <w:r w:rsidRPr="003E3425">
        <w:rPr>
          <w:rFonts w:ascii="Times New Roman" w:hAnsi="Times New Roman"/>
          <w:bCs/>
          <w:color w:val="000000"/>
          <w:sz w:val="24"/>
          <w:szCs w:val="24"/>
        </w:rPr>
        <w:t>estructura de un curso.</w:t>
      </w:r>
    </w:p>
    <w:p w:rsidR="003E3425" w:rsidRDefault="003E3425"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3E3425" w:rsidRDefault="003E3425"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bookmarkStart w:id="0" w:name="_GoBack"/>
      <w:bookmarkEnd w:id="0"/>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65596F"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En este capítulo se pretende </w:t>
      </w:r>
      <w:r w:rsidR="00C26B66">
        <w:rPr>
          <w:rFonts w:ascii="Times New Roman" w:eastAsia="Times New Roman" w:hAnsi="Times New Roman"/>
          <w:sz w:val="24"/>
          <w:szCs w:val="20"/>
          <w:lang w:val="es-ES" w:eastAsia="es-ES"/>
        </w:rPr>
        <w:t>mostrar los aportes hechos por otros autores sobre el tema de trastornos alimenticios, y la solución que han brindado sobre este problema.</w:t>
      </w:r>
    </w:p>
    <w:p w:rsidR="00C26B66" w:rsidRDefault="00C26B66"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8C7E2F" w:rsidRDefault="008C7E2F"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8C7E2F">
        <w:rPr>
          <w:rFonts w:ascii="Times New Roman" w:eastAsia="Times New Roman" w:hAnsi="Times New Roman"/>
          <w:b/>
          <w:sz w:val="24"/>
          <w:szCs w:val="20"/>
          <w:lang w:val="es-ES" w:eastAsia="es-ES"/>
        </w:rPr>
        <w:t>Validez y utilidad diagnóstica de la escala Eating Attitudes Test-26 para la evaluación del riesgo de trastornos de la conducta alimentaria en población masculina de Medellín, Colombia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262715" w:rsidRPr="006811BD" w:rsidRDefault="00512B4B" w:rsidP="00512B4B">
      <w:pPr>
        <w:pStyle w:val="Prrafodelista"/>
        <w:autoSpaceDE w:val="0"/>
        <w:autoSpaceDN w:val="0"/>
        <w:adjustRightInd w:val="0"/>
        <w:spacing w:after="0" w:line="240" w:lineRule="auto"/>
        <w:jc w:val="both"/>
        <w:rPr>
          <w:rFonts w:ascii="Times New Roman" w:eastAsia="Times New Roman" w:hAnsi="Times New Roman"/>
          <w:i/>
          <w:sz w:val="24"/>
          <w:szCs w:val="20"/>
          <w:lang w:val="es-ES" w:eastAsia="es-ES"/>
        </w:rPr>
      </w:pPr>
      <w:r w:rsidRPr="006811BD">
        <w:rPr>
          <w:rFonts w:ascii="Times New Roman" w:eastAsia="Times New Roman" w:hAnsi="Times New Roman"/>
          <w:i/>
          <w:sz w:val="24"/>
          <w:szCs w:val="20"/>
          <w:lang w:val="es-ES" w:eastAsia="es-ES"/>
        </w:rPr>
        <w:t>Gustavo A. Constain, María de los Ángeles Rodríguez-Gázquez, Guillermo Andrés Ramírez Jiménez, Gloria María Gómez Vásquez, Laura Mejía Cardona y Jonathan Cardona Vélez (2016). Atención Primaria, 206-213. Colombia.</w:t>
      </w:r>
    </w:p>
    <w:p w:rsidR="00512B4B" w:rsidRPr="006811BD" w:rsidRDefault="00512B4B" w:rsidP="006811BD">
      <w:pPr>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Pr="00D6796C" w:rsidRDefault="00D6796C" w:rsidP="00D6796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trastornos de conducta alimentaria son condiciones crónicas severas asociadas a una alta comorbilidad psiquiátrica y con complicaciones médicas. Siendo la prevalencia para la aparición de TCA mayor en mujeres, pero se observa un incremento en adolescentes varones. </w:t>
      </w:r>
      <w:r w:rsidRPr="00D6796C">
        <w:rPr>
          <w:rFonts w:ascii="Times New Roman" w:eastAsia="Times New Roman" w:hAnsi="Times New Roman"/>
          <w:sz w:val="24"/>
          <w:szCs w:val="20"/>
          <w:lang w:val="es-ES" w:eastAsia="es-ES"/>
        </w:rPr>
        <w:t>Se considera que entre el 5 y el 15% de AN y BN, y el 40% de trastorno por atracón (TA) ocurre en niños y adultos varones.</w:t>
      </w:r>
    </w:p>
    <w:p w:rsidR="00D6796C" w:rsidRDefault="00D6796C"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TCA en varones tienen diagnósticos y tratamientos igual que en mujeres, pero muchas veces estos pasan desapercibidos y sin tratamiento, afectando la calidad de vida de la persona. </w:t>
      </w:r>
    </w:p>
    <w:p w:rsidR="0049284E"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AE7106" w:rsidRPr="0085522F" w:rsidRDefault="0049284E" w:rsidP="008552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La mayoría de instrumentos para evaluar la presencia de TCA han sido diseñado para mujeres. El uso de escalas para identificar a las personas con riesgo contribuye al diagnóstico temprano y a desarrollar programas de prevención. Y precisamente, una de las escalas más utilizadas es el Eatin Attitudes Test, cuya versión reducida (ETA-26) tiene propiedades de confiabilidad y </w:t>
      </w:r>
      <w:r w:rsidR="0085522F">
        <w:rPr>
          <w:rFonts w:ascii="Times New Roman" w:eastAsia="Times New Roman" w:hAnsi="Times New Roman"/>
          <w:sz w:val="24"/>
          <w:szCs w:val="20"/>
          <w:lang w:val="es-ES" w:eastAsia="es-ES"/>
        </w:rPr>
        <w:t>validez para el cribado de TCA.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Aporte:</w:t>
      </w:r>
    </w:p>
    <w:p w:rsidR="008C7E2F" w:rsidRDefault="008C7E2F"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522F" w:rsidRDefault="00AE7106"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La validación</w:t>
      </w:r>
      <w:r w:rsidR="0085522F">
        <w:rPr>
          <w:rFonts w:ascii="Times New Roman" w:eastAsia="Times New Roman" w:hAnsi="Times New Roman"/>
          <w:sz w:val="24"/>
          <w:szCs w:val="20"/>
          <w:lang w:val="es-ES" w:eastAsia="es-ES"/>
        </w:rPr>
        <w:t xml:space="preserve"> y utilidad diagnóstica</w:t>
      </w:r>
      <w:r>
        <w:rPr>
          <w:rFonts w:ascii="Times New Roman" w:eastAsia="Times New Roman" w:hAnsi="Times New Roman"/>
          <w:sz w:val="24"/>
          <w:szCs w:val="20"/>
          <w:lang w:val="es-ES" w:eastAsia="es-ES"/>
        </w:rPr>
        <w:t xml:space="preserve"> del EAT-26 para </w:t>
      </w:r>
      <w:r w:rsidR="0085522F">
        <w:rPr>
          <w:rFonts w:ascii="Times New Roman" w:eastAsia="Times New Roman" w:hAnsi="Times New Roman"/>
          <w:sz w:val="24"/>
          <w:szCs w:val="20"/>
          <w:lang w:val="es-ES" w:eastAsia="es-ES"/>
        </w:rPr>
        <w:t>la evaluación del riesgo de TCA</w:t>
      </w:r>
      <w:r>
        <w:rPr>
          <w:rFonts w:ascii="Times New Roman" w:eastAsia="Times New Roman" w:hAnsi="Times New Roman"/>
          <w:sz w:val="24"/>
          <w:szCs w:val="20"/>
          <w:lang w:val="es-ES" w:eastAsia="es-ES"/>
        </w:rPr>
        <w:t xml:space="preserve"> en</w:t>
      </w:r>
      <w:r w:rsidR="0085522F">
        <w:rPr>
          <w:rFonts w:ascii="Times New Roman" w:eastAsia="Times New Roman" w:hAnsi="Times New Roman"/>
          <w:sz w:val="24"/>
          <w:szCs w:val="20"/>
          <w:lang w:val="es-ES" w:eastAsia="es-ES"/>
        </w:rPr>
        <w:t xml:space="preserve"> la población masculina</w:t>
      </w:r>
      <w:r>
        <w:rPr>
          <w:rFonts w:ascii="Times New Roman" w:eastAsia="Times New Roman" w:hAnsi="Times New Roman"/>
          <w:sz w:val="24"/>
          <w:szCs w:val="20"/>
          <w:lang w:val="es-ES" w:eastAsia="es-ES"/>
        </w:rPr>
        <w:t xml:space="preserve">, </w:t>
      </w:r>
      <w:r w:rsidR="0085522F">
        <w:rPr>
          <w:rFonts w:ascii="Times New Roman" w:eastAsia="Times New Roman" w:hAnsi="Times New Roman"/>
          <w:sz w:val="24"/>
          <w:szCs w:val="20"/>
          <w:lang w:val="es-ES" w:eastAsia="es-ES"/>
        </w:rPr>
        <w:t>debido a que no se han encontrado publicaciones</w:t>
      </w:r>
      <w:r w:rsidR="00AA685A">
        <w:rPr>
          <w:rFonts w:ascii="Times New Roman" w:eastAsia="Times New Roman" w:hAnsi="Times New Roman"/>
          <w:sz w:val="24"/>
          <w:szCs w:val="20"/>
          <w:lang w:val="es-ES" w:eastAsia="es-ES"/>
        </w:rPr>
        <w:t xml:space="preserve"> similares</w:t>
      </w:r>
      <w:r w:rsidR="0085522F">
        <w:rPr>
          <w:rFonts w:ascii="Times New Roman" w:eastAsia="Times New Roman" w:hAnsi="Times New Roman"/>
          <w:sz w:val="24"/>
          <w:szCs w:val="20"/>
          <w:lang w:val="es-ES" w:eastAsia="es-ES"/>
        </w:rPr>
        <w:t>. Esta validación se justifica para conocer las diferencias de género y poder desarrollar constructos y modelos de riesgo específicos.</w:t>
      </w:r>
      <w:r w:rsidR="00AA685A">
        <w:rPr>
          <w:rFonts w:ascii="Times New Roman" w:eastAsia="Times New Roman" w:hAnsi="Times New Roman"/>
          <w:sz w:val="24"/>
          <w:szCs w:val="20"/>
          <w:lang w:val="es-ES" w:eastAsia="es-ES"/>
        </w:rPr>
        <w:t xml:space="preserve"> Además de un instrumento con excelentes valores de confiabilidad, sensibilidad y especificidad, que permite el cribado de hombres con edad igual o mayor a 14 años.  </w:t>
      </w:r>
    </w:p>
    <w:p w:rsidR="0085522F" w:rsidRDefault="0085522F"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C7E2F" w:rsidP="008552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Metodología:</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B23FB9" w:rsidRPr="00B23FB9" w:rsidRDefault="00B23FB9" w:rsidP="00B23FB9">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val="es-ES" w:eastAsia="es-ES"/>
        </w:rPr>
        <w:t>El estudio observacional de validación de pruebas diagnósticas se realizó en v</w:t>
      </w:r>
      <w:r w:rsidRPr="00B23FB9">
        <w:rPr>
          <w:rFonts w:ascii="Times New Roman" w:eastAsia="Times New Roman" w:hAnsi="Times New Roman"/>
          <w:sz w:val="24"/>
          <w:szCs w:val="20"/>
          <w:lang w:val="es-ES" w:eastAsia="es-ES"/>
        </w:rPr>
        <w:t>eintiún hombres con edad</w:t>
      </w:r>
      <w:r>
        <w:rPr>
          <w:rFonts w:ascii="Times New Roman" w:eastAsia="Times New Roman" w:hAnsi="Times New Roman"/>
          <w:sz w:val="24"/>
          <w:szCs w:val="20"/>
          <w:lang w:val="es-ES" w:eastAsia="es-ES"/>
        </w:rPr>
        <w:t xml:space="preserve"> mayor o igual a 14 añ</w:t>
      </w:r>
      <w:r w:rsidRPr="00B23FB9">
        <w:rPr>
          <w:rFonts w:ascii="Times New Roman" w:eastAsia="Times New Roman" w:hAnsi="Times New Roman"/>
          <w:sz w:val="24"/>
          <w:szCs w:val="20"/>
          <w:lang w:val="es-ES" w:eastAsia="es-ES"/>
        </w:rPr>
        <w:t xml:space="preserve">os que cumplieran criterios DSM-IV-TR </w:t>
      </w:r>
      <w:r>
        <w:rPr>
          <w:rFonts w:ascii="Times New Roman" w:eastAsia="Times New Roman" w:hAnsi="Times New Roman"/>
          <w:sz w:val="24"/>
          <w:szCs w:val="20"/>
          <w:lang w:val="es-ES" w:eastAsia="es-ES"/>
        </w:rPr>
        <w:t xml:space="preserve">(American Psychiatric Association. </w:t>
      </w:r>
      <w:r w:rsidRPr="00B9466D">
        <w:rPr>
          <w:rFonts w:ascii="Times New Roman" w:eastAsia="Times New Roman" w:hAnsi="Times New Roman"/>
          <w:sz w:val="24"/>
          <w:szCs w:val="20"/>
          <w:lang w:eastAsia="es-ES"/>
        </w:rPr>
        <w:t xml:space="preserve">Diagnostic and Statistical Manual of Mental Disorders. </w:t>
      </w:r>
      <w:r w:rsidRPr="00B23FB9">
        <w:rPr>
          <w:rFonts w:ascii="Times New Roman" w:eastAsia="Times New Roman" w:hAnsi="Times New Roman"/>
          <w:sz w:val="24"/>
          <w:szCs w:val="20"/>
          <w:lang w:eastAsia="es-ES"/>
        </w:rPr>
        <w:t>Text Revision) para anorexia nerviosa, bulimia nerviosa y trastorno de alimentaci</w:t>
      </w:r>
      <w:r>
        <w:rPr>
          <w:rFonts w:ascii="Times New Roman" w:eastAsia="Times New Roman" w:hAnsi="Times New Roman"/>
          <w:sz w:val="24"/>
          <w:szCs w:val="20"/>
          <w:lang w:eastAsia="es-ES"/>
        </w:rPr>
        <w:t>ón no especificado</w:t>
      </w:r>
      <w:r w:rsidRPr="00B23FB9">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TANE</w:t>
      </w:r>
      <w:r w:rsidRPr="00B23FB9">
        <w:rPr>
          <w:rFonts w:ascii="Times New Roman" w:eastAsia="Times New Roman" w:hAnsi="Times New Roman"/>
          <w:sz w:val="24"/>
          <w:szCs w:val="20"/>
          <w:lang w:eastAsia="es-ES"/>
        </w:rPr>
        <w:t>), y 93 controles sin TCA.</w:t>
      </w:r>
    </w:p>
    <w:p w:rsidR="00B23FB9" w:rsidRPr="00B23FB9" w:rsidRDefault="00B23FB9"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254FC"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La muestra de casos fue por conveniencia y en controles, aleatoria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simple.</w:t>
      </w:r>
      <w:r w:rsidR="009254FC">
        <w:rPr>
          <w:rFonts w:ascii="Times New Roman" w:eastAsia="Times New Roman" w:hAnsi="Times New Roman"/>
          <w:sz w:val="24"/>
          <w:szCs w:val="20"/>
          <w:lang w:val="es-ES" w:eastAsia="es-ES"/>
        </w:rPr>
        <w:t xml:space="preserve"> Se comparó el “criterio de oro”</w:t>
      </w:r>
      <w:r w:rsidRPr="00F7430B">
        <w:rPr>
          <w:rFonts w:ascii="Times New Roman" w:eastAsia="Times New Roman" w:hAnsi="Times New Roman"/>
          <w:sz w:val="24"/>
          <w:szCs w:val="20"/>
          <w:lang w:val="es-ES" w:eastAsia="es-ES"/>
        </w:rPr>
        <w:t xml:space="preserve"> (entrevista estructurada por psiquiatra para determinar</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el cumplimiento o no de criterios de inclusión de caso de TCA) con el EAT-26, y al instrumento</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se le hizo validación cultural y semántica, validación factorial, evaluación de confiabilidad, así</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como determinación del mejor punto de corte</w:t>
      </w:r>
      <w:r w:rsidR="009254FC">
        <w:rPr>
          <w:rFonts w:ascii="Times New Roman" w:eastAsia="Times New Roman" w:hAnsi="Times New Roman"/>
          <w:sz w:val="24"/>
          <w:szCs w:val="20"/>
          <w:lang w:val="es-ES" w:eastAsia="es-ES"/>
        </w:rPr>
        <w:t xml:space="preserve"> (20 puntos)</w:t>
      </w:r>
      <w:r w:rsidRPr="00F7430B">
        <w:rPr>
          <w:rFonts w:ascii="Times New Roman" w:eastAsia="Times New Roman" w:hAnsi="Times New Roman"/>
          <w:sz w:val="24"/>
          <w:szCs w:val="20"/>
          <w:lang w:val="es-ES" w:eastAsia="es-ES"/>
        </w:rPr>
        <w:t xml:space="preserve"> por medio de la curva ROC.</w:t>
      </w:r>
      <w:r w:rsidR="009254FC">
        <w:rPr>
          <w:rFonts w:ascii="Times New Roman" w:eastAsia="Times New Roman" w:hAnsi="Times New Roman"/>
          <w:sz w:val="24"/>
          <w:szCs w:val="20"/>
          <w:lang w:val="es-ES" w:eastAsia="es-ES"/>
        </w:rPr>
        <w:t xml:space="preserve"> </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9254FC" w:rsidRDefault="009254FC" w:rsidP="009254FC">
      <w:pPr>
        <w:pStyle w:val="Prrafodelista"/>
        <w:autoSpaceDE w:val="0"/>
        <w:autoSpaceDN w:val="0"/>
        <w:adjustRightInd w:val="0"/>
        <w:spacing w:after="0" w:line="240" w:lineRule="auto"/>
        <w:ind w:left="1440"/>
        <w:rPr>
          <w:rFonts w:ascii="Times New Roman" w:eastAsia="Times New Roman" w:hAnsi="Times New Roman"/>
          <w:sz w:val="24"/>
          <w:szCs w:val="20"/>
          <w:lang w:val="es-ES" w:eastAsia="es-ES"/>
        </w:rPr>
      </w:pPr>
      <w:r>
        <w:rPr>
          <w:noProof/>
          <w:lang w:val="en-US"/>
        </w:rPr>
        <w:drawing>
          <wp:inline distT="0" distB="0" distL="0" distR="0" wp14:anchorId="0B882928" wp14:editId="019FABD7">
            <wp:extent cx="4276725" cy="3114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17" t="-2257" r="-2079" b="-3226"/>
                    <a:stretch/>
                  </pic:blipFill>
                  <pic:spPr bwMode="auto">
                    <a:xfrm>
                      <a:off x="0" y="0"/>
                      <a:ext cx="4276725" cy="3114675"/>
                    </a:xfrm>
                    <a:prstGeom prst="rect">
                      <a:avLst/>
                    </a:prstGeom>
                    <a:ln>
                      <a:noFill/>
                    </a:ln>
                    <a:extLst>
                      <a:ext uri="{53640926-AAD7-44D8-BBD7-CCE9431645EC}">
                        <a14:shadowObscured xmlns:a14="http://schemas.microsoft.com/office/drawing/2010/main"/>
                      </a:ext>
                    </a:extLst>
                  </pic:spPr>
                </pic:pic>
              </a:graphicData>
            </a:graphic>
          </wp:inline>
        </w:drawing>
      </w:r>
    </w:p>
    <w:p w:rsidR="009254FC" w:rsidRDefault="0053373E" w:rsidP="0053373E">
      <w:pPr>
        <w:pStyle w:val="Descripcin"/>
        <w:ind w:left="1156" w:firstLine="264"/>
        <w:rPr>
          <w:rFonts w:ascii="Times New Roman" w:eastAsia="Times New Roman" w:hAnsi="Times New Roman"/>
          <w:sz w:val="24"/>
          <w:szCs w:val="20"/>
          <w:lang w:val="es-ES" w:eastAsia="es-ES"/>
        </w:rPr>
      </w:pPr>
      <w:bookmarkStart w:id="1" w:name="_Toc517625889"/>
      <w:bookmarkStart w:id="2" w:name="_Toc517648303"/>
      <w:r>
        <w:t xml:space="preserve">Ilustración </w:t>
      </w:r>
      <w:r>
        <w:fldChar w:fldCharType="begin"/>
      </w:r>
      <w:r>
        <w:instrText xml:space="preserve"> SEQ Ilustración \* ARABIC </w:instrText>
      </w:r>
      <w:r>
        <w:fldChar w:fldCharType="separate"/>
      </w:r>
      <w:r w:rsidR="00B56345">
        <w:rPr>
          <w:noProof/>
        </w:rPr>
        <w:t>1</w:t>
      </w:r>
      <w:r>
        <w:fldChar w:fldCharType="end"/>
      </w:r>
      <w:r>
        <w:t xml:space="preserve">. </w:t>
      </w:r>
      <w:r w:rsidRPr="0053373E">
        <w:t>Esquema general del estudio. Diseño del estudio observacional de validación del EAT-26.</w:t>
      </w:r>
      <w:bookmarkEnd w:id="1"/>
      <w:bookmarkEnd w:id="2"/>
    </w:p>
    <w:p w:rsidR="009254FC" w:rsidRPr="009254FC" w:rsidRDefault="009254FC" w:rsidP="009254FC">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Además, el instrumento cuenta con 3 subescalas: a) la dieta: 13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evitativas de alimentos que engorden y preocupaciones por delgadez; b) bulimia y preocupación por comida: 6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bulímicas y pensamientos acerca de comida, y c) control oral: 7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autocontrol de ingesta y presión externa para ganar peso.</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Resultados: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F7430B"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En</w:t>
      </w:r>
      <w:r w:rsidR="008A2BD4">
        <w:rPr>
          <w:rFonts w:ascii="Times New Roman" w:eastAsia="Times New Roman" w:hAnsi="Times New Roman"/>
          <w:sz w:val="24"/>
          <w:szCs w:val="20"/>
          <w:lang w:val="es-ES" w:eastAsia="es-ES"/>
        </w:rPr>
        <w:t xml:space="preserve"> la validación factorial de la matriz de correlaciones entre los 26 ítems se mostró que los datos fueron los adecuados para el análisis, de donde se identificó 4 dominios:</w:t>
      </w:r>
      <w:r w:rsidRPr="00F7430B">
        <w:rPr>
          <w:rFonts w:ascii="Times New Roman" w:eastAsia="Times New Roman" w:hAnsi="Times New Roman"/>
          <w:sz w:val="24"/>
          <w:szCs w:val="20"/>
          <w:lang w:val="es-ES" w:eastAsia="es-ES"/>
        </w:rPr>
        <w:t xml:space="preserve"> dieta-bulimia y preocupación por comida, dieta,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 xml:space="preserve">control oral-dieta y control oral-bulimia. </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AA685A"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Para la validación cultural </w:t>
      </w:r>
      <w:r w:rsidR="00C23306">
        <w:rPr>
          <w:rFonts w:ascii="Times New Roman" w:eastAsia="Times New Roman" w:hAnsi="Times New Roman"/>
          <w:sz w:val="24"/>
          <w:szCs w:val="20"/>
          <w:lang w:val="es-ES" w:eastAsia="es-ES"/>
        </w:rPr>
        <w:t xml:space="preserve">se hizo una prueba piloto con 7 hombres mayores a 14 años, </w:t>
      </w:r>
      <w:r w:rsidR="008A2BD4">
        <w:rPr>
          <w:rFonts w:ascii="Times New Roman" w:eastAsia="Times New Roman" w:hAnsi="Times New Roman"/>
          <w:sz w:val="24"/>
          <w:szCs w:val="20"/>
          <w:lang w:val="es-ES" w:eastAsia="es-ES"/>
        </w:rPr>
        <w:t xml:space="preserve">y </w:t>
      </w:r>
      <w:r w:rsidR="00C23306">
        <w:rPr>
          <w:rFonts w:ascii="Times New Roman" w:eastAsia="Times New Roman" w:hAnsi="Times New Roman"/>
          <w:sz w:val="24"/>
          <w:szCs w:val="20"/>
          <w:lang w:val="es-ES" w:eastAsia="es-ES"/>
        </w:rPr>
        <w:t xml:space="preserve">para mejorar la compresión </w:t>
      </w:r>
      <w:r w:rsidR="008A2BD4">
        <w:rPr>
          <w:rFonts w:ascii="Times New Roman" w:eastAsia="Times New Roman" w:hAnsi="Times New Roman"/>
          <w:sz w:val="24"/>
          <w:szCs w:val="20"/>
          <w:lang w:val="es-ES" w:eastAsia="es-ES"/>
        </w:rPr>
        <w:t>de las preguntas se cambió el número de opciones de respuesta a 5, combinando las opciones raramente y a veces en una única (casi nunca).</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lastRenderedPageBreak/>
        <w:t>Para la evaluación de confiabilidad de utilizó el valor alfa de Cronbach del EAT-26 donde el resultado</w:t>
      </w:r>
      <w:r w:rsidR="00F7430B" w:rsidRPr="00F7430B">
        <w:rPr>
          <w:rFonts w:ascii="Times New Roman" w:eastAsia="Times New Roman" w:hAnsi="Times New Roman"/>
          <w:sz w:val="24"/>
          <w:szCs w:val="20"/>
          <w:lang w:val="es-ES" w:eastAsia="es-ES"/>
        </w:rPr>
        <w:t xml:space="preserve"> fue de 0,89 y </w:t>
      </w:r>
      <w:r>
        <w:rPr>
          <w:rFonts w:ascii="Times New Roman" w:eastAsia="Times New Roman" w:hAnsi="Times New Roman"/>
          <w:sz w:val="24"/>
          <w:szCs w:val="20"/>
          <w:lang w:val="es-ES" w:eastAsia="es-ES"/>
        </w:rPr>
        <w:t>en el análisis de ROC el</w:t>
      </w:r>
      <w:r w:rsidR="00F7430B" w:rsidRPr="00F7430B">
        <w:rPr>
          <w:rFonts w:ascii="Times New Roman" w:eastAsia="Times New Roman" w:hAnsi="Times New Roman"/>
          <w:sz w:val="24"/>
          <w:szCs w:val="20"/>
          <w:lang w:val="es-ES" w:eastAsia="es-ES"/>
        </w:rPr>
        <w:t xml:space="preserve"> mejor valor de</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corte </w:t>
      </w:r>
      <w:r>
        <w:rPr>
          <w:rFonts w:ascii="Times New Roman" w:eastAsia="Times New Roman" w:hAnsi="Times New Roman"/>
          <w:sz w:val="24"/>
          <w:szCs w:val="20"/>
          <w:lang w:val="es-ES" w:eastAsia="es-ES"/>
        </w:rPr>
        <w:t xml:space="preserve">fue </w:t>
      </w:r>
      <w:r w:rsidR="00F7430B" w:rsidRPr="00F7430B">
        <w:rPr>
          <w:rFonts w:ascii="Times New Roman" w:eastAsia="Times New Roman" w:hAnsi="Times New Roman"/>
          <w:sz w:val="24"/>
          <w:szCs w:val="20"/>
          <w:lang w:val="es-ES" w:eastAsia="es-ES"/>
        </w:rPr>
        <w:t>el de</w:t>
      </w:r>
      <w:r w:rsidR="00F7430B">
        <w:rPr>
          <w:rFonts w:ascii="Times New Roman" w:eastAsia="Times New Roman" w:hAnsi="Times New Roman"/>
          <w:sz w:val="24"/>
          <w:szCs w:val="20"/>
          <w:lang w:val="es-ES" w:eastAsia="es-ES"/>
        </w:rPr>
        <w:t xml:space="preserve"> </w:t>
      </w:r>
      <w:r>
        <w:rPr>
          <w:rFonts w:ascii="Times New Roman" w:eastAsia="Times New Roman" w:hAnsi="Times New Roman"/>
          <w:sz w:val="24"/>
          <w:szCs w:val="20"/>
          <w:lang w:val="es-ES" w:eastAsia="es-ES"/>
        </w:rPr>
        <w:t>mayor a</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20 puntos (sensibilidad </w:t>
      </w:r>
      <w:r w:rsidR="00C167B9">
        <w:rPr>
          <w:rFonts w:ascii="Times New Roman" w:eastAsia="Times New Roman" w:hAnsi="Times New Roman"/>
          <w:sz w:val="24"/>
          <w:szCs w:val="20"/>
          <w:lang w:val="es-ES" w:eastAsia="es-ES"/>
        </w:rPr>
        <w:t>= 100%; especificidad = 97,8%), siendo e</w:t>
      </w:r>
      <w:r w:rsidR="00F7430B" w:rsidRPr="00F7430B">
        <w:rPr>
          <w:rFonts w:ascii="Times New Roman" w:eastAsia="Times New Roman" w:hAnsi="Times New Roman"/>
          <w:sz w:val="24"/>
          <w:szCs w:val="20"/>
          <w:lang w:val="es-ES" w:eastAsia="es-ES"/>
        </w:rPr>
        <w:t>l valor predictivo positivo</w:t>
      </w:r>
      <w:r w:rsidR="00F7430B">
        <w:rPr>
          <w:rFonts w:ascii="Times New Roman" w:eastAsia="Times New Roman" w:hAnsi="Times New Roman"/>
          <w:sz w:val="24"/>
          <w:szCs w:val="20"/>
          <w:lang w:val="es-ES" w:eastAsia="es-ES"/>
        </w:rPr>
        <w:t xml:space="preserve"> </w:t>
      </w:r>
      <w:r w:rsidR="00C167B9">
        <w:rPr>
          <w:rFonts w:ascii="Times New Roman" w:eastAsia="Times New Roman" w:hAnsi="Times New Roman"/>
          <w:sz w:val="24"/>
          <w:szCs w:val="20"/>
          <w:lang w:val="es-ES" w:eastAsia="es-ES"/>
        </w:rPr>
        <w:t>de 91,3% y el negativo, de</w:t>
      </w:r>
      <w:r w:rsidR="00F7430B" w:rsidRPr="00F7430B">
        <w:rPr>
          <w:rFonts w:ascii="Times New Roman" w:eastAsia="Times New Roman" w:hAnsi="Times New Roman"/>
          <w:sz w:val="24"/>
          <w:szCs w:val="20"/>
          <w:lang w:val="es-ES" w:eastAsia="es-ES"/>
        </w:rPr>
        <w:t xml:space="preserve"> 100,0%.</w:t>
      </w:r>
    </w:p>
    <w:p w:rsidR="00F7430B" w:rsidRP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C7E2F" w:rsidRDefault="008C7E2F"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sidRPr="00AE7106">
        <w:rPr>
          <w:rFonts w:ascii="Times New Roman" w:eastAsia="Times New Roman" w:hAnsi="Times New Roman"/>
          <w:sz w:val="24"/>
          <w:szCs w:val="20"/>
          <w:lang w:val="es-ES" w:eastAsia="es-ES"/>
        </w:rPr>
        <w:t>Conclusiones: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Se encuentra que la aparición tardía del inicio de síntomas en hombres se atribuye a que la pubertad comienza y termina 2 años más tarde que en las mujeres. </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De igual manera</w:t>
      </w:r>
      <w:r w:rsidR="00591068">
        <w:rPr>
          <w:rFonts w:ascii="Times New Roman" w:eastAsia="Times New Roman" w:hAnsi="Times New Roman"/>
          <w:sz w:val="24"/>
          <w:szCs w:val="20"/>
          <w:lang w:val="es-ES" w:eastAsia="es-ES"/>
        </w:rPr>
        <w:t>,</w:t>
      </w:r>
      <w:r>
        <w:rPr>
          <w:rFonts w:ascii="Times New Roman" w:eastAsia="Times New Roman" w:hAnsi="Times New Roman"/>
          <w:sz w:val="24"/>
          <w:szCs w:val="20"/>
          <w:lang w:val="es-ES" w:eastAsia="es-ES"/>
        </w:rPr>
        <w:t xml:space="preserve"> se debe tener en cuenta los antecedentes en la población masculina, muchos de estos son por problemas sobrepeso u obesidad, preocupación por la figura corporal, la cual es relacionada con la masculinidad, la disminución del deseo sexual y las prácticas de gimnasio regulares son aspectos de riesgo que deben tenerse en cuenta.</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Pr="00F7430B" w:rsidRDefault="00591068"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Finalmente, e</w:t>
      </w:r>
      <w:r w:rsidR="00F7430B" w:rsidRPr="00F7430B">
        <w:rPr>
          <w:rFonts w:ascii="Times New Roman" w:eastAsia="Times New Roman" w:hAnsi="Times New Roman"/>
          <w:sz w:val="24"/>
          <w:szCs w:val="20"/>
          <w:lang w:val="es-ES" w:eastAsia="es-ES"/>
        </w:rPr>
        <w:t>l EAT-26 es un instrumento multidimensional con excelentes valores de confiabilidad, sensibilidad y especificidad, ideal para cribado de posibles TCA en población de riesgo, y</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podría ser de utilidad en atención primaria para la detección temprana en población masculina.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367CF2" w:rsidRPr="00367CF2" w:rsidRDefault="00367CF2"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367CF2">
        <w:rPr>
          <w:rFonts w:ascii="Times New Roman" w:eastAsia="Times New Roman" w:hAnsi="Times New Roman"/>
          <w:b/>
          <w:sz w:val="24"/>
          <w:szCs w:val="20"/>
          <w:lang w:val="es-ES" w:eastAsia="es-ES"/>
        </w:rPr>
        <w:t>Perfeccionismo y baja autoestima a través del continuo de los trastornos alimentarios en adolescentes mujeres de Buenos Aires</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6335C9" w:rsidRDefault="00A5690D"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sidRPr="0033151F">
        <w:rPr>
          <w:rFonts w:ascii="Times New Roman" w:eastAsia="Times New Roman" w:hAnsi="Times New Roman"/>
          <w:i/>
          <w:sz w:val="24"/>
          <w:szCs w:val="20"/>
          <w:lang w:eastAsia="es-ES"/>
        </w:rPr>
        <w:t>Guillermina Rutsztein, M. Luz Scappatura, Brenda Murawski</w:t>
      </w:r>
      <w:r w:rsidR="00FF4688" w:rsidRPr="0033151F">
        <w:rPr>
          <w:rFonts w:ascii="Times New Roman" w:eastAsia="Times New Roman" w:hAnsi="Times New Roman"/>
          <w:i/>
          <w:sz w:val="24"/>
          <w:szCs w:val="20"/>
          <w:lang w:eastAsia="es-ES"/>
        </w:rPr>
        <w:t xml:space="preserve"> (2014). Revista Mexicana de Trastornos Alimentarios, 39-49. </w:t>
      </w:r>
      <w:r w:rsidR="00E6315C">
        <w:rPr>
          <w:rFonts w:ascii="Times New Roman" w:eastAsia="Times New Roman" w:hAnsi="Times New Roman"/>
          <w:i/>
          <w:sz w:val="24"/>
          <w:szCs w:val="20"/>
          <w:lang w:eastAsia="es-ES"/>
        </w:rPr>
        <w:t>México</w:t>
      </w:r>
      <w:r w:rsidR="00FF4688" w:rsidRPr="0033151F">
        <w:rPr>
          <w:rFonts w:ascii="Times New Roman" w:eastAsia="Times New Roman" w:hAnsi="Times New Roman"/>
          <w:i/>
          <w:sz w:val="24"/>
          <w:szCs w:val="20"/>
          <w:lang w:eastAsia="es-ES"/>
        </w:rPr>
        <w:t>.</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9B7B1A" w:rsidRDefault="00E507B1"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El objetivo de este estudio fue analizar y comparar hábitos y actitudes hacia la alimentación, perfeccionismo y autoestima en mujeres adolescentes con cuadros completos de trastorno alimentario, adolescentes con riesgo de trastorno alimentario y adolescentes sin trastorno alimentario ni riesgo. Para este estudio participaron 200 mujeres entre 13 y 19 años</w:t>
      </w:r>
      <w:r w:rsidR="00BE6B9F">
        <w:rPr>
          <w:rFonts w:ascii="Times New Roman" w:eastAsia="Times New Roman" w:hAnsi="Times New Roman"/>
          <w:sz w:val="24"/>
          <w:szCs w:val="20"/>
          <w:lang w:eastAsia="es-ES"/>
        </w:rPr>
        <w:t>: 167 estudiantes de escuelas secundarias de la Ciudad de Buenos Aires y 33 pacientes con diagnóstico de TA según el DSM-IV-TR, que se encontraban en tratamiento en dos instituciones especializadas (una privada y otra pública).</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Actualmente, los síndromes incompletos o atípicos de TCA resultan ser cuadros sumamente frecuentes, llegando a afectar a las tres cuartas partes de los sujetos con diagnóstico de TA. </w:t>
      </w:r>
    </w:p>
    <w:p w:rsidR="00BE6B9F"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Algunos autores señalan la existencia de una continuidad entre los problemas alimentarios subclínicos y los TCA. Considerándose así a los TCA como un extremo de una continuidad que comienza con la presencia de preocupaciones por el peso y la figura, la insatisfacción corporal y la realización de dietas. </w:t>
      </w: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P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Se ha establecido la relevancia del perfeccionismo y de la baja autoestima para el desarrollo de los TCA</w:t>
      </w:r>
      <w:r w:rsidR="00A43923">
        <w:rPr>
          <w:rFonts w:ascii="Times New Roman" w:eastAsia="Times New Roman" w:hAnsi="Times New Roman"/>
          <w:sz w:val="24"/>
          <w:szCs w:val="20"/>
          <w:lang w:eastAsia="es-ES"/>
        </w:rPr>
        <w:t>, pero en la mayoría de estudios realizados se ha realizado sobre muestras de población general o muestras clínicas, siendo escasas las investigaciones que incluyen muestras de sujetos que no llegan a constituir cuadros completos de TCA.</w:t>
      </w:r>
    </w:p>
    <w:p w:rsidR="009B7B1A" w:rsidRP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Para el estudio se utilizó una muestra de tipo no aleatoria y por conveniencia, fue conformada por 242 mujeres que participaron de manera voluntaria, de las cuales se realizó un recorte de muestra por rango etario quedando 200 mujeres participantes de las cuales 167 estudiantes eran de escuelas secundarias y 33 pacientes tenías diagnóstico de TA según DSM-IV-TR.</w:t>
      </w:r>
    </w:p>
    <w:p w:rsidR="00CA7FA0"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CA7FA0" w:rsidRDefault="00FC3FD2" w:rsidP="00FC3FD2">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65901572" wp14:editId="6393950C">
            <wp:extent cx="3600450" cy="2775208"/>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261" cy="2782000"/>
                    </a:xfrm>
                    <a:prstGeom prst="rect">
                      <a:avLst/>
                    </a:prstGeom>
                  </pic:spPr>
                </pic:pic>
              </a:graphicData>
            </a:graphic>
          </wp:inline>
        </w:drawing>
      </w:r>
    </w:p>
    <w:p w:rsidR="00FC3FD2" w:rsidRPr="0053373E" w:rsidRDefault="0053373E" w:rsidP="0053373E">
      <w:pPr>
        <w:pStyle w:val="Descripcin"/>
        <w:ind w:left="1420" w:firstLine="284"/>
        <w:rPr>
          <w:rFonts w:ascii="Times New Roman" w:eastAsia="Times New Roman" w:hAnsi="Times New Roman"/>
          <w:sz w:val="24"/>
          <w:szCs w:val="20"/>
          <w:lang w:eastAsia="es-ES"/>
        </w:rPr>
      </w:pPr>
      <w:bookmarkStart w:id="3" w:name="_Toc517625890"/>
      <w:bookmarkStart w:id="4" w:name="_Toc517648304"/>
      <w:r>
        <w:t xml:space="preserve">Ilustración </w:t>
      </w:r>
      <w:r>
        <w:fldChar w:fldCharType="begin"/>
      </w:r>
      <w:r>
        <w:instrText xml:space="preserve"> SEQ Ilustración \* ARABIC </w:instrText>
      </w:r>
      <w:r>
        <w:fldChar w:fldCharType="separate"/>
      </w:r>
      <w:r w:rsidR="00B56345">
        <w:rPr>
          <w:noProof/>
        </w:rPr>
        <w:t>2</w:t>
      </w:r>
      <w:r>
        <w:fldChar w:fldCharType="end"/>
      </w:r>
      <w:r>
        <w:t>. Conformación de grupos en la muestra.</w:t>
      </w:r>
      <w:bookmarkEnd w:id="3"/>
      <w:bookmarkEnd w:id="4"/>
    </w:p>
    <w:p w:rsidR="00FC3FD2"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Son 4 los instrumentos utilizados, el primero fue el </w:t>
      </w:r>
      <w:r>
        <w:rPr>
          <w:rFonts w:ascii="Times New Roman" w:eastAsia="Times New Roman" w:hAnsi="Times New Roman"/>
          <w:i/>
          <w:sz w:val="24"/>
          <w:szCs w:val="20"/>
          <w:lang w:eastAsia="es-ES"/>
        </w:rPr>
        <w:t>Cuestionario sociodemográfico y de sintomatología específica de trastornos de la conducta alimentaria</w:t>
      </w:r>
      <w:r>
        <w:rPr>
          <w:rFonts w:ascii="Times New Roman" w:eastAsia="Times New Roman" w:hAnsi="Times New Roman"/>
          <w:sz w:val="24"/>
          <w:szCs w:val="20"/>
          <w:lang w:eastAsia="es-ES"/>
        </w:rPr>
        <w:t>, el cual ayud</w:t>
      </w:r>
      <w:r w:rsidR="008A58DD">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 recabar información sobre la edad, el nivel de escolaridad y la composición del núcleo familiar, además la presencia de obesidad en los padres y/o la presencia de conducta dietante en alguno de los miembros de la familia. </w:t>
      </w:r>
    </w:p>
    <w:p w:rsidR="00C20B5B"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 xml:space="preserve">entrevista diagnóstica semiestructurada basada en el </w:t>
      </w:r>
      <w:r w:rsidRPr="00E22C9A">
        <w:rPr>
          <w:rFonts w:ascii="Times New Roman" w:eastAsia="Times New Roman" w:hAnsi="Times New Roman"/>
          <w:i/>
          <w:sz w:val="24"/>
          <w:szCs w:val="20"/>
          <w:lang w:eastAsia="es-ES"/>
        </w:rPr>
        <w:t>Eating</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Disorder</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Examination</w:t>
      </w:r>
      <w:r>
        <w:rPr>
          <w:rFonts w:ascii="Times New Roman" w:eastAsia="Times New Roman" w:hAnsi="Times New Roman"/>
          <w:i/>
          <w:sz w:val="24"/>
          <w:szCs w:val="20"/>
          <w:lang w:eastAsia="es-ES"/>
        </w:rPr>
        <w:t xml:space="preserve"> (EDE)</w:t>
      </w:r>
      <w:r>
        <w:rPr>
          <w:rFonts w:ascii="Times New Roman" w:eastAsia="Times New Roman" w:hAnsi="Times New Roman"/>
          <w:sz w:val="24"/>
          <w:szCs w:val="20"/>
          <w:lang w:eastAsia="es-ES"/>
        </w:rPr>
        <w:t>, es una entrevista semiestructurada compuesta por preguntas abiertas y cerradas de la cual se obtiene datos sobre rasgos, actitudes y comportamientos correspondientes a criterios de diagnóstico de TCA.</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w:t>
      </w:r>
      <w:r>
        <w:rPr>
          <w:rFonts w:ascii="Times New Roman" w:eastAsia="Times New Roman" w:hAnsi="Times New Roman"/>
          <w:i/>
          <w:sz w:val="24"/>
          <w:szCs w:val="20"/>
          <w:lang w:eastAsia="es-ES"/>
        </w:rPr>
        <w:t>Inventario de Trastornos Alimentarios-3 (EDI-3)</w:t>
      </w:r>
      <w:r>
        <w:rPr>
          <w:rFonts w:ascii="Times New Roman" w:eastAsia="Times New Roman" w:hAnsi="Times New Roman"/>
          <w:sz w:val="24"/>
          <w:szCs w:val="20"/>
          <w:lang w:eastAsia="es-ES"/>
        </w:rPr>
        <w:t xml:space="preserve"> se utiliza como instrumento de cribado para detectar la población de riesgo, de donde se tiene </w:t>
      </w:r>
      <w:r>
        <w:rPr>
          <w:rFonts w:ascii="Times New Roman" w:eastAsia="Times New Roman" w:hAnsi="Times New Roman"/>
          <w:sz w:val="24"/>
          <w:szCs w:val="20"/>
          <w:lang w:eastAsia="es-ES"/>
        </w:rPr>
        <w:lastRenderedPageBreak/>
        <w:t xml:space="preserve">tres subescalas que evalúan las actitudes y comportamientos con respecto a la alimentación, el peso y la imagen corporal, y el resto evalúa rasgos psicológicos asociados a los TCA, que también son relevantes. </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Escala de Autoestima (AUTOE)</w:t>
      </w:r>
      <w:r>
        <w:rPr>
          <w:rFonts w:ascii="Times New Roman" w:eastAsia="Times New Roman" w:hAnsi="Times New Roman"/>
          <w:sz w:val="24"/>
          <w:szCs w:val="20"/>
          <w:lang w:eastAsia="es-ES"/>
        </w:rPr>
        <w:t xml:space="preserve"> permite evaluar la autoestima en forma global, viéndose como un</w:t>
      </w:r>
      <w:r w:rsidR="00496D64">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actitud </w:t>
      </w:r>
      <w:r w:rsidR="00496D64">
        <w:rPr>
          <w:rFonts w:ascii="Times New Roman" w:eastAsia="Times New Roman" w:hAnsi="Times New Roman"/>
          <w:sz w:val="24"/>
          <w:szCs w:val="20"/>
          <w:lang w:eastAsia="es-ES"/>
        </w:rPr>
        <w:t>positiva</w:t>
      </w:r>
      <w:r>
        <w:rPr>
          <w:rFonts w:ascii="Times New Roman" w:eastAsia="Times New Roman" w:hAnsi="Times New Roman"/>
          <w:sz w:val="24"/>
          <w:szCs w:val="20"/>
          <w:lang w:eastAsia="es-ES"/>
        </w:rPr>
        <w:t xml:space="preserve"> o negativa hacia uno mismo. </w:t>
      </w:r>
      <w:r w:rsidR="00496D64">
        <w:rPr>
          <w:rFonts w:ascii="Times New Roman" w:eastAsia="Times New Roman" w:hAnsi="Times New Roman"/>
          <w:sz w:val="24"/>
          <w:szCs w:val="20"/>
          <w:lang w:eastAsia="es-ES"/>
        </w:rPr>
        <w:t>Esta escala tiene propiedades psicométricas que puede ser utilizada en población adolescente.</w:t>
      </w:r>
    </w:p>
    <w:p w:rsidR="00496D64" w:rsidRDefault="00496D64"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D60AE" w:rsidRPr="009D60AE" w:rsidRDefault="00496D64" w:rsidP="009D60A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D60AE">
        <w:rPr>
          <w:rFonts w:ascii="Times New Roman" w:eastAsia="Times New Roman" w:hAnsi="Times New Roman"/>
          <w:sz w:val="24"/>
          <w:szCs w:val="20"/>
          <w:lang w:eastAsia="es-ES"/>
        </w:rPr>
        <w:t xml:space="preserve">Por último, </w:t>
      </w:r>
      <w:r w:rsidRPr="009D60AE">
        <w:rPr>
          <w:rFonts w:ascii="Times New Roman" w:eastAsia="Times New Roman" w:hAnsi="Times New Roman"/>
          <w:i/>
          <w:sz w:val="24"/>
          <w:szCs w:val="20"/>
          <w:lang w:eastAsia="es-ES"/>
        </w:rPr>
        <w:t>Almost Perfect Scale Revised (APS-R)</w:t>
      </w:r>
      <w:r w:rsidRPr="009D60AE">
        <w:rPr>
          <w:rFonts w:ascii="Times New Roman" w:eastAsia="Times New Roman" w:hAnsi="Times New Roman"/>
          <w:sz w:val="24"/>
          <w:szCs w:val="20"/>
          <w:lang w:eastAsia="es-ES"/>
        </w:rPr>
        <w:t xml:space="preserve"> </w:t>
      </w:r>
      <w:r w:rsidR="009D60AE" w:rsidRPr="009D60AE">
        <w:rPr>
          <w:rFonts w:ascii="Times New Roman" w:eastAsia="Times New Roman" w:hAnsi="Times New Roman"/>
          <w:sz w:val="24"/>
          <w:szCs w:val="20"/>
          <w:lang w:eastAsia="es-ES"/>
        </w:rPr>
        <w:t xml:space="preserve">es una escala </w:t>
      </w:r>
      <w:r w:rsidR="009D60AE">
        <w:rPr>
          <w:rFonts w:ascii="Times New Roman" w:eastAsia="Times New Roman" w:hAnsi="Times New Roman"/>
          <w:sz w:val="24"/>
          <w:szCs w:val="20"/>
          <w:lang w:eastAsia="es-ES"/>
        </w:rPr>
        <w:t>que permite discriminar perfiles desadaptativos o disfuncionales y perfiles adaptativos o funcionales de perfeccionismo. Luego de aplicar todas las escalas mencionadas, realizado el pesaje y medición de los estudiantes a cargo de un especialista., y una posterior entrevista diagnóstica semiestructurada realizada por profesionales.</w:t>
      </w:r>
    </w:p>
    <w:p w:rsidR="009D60AE" w:rsidRPr="009D60AE" w:rsidRDefault="009D60AE"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E22C9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De acuerdo a los resultados </w:t>
      </w:r>
      <w:r w:rsidR="00B56345">
        <w:rPr>
          <w:rFonts w:ascii="Times New Roman" w:eastAsia="Times New Roman" w:hAnsi="Times New Roman"/>
          <w:sz w:val="24"/>
          <w:szCs w:val="20"/>
          <w:lang w:eastAsia="es-ES"/>
        </w:rPr>
        <w:t>obtenidos entre los grupos</w:t>
      </w:r>
      <w:r>
        <w:rPr>
          <w:rFonts w:ascii="Times New Roman" w:eastAsia="Times New Roman" w:hAnsi="Times New Roman"/>
          <w:sz w:val="24"/>
          <w:szCs w:val="20"/>
          <w:lang w:eastAsia="es-ES"/>
        </w:rPr>
        <w:t xml:space="preserve"> no se encontró diferencias significativas respecto al peso, altura y el IMC</w:t>
      </w:r>
      <w:r w:rsidR="00B56345">
        <w:rPr>
          <w:rFonts w:ascii="Times New Roman" w:eastAsia="Times New Roman" w:hAnsi="Times New Roman"/>
          <w:sz w:val="24"/>
          <w:szCs w:val="20"/>
          <w:lang w:eastAsia="es-ES"/>
        </w:rPr>
        <w:t>. Se observó que los adolescentes con TA y NTA se encuentran distribuidas en casi todas las categorías de IMC, en cambio la mayoría de adolescentes con riesgo de TA presentí peso normal, y solo unas pocas, sobrepeso.</w:t>
      </w:r>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56345" w:rsidRDefault="00B56345" w:rsidP="00B56345">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2FC9E279" wp14:editId="6F02121F">
            <wp:extent cx="3863340" cy="24765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249" cy="2486057"/>
                    </a:xfrm>
                    <a:prstGeom prst="rect">
                      <a:avLst/>
                    </a:prstGeom>
                  </pic:spPr>
                </pic:pic>
              </a:graphicData>
            </a:graphic>
          </wp:inline>
        </w:drawing>
      </w:r>
    </w:p>
    <w:p w:rsidR="00B56345" w:rsidRDefault="00B56345" w:rsidP="00B56345">
      <w:pPr>
        <w:pStyle w:val="Descripcin"/>
        <w:ind w:left="1420" w:firstLine="284"/>
        <w:rPr>
          <w:rFonts w:ascii="Times New Roman" w:eastAsia="Times New Roman" w:hAnsi="Times New Roman"/>
          <w:sz w:val="24"/>
          <w:szCs w:val="20"/>
          <w:lang w:eastAsia="es-ES"/>
        </w:rPr>
      </w:pPr>
      <w:bookmarkStart w:id="5" w:name="_Toc517648305"/>
      <w:r>
        <w:t xml:space="preserve">Ilustración </w:t>
      </w:r>
      <w:r>
        <w:fldChar w:fldCharType="begin"/>
      </w:r>
      <w:r>
        <w:instrText xml:space="preserve"> SEQ Ilustración \* ARABIC </w:instrText>
      </w:r>
      <w:r>
        <w:fldChar w:fldCharType="separate"/>
      </w:r>
      <w:r>
        <w:rPr>
          <w:noProof/>
        </w:rPr>
        <w:t>3</w:t>
      </w:r>
      <w:r>
        <w:fldChar w:fldCharType="end"/>
      </w:r>
      <w:r>
        <w:t>. Distribución del IMC.</w:t>
      </w:r>
      <w:bookmarkEnd w:id="5"/>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757A6"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relación con la actividad física excesiva (con frecuencia igual o mayor a 2 días) y la conducta dietante, las adolescentes con RTA no presentaron diferencias significativas con los demás grupos. </w:t>
      </w: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la escala del EDI-3 se presentaron 3 subescalas específicas (bulimia, búsqueda de delgadez e insatisfacción corporal donde las adolescentes con </w:t>
      </w:r>
      <w:r>
        <w:rPr>
          <w:rFonts w:ascii="Times New Roman" w:eastAsia="Times New Roman" w:hAnsi="Times New Roman"/>
          <w:sz w:val="24"/>
          <w:szCs w:val="20"/>
          <w:lang w:eastAsia="es-ES"/>
        </w:rPr>
        <w:lastRenderedPageBreak/>
        <w:t>RTA y TA presentaron puntales significativamente más altos que las adolescentes NTA.</w:t>
      </w:r>
    </w:p>
    <w:p w:rsidR="00AF69E8" w:rsidRPr="00960D15" w:rsidRDefault="00AF69E8" w:rsidP="00960D15">
      <w:pPr>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w:t>
      </w:r>
      <w:r w:rsidR="00AE42EC">
        <w:rPr>
          <w:rFonts w:ascii="Times New Roman" w:eastAsia="Times New Roman" w:hAnsi="Times New Roman"/>
          <w:sz w:val="24"/>
          <w:szCs w:val="20"/>
          <w:lang w:eastAsia="es-ES"/>
        </w:rPr>
        <w:t>n lo resp</w:t>
      </w:r>
      <w:r>
        <w:rPr>
          <w:rFonts w:ascii="Times New Roman" w:eastAsia="Times New Roman" w:hAnsi="Times New Roman"/>
          <w:sz w:val="24"/>
          <w:szCs w:val="20"/>
          <w:lang w:eastAsia="es-ES"/>
        </w:rPr>
        <w:t xml:space="preserve">ecta al grupo de riesgo (RTA), los resultados no permiten establecer delimitaciones claras entre los grupos, solo se observa una diferencia del grupo con TA en tres características psicológicas: baja autoestima, alineación personal y ascetismo. En comparación con otro estudio realizado a mujeres universitarias con un poco más de edad, se puede deducir que la población tomada de muestra para el RTA no fue suficiente para poder tener diferencias significativas en los resultados. </w:t>
      </w:r>
      <w:r w:rsidRPr="005F0084">
        <w:rPr>
          <w:rFonts w:ascii="Times New Roman" w:eastAsia="Times New Roman" w:hAnsi="Times New Roman"/>
          <w:sz w:val="24"/>
          <w:szCs w:val="20"/>
          <w:lang w:eastAsia="es-ES"/>
        </w:rPr>
        <w:t>Sin embargo, l</w:t>
      </w:r>
      <w:r w:rsidR="00AE42EC" w:rsidRPr="005F0084">
        <w:rPr>
          <w:rFonts w:ascii="Times New Roman" w:eastAsia="Times New Roman" w:hAnsi="Times New Roman"/>
          <w:sz w:val="24"/>
          <w:szCs w:val="20"/>
          <w:lang w:eastAsia="es-ES"/>
        </w:rPr>
        <w:t xml:space="preserve">a presencia de características psicológicas vinculadas con el desarrollo de los TA en adolescentes de población no clínica (RTA) refuerza la importancia de destinar esfuerzos a la prevención de los TA en la adolescencia. </w:t>
      </w:r>
    </w:p>
    <w:p w:rsidR="005F0084"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F0084" w:rsidRPr="00367CF2" w:rsidRDefault="00B27B6A" w:rsidP="005F0084">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Pr>
          <w:rFonts w:ascii="Times New Roman" w:eastAsia="Times New Roman" w:hAnsi="Times New Roman"/>
          <w:b/>
          <w:sz w:val="24"/>
          <w:szCs w:val="20"/>
          <w:lang w:val="es-ES" w:eastAsia="es-ES"/>
        </w:rPr>
        <w:t>Rol de género y actitudes alimentarias en adolescentes de dos diferentes contextos socioculturales: Tradicional vs. No Tradicional</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5F0084"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eastAsia="es-ES"/>
        </w:rPr>
        <w:t>Cecilia Silva, Bertha Aurora Millán Díaz, Karla Edith Gonzáles Alcántara (20</w:t>
      </w:r>
      <w:r w:rsidR="00656BA6">
        <w:rPr>
          <w:rFonts w:ascii="Times New Roman" w:eastAsia="Times New Roman" w:hAnsi="Times New Roman"/>
          <w:i/>
          <w:sz w:val="24"/>
          <w:szCs w:val="20"/>
          <w:lang w:eastAsia="es-ES"/>
        </w:rPr>
        <w:t>17</w:t>
      </w:r>
      <w:r>
        <w:rPr>
          <w:rFonts w:ascii="Times New Roman" w:eastAsia="Times New Roman" w:hAnsi="Times New Roman"/>
          <w:i/>
          <w:sz w:val="24"/>
          <w:szCs w:val="20"/>
          <w:lang w:eastAsia="es-ES"/>
        </w:rPr>
        <w:t xml:space="preserve">). </w:t>
      </w:r>
      <w:r w:rsidRPr="0033151F">
        <w:rPr>
          <w:rFonts w:ascii="Times New Roman" w:eastAsia="Times New Roman" w:hAnsi="Times New Roman"/>
          <w:i/>
          <w:sz w:val="24"/>
          <w:szCs w:val="20"/>
          <w:lang w:eastAsia="es-ES"/>
        </w:rPr>
        <w:t xml:space="preserve">Revista Mexicana de Trastornos Alimentarios, </w:t>
      </w:r>
      <w:r>
        <w:rPr>
          <w:rFonts w:ascii="Times New Roman" w:eastAsia="Times New Roman" w:hAnsi="Times New Roman"/>
          <w:i/>
          <w:sz w:val="24"/>
          <w:szCs w:val="20"/>
          <w:lang w:eastAsia="es-ES"/>
        </w:rPr>
        <w:t>40</w:t>
      </w:r>
      <w:r w:rsidRPr="0033151F">
        <w:rPr>
          <w:rFonts w:ascii="Times New Roman" w:eastAsia="Times New Roman" w:hAnsi="Times New Roman"/>
          <w:i/>
          <w:sz w:val="24"/>
          <w:szCs w:val="20"/>
          <w:lang w:eastAsia="es-ES"/>
        </w:rPr>
        <w:t>-4</w:t>
      </w:r>
      <w:r>
        <w:rPr>
          <w:rFonts w:ascii="Times New Roman" w:eastAsia="Times New Roman" w:hAnsi="Times New Roman"/>
          <w:i/>
          <w:sz w:val="24"/>
          <w:szCs w:val="20"/>
          <w:lang w:eastAsia="es-ES"/>
        </w:rPr>
        <w:t>8. México.</w:t>
      </w:r>
    </w:p>
    <w:p w:rsidR="0086614F"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AC5B8A" w:rsidRDefault="00062F26"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Definiendo e</w:t>
      </w:r>
      <w:r w:rsidR="00AC5B8A">
        <w:rPr>
          <w:rFonts w:ascii="Times New Roman" w:eastAsia="Times New Roman" w:hAnsi="Times New Roman"/>
          <w:sz w:val="24"/>
          <w:szCs w:val="20"/>
          <w:lang w:eastAsia="es-ES"/>
        </w:rPr>
        <w:t xml:space="preserve">l rol de género </w:t>
      </w:r>
      <w:r w:rsidR="00103057">
        <w:rPr>
          <w:rFonts w:ascii="Times New Roman" w:eastAsia="Times New Roman" w:hAnsi="Times New Roman"/>
          <w:sz w:val="24"/>
          <w:szCs w:val="20"/>
          <w:lang w:eastAsia="es-ES"/>
        </w:rPr>
        <w:t xml:space="preserve">como </w:t>
      </w:r>
      <w:r>
        <w:rPr>
          <w:rFonts w:ascii="Times New Roman" w:eastAsia="Times New Roman" w:hAnsi="Times New Roman"/>
          <w:sz w:val="24"/>
          <w:szCs w:val="20"/>
          <w:lang w:eastAsia="es-ES"/>
        </w:rPr>
        <w:t>lo que</w:t>
      </w:r>
      <w:r w:rsidR="00103057">
        <w:rPr>
          <w:rFonts w:ascii="Times New Roman" w:eastAsia="Times New Roman" w:hAnsi="Times New Roman"/>
          <w:sz w:val="24"/>
          <w:szCs w:val="20"/>
          <w:lang w:eastAsia="es-ES"/>
        </w:rPr>
        <w:t xml:space="preserve"> ha desarrollado el individuo en la sociedad</w:t>
      </w:r>
      <w:r>
        <w:rPr>
          <w:rFonts w:ascii="Times New Roman" w:eastAsia="Times New Roman" w:hAnsi="Times New Roman"/>
          <w:sz w:val="24"/>
          <w:szCs w:val="20"/>
          <w:lang w:eastAsia="es-ES"/>
        </w:rPr>
        <w:t xml:space="preserve"> como características individuales</w:t>
      </w:r>
      <w:r w:rsidR="00103057">
        <w:rPr>
          <w:rFonts w:ascii="Times New Roman" w:eastAsia="Times New Roman" w:hAnsi="Times New Roman"/>
          <w:sz w:val="24"/>
          <w:szCs w:val="20"/>
          <w:lang w:eastAsia="es-ES"/>
        </w:rPr>
        <w:t>, de acuerdo a lo que entiende por ser hombre o mujer cumpliendo pap</w:t>
      </w:r>
      <w:r>
        <w:rPr>
          <w:rFonts w:ascii="Times New Roman" w:eastAsia="Times New Roman" w:hAnsi="Times New Roman"/>
          <w:sz w:val="24"/>
          <w:szCs w:val="20"/>
          <w:lang w:eastAsia="es-ES"/>
        </w:rPr>
        <w:t>e</w:t>
      </w:r>
      <w:r w:rsidR="00103057">
        <w:rPr>
          <w:rFonts w:ascii="Times New Roman" w:eastAsia="Times New Roman" w:hAnsi="Times New Roman"/>
          <w:sz w:val="24"/>
          <w:szCs w:val="20"/>
          <w:lang w:eastAsia="es-ES"/>
        </w:rPr>
        <w:t>les y</w:t>
      </w:r>
      <w:r>
        <w:rPr>
          <w:rFonts w:ascii="Times New Roman" w:eastAsia="Times New Roman" w:hAnsi="Times New Roman"/>
          <w:sz w:val="24"/>
          <w:szCs w:val="20"/>
          <w:lang w:eastAsia="es-ES"/>
        </w:rPr>
        <w:t xml:space="preserve"> actitudes propias del género. </w:t>
      </w:r>
    </w:p>
    <w:p w:rsidR="004F1635" w:rsidRDefault="004F1635"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4F1635" w:rsidRDefault="004F1635"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Uno de los objetivos del estudio fue conocer las diferencias existentes entre las adolescentes de dos contextos distintos (tradicional vs. no tradicional) respecto a los distintos aspectos del rol de género evaluados, que fueron: 1. Las características del rol de género que consideran desempeñar. 2. Las características del rol de género que desearían desempeñar. 3. Las características del rol de género que creen que la sociedad espera de las mujeres. 4. El ajuste respecto al ideal personal y 5. El ajuste respecto a la prescripción social.</w:t>
      </w:r>
    </w:p>
    <w:p w:rsidR="005F0084" w:rsidRPr="004F1635" w:rsidRDefault="005F0084" w:rsidP="004F1635">
      <w:pPr>
        <w:autoSpaceDE w:val="0"/>
        <w:autoSpaceDN w:val="0"/>
        <w:adjustRightInd w:val="0"/>
        <w:spacing w:after="0" w:line="240" w:lineRule="auto"/>
        <w:jc w:val="both"/>
        <w:rPr>
          <w:rFonts w:ascii="Times New Roman" w:eastAsia="Times New Roman" w:hAnsi="Times New Roman"/>
          <w:sz w:val="24"/>
          <w:szCs w:val="20"/>
          <w:lang w:eastAsia="es-ES"/>
        </w:rPr>
      </w:pPr>
    </w:p>
    <w:p w:rsidR="00102D8E" w:rsidRDefault="005F0084"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mayoría de estudios respecto al rol de género y la alimentación, se han realizado en contextos urbanos, en los que roles tradicionales son menos frecuentes que en los contextos tradicionales, donde las conductas son más convencionales. </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 el estudio, se pretende poder diseñar estrategias de prevención y tratamiento enfocadas en las distintas poblaciones, dependiendo al tipo de contexto que pertenezcan.</w:t>
      </w:r>
    </w:p>
    <w:p w:rsidR="00102D8E" w:rsidRP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BA3CD5"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w:t>
      </w:r>
      <w:r w:rsidR="00102D8E">
        <w:rPr>
          <w:rFonts w:ascii="Times New Roman" w:eastAsia="Times New Roman" w:hAnsi="Times New Roman"/>
          <w:sz w:val="24"/>
          <w:szCs w:val="20"/>
          <w:lang w:eastAsia="es-ES"/>
        </w:rPr>
        <w:t>etodología</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475AD" w:rsidRPr="00E46465" w:rsidRDefault="00102D8E" w:rsidP="00E4646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Participaron 392 mujeres adolescentes entre 13 y 18 años edad, siendo todas de escuelas públicas. De esta cantidad se trabajó con dos grupos, el primer grupo llamado </w:t>
      </w:r>
      <w:r>
        <w:rPr>
          <w:rFonts w:ascii="Times New Roman" w:eastAsia="Times New Roman" w:hAnsi="Times New Roman"/>
          <w:i/>
          <w:sz w:val="24"/>
          <w:szCs w:val="20"/>
          <w:lang w:eastAsia="es-ES"/>
        </w:rPr>
        <w:t>tradicional</w:t>
      </w:r>
      <w:r>
        <w:rPr>
          <w:rFonts w:ascii="Times New Roman" w:eastAsia="Times New Roman" w:hAnsi="Times New Roman"/>
          <w:sz w:val="24"/>
          <w:szCs w:val="20"/>
          <w:lang w:eastAsia="es-ES"/>
        </w:rPr>
        <w:t xml:space="preserve"> se conformó por 198 adolescentes, y el segundo grupo llamado </w:t>
      </w:r>
      <w:r>
        <w:rPr>
          <w:rFonts w:ascii="Times New Roman" w:eastAsia="Times New Roman" w:hAnsi="Times New Roman"/>
          <w:i/>
          <w:sz w:val="24"/>
          <w:szCs w:val="20"/>
          <w:lang w:eastAsia="es-ES"/>
        </w:rPr>
        <w:t>no tradicional</w:t>
      </w:r>
      <w:r>
        <w:rPr>
          <w:rFonts w:ascii="Times New Roman" w:eastAsia="Times New Roman" w:hAnsi="Times New Roman"/>
          <w:sz w:val="24"/>
          <w:szCs w:val="20"/>
          <w:lang w:eastAsia="es-ES"/>
        </w:rPr>
        <w:t xml:space="preserve"> se formó por 194 adolescentes</w:t>
      </w:r>
      <w:r w:rsidR="00E46465">
        <w:rPr>
          <w:rFonts w:ascii="Times New Roman" w:eastAsia="Times New Roman" w:hAnsi="Times New Roman"/>
          <w:sz w:val="24"/>
          <w:szCs w:val="20"/>
          <w:lang w:eastAsia="es-ES"/>
        </w:rPr>
        <w:t xml:space="preserve">. </w:t>
      </w:r>
      <w:r w:rsidR="00E46465" w:rsidRPr="00E46465">
        <w:rPr>
          <w:rFonts w:ascii="Times New Roman" w:eastAsia="Times New Roman" w:hAnsi="Times New Roman"/>
          <w:sz w:val="24"/>
          <w:szCs w:val="20"/>
          <w:lang w:eastAsia="es-ES"/>
        </w:rPr>
        <w:t>Y p</w:t>
      </w:r>
      <w:r w:rsidR="005475AD" w:rsidRPr="00E46465">
        <w:rPr>
          <w:rFonts w:ascii="Times New Roman" w:eastAsia="Times New Roman" w:hAnsi="Times New Roman"/>
          <w:sz w:val="24"/>
          <w:szCs w:val="20"/>
          <w:lang w:eastAsia="es-ES"/>
        </w:rPr>
        <w:t xml:space="preserve">ara delimitar los contextos tradicionales y no tradicionales se basaron en características sociales y demográficas. </w:t>
      </w:r>
    </w:p>
    <w:p w:rsidR="005475AD" w:rsidRPr="00102D8E" w:rsidRDefault="005475AD"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Pr="00E46465" w:rsidRDefault="00E46465"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Como escala se utilizó el </w:t>
      </w:r>
      <w:r>
        <w:rPr>
          <w:rFonts w:ascii="Times New Roman" w:eastAsia="Times New Roman" w:hAnsi="Times New Roman"/>
          <w:i/>
          <w:sz w:val="24"/>
          <w:szCs w:val="20"/>
          <w:lang w:eastAsia="es-ES"/>
        </w:rPr>
        <w:t>Inventario de Masculinidad y Feminidad (IMAFE)</w:t>
      </w:r>
      <w:r>
        <w:rPr>
          <w:rFonts w:ascii="Times New Roman" w:eastAsia="Times New Roman" w:hAnsi="Times New Roman"/>
          <w:sz w:val="24"/>
          <w:szCs w:val="20"/>
          <w:lang w:eastAsia="es-ES"/>
        </w:rPr>
        <w:t xml:space="preserve"> propuesto por Lara, el cual es una adaptación del Inventario de Roles Sexuales, y el propósito es medir rasgos de personalidad asociados con los roles de género, pero basándolo en aspectos más representativos de los estereotipos de la cultura mexicana. Por lo que, en el IMAFE, Lara agregó dos escalas más: sumisión y machismo, que son características negativas de cada rol respectivamente. </w:t>
      </w:r>
    </w:p>
    <w:p w:rsidR="00E46465" w:rsidRDefault="00E46465" w:rsidP="00E4646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730C76" w:rsidRPr="00730C76" w:rsidRDefault="00E46465" w:rsidP="00730C76">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Además, el </w:t>
      </w:r>
      <w:r>
        <w:rPr>
          <w:rFonts w:ascii="Times New Roman" w:eastAsia="Times New Roman" w:hAnsi="Times New Roman"/>
          <w:i/>
          <w:sz w:val="24"/>
          <w:szCs w:val="20"/>
          <w:lang w:eastAsia="es-ES"/>
        </w:rPr>
        <w:t>Test de Actitudes Alimentarias (EAT-40)</w:t>
      </w:r>
      <w:r>
        <w:rPr>
          <w:rFonts w:ascii="Times New Roman" w:eastAsia="Times New Roman" w:hAnsi="Times New Roman"/>
          <w:sz w:val="24"/>
          <w:szCs w:val="20"/>
          <w:lang w:eastAsia="es-ES"/>
        </w:rPr>
        <w:t xml:space="preserve"> desarrollado por Garner y </w:t>
      </w:r>
      <w:r w:rsidRPr="00E46465">
        <w:rPr>
          <w:rFonts w:ascii="Times New Roman" w:eastAsia="Times New Roman" w:hAnsi="Times New Roman"/>
          <w:sz w:val="24"/>
          <w:szCs w:val="20"/>
          <w:lang w:eastAsia="es-ES"/>
        </w:rPr>
        <w:t>Garfinkel</w:t>
      </w:r>
      <w:r w:rsidR="00730C76">
        <w:rPr>
          <w:rFonts w:ascii="Times New Roman" w:eastAsia="Times New Roman" w:hAnsi="Times New Roman"/>
          <w:sz w:val="24"/>
          <w:szCs w:val="20"/>
          <w:lang w:eastAsia="es-ES"/>
        </w:rPr>
        <w:t xml:space="preserve"> que permite evaluar las conductas y actitudes relacionadas a la ingesta alimentaria, la forma del cuerpo, el peso, y la realización de ejercicio con el propósito de estar delgado, y también identificar la presencia de síntomas y preocupación características de los TCA.</w:t>
      </w:r>
    </w:p>
    <w:p w:rsidR="00E46465" w:rsidRPr="00102D8E" w:rsidRDefault="00E46465"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6072F5" w:rsidRDefault="006072F5" w:rsidP="006072F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6072F5" w:rsidRDefault="006072F5" w:rsidP="006072F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8651B" w:rsidRDefault="0058651B" w:rsidP="006072F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Según los tres aspectos evaluados del rol de género: autodescripción, ideal personal y prescripción social, en las 4 dimensiones de: masculinidad, feminidad, machismo y sumisión. Se obtuvo que las adolescentes del contexto tradicional se describieron con menos atributos de masculinidad y más características de sumisión que las adolescentes del contexto no tradicional.</w:t>
      </w:r>
    </w:p>
    <w:p w:rsid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Además, las</w:t>
      </w:r>
      <w:r w:rsidRPr="00963F0C">
        <w:rPr>
          <w:rFonts w:ascii="Times New Roman" w:eastAsia="Times New Roman" w:hAnsi="Times New Roman"/>
          <w:sz w:val="24"/>
          <w:szCs w:val="20"/>
          <w:lang w:eastAsia="es-ES"/>
        </w:rPr>
        <w:t xml:space="preserve"> adolescentes de contexto tradicional manifestaron que restringen más su dieta, experimentar mayo preocupación por la comida, realizan más conductas compensatorias más características negativas hacia su peso y la alimentación que las adolescentes del contexto no tradicional.</w:t>
      </w:r>
    </w:p>
    <w:p w:rsid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63F0C" w:rsidRPr="00963F0C" w:rsidRDefault="00963F0C" w:rsidP="00963F0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63F0C">
        <w:rPr>
          <w:rFonts w:ascii="Times New Roman" w:eastAsia="Times New Roman" w:hAnsi="Times New Roman"/>
          <w:sz w:val="24"/>
          <w:szCs w:val="20"/>
          <w:lang w:eastAsia="es-ES"/>
        </w:rPr>
        <w:t>Con un análisis de regresión donde se incluyó a los adolescentes e ambos contextos, se llegó a un modelo final tras dos pasos considerando dos variables: sumisión y machismo. Teniendo como resultado que, por cada unidad de incremento en la sumisión, las actitudes negativas hacia la alimentación incrementaron 1.96 unidades; mientras que, por cada unidad de incremento en el machismo, las actitudes negativas hacia la alimentación aumentaron 1.64 unidades. Por lo que es asociable a conductas negativas hacia el peso.</w:t>
      </w:r>
    </w:p>
    <w:p w:rsidR="009D7AA3" w:rsidRPr="006072F5" w:rsidRDefault="009D7AA3" w:rsidP="006072F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6117C7" w:rsidRDefault="006117C7"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6117C7" w:rsidRDefault="006072F5"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lastRenderedPageBreak/>
        <w:t>Resulta</w:t>
      </w:r>
      <w:r w:rsidR="006117C7">
        <w:rPr>
          <w:rFonts w:ascii="Times New Roman" w:eastAsia="Times New Roman" w:hAnsi="Times New Roman"/>
          <w:sz w:val="24"/>
          <w:szCs w:val="20"/>
          <w:lang w:eastAsia="es-ES"/>
        </w:rPr>
        <w:t xml:space="preserve"> que las adolescentes de contextos no tradicionales tienden a desempeñar y a idealizar más características positivas de los roles de género, mientras que las adolescentes de contextos tradicionales tienden a seguir más las características negativas, lo cual generaría mayor vulnerabilidad para desarrollar una TCA.</w:t>
      </w:r>
    </w:p>
    <w:p w:rsidR="006117C7" w:rsidRDefault="006117C7"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6117C7" w:rsidRDefault="006072F5"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Además, l</w:t>
      </w:r>
      <w:r w:rsidR="006117C7" w:rsidRPr="006117C7">
        <w:rPr>
          <w:rFonts w:ascii="Times New Roman" w:eastAsia="Times New Roman" w:hAnsi="Times New Roman"/>
          <w:sz w:val="24"/>
          <w:szCs w:val="20"/>
          <w:lang w:eastAsia="es-ES"/>
        </w:rPr>
        <w:t>os resultados mostraron que el</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poseer características negat</w:t>
      </w:r>
      <w:r w:rsidR="00EF230E">
        <w:rPr>
          <w:rFonts w:ascii="Times New Roman" w:eastAsia="Times New Roman" w:hAnsi="Times New Roman"/>
          <w:sz w:val="24"/>
          <w:szCs w:val="20"/>
          <w:lang w:eastAsia="es-ES"/>
        </w:rPr>
        <w:t>ivas del rol de género está aso</w:t>
      </w:r>
      <w:r w:rsidR="006117C7" w:rsidRPr="006117C7">
        <w:rPr>
          <w:rFonts w:ascii="Times New Roman" w:eastAsia="Times New Roman" w:hAnsi="Times New Roman"/>
          <w:sz w:val="24"/>
          <w:szCs w:val="20"/>
          <w:lang w:eastAsia="es-ES"/>
        </w:rPr>
        <w:t>ciado con las conductas negativas hacia la alimentación. Sin</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embargo,</w:t>
      </w:r>
      <w:r w:rsidR="00EF230E">
        <w:rPr>
          <w:rFonts w:ascii="Times New Roman" w:eastAsia="Times New Roman" w:hAnsi="Times New Roman"/>
          <w:sz w:val="24"/>
          <w:szCs w:val="20"/>
          <w:lang w:eastAsia="es-ES"/>
        </w:rPr>
        <w:t xml:space="preserve"> es esencial notar que,</w:t>
      </w:r>
      <w:r w:rsidR="006117C7" w:rsidRPr="006117C7">
        <w:rPr>
          <w:rFonts w:ascii="Times New Roman" w:eastAsia="Times New Roman" w:hAnsi="Times New Roman"/>
          <w:sz w:val="24"/>
          <w:szCs w:val="20"/>
          <w:lang w:eastAsia="es-ES"/>
        </w:rPr>
        <w:t xml:space="preserve"> en las adolescentes del contexto no tradicional, las características sumisas fueron las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que guardaron una mayor relación con las actitudes negativas hacia la alimentación, mientras que en el contexto</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tradicional lo fueron las características de machismo. No</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obstante, el hecho de que en contextos no tradicionales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exista una mayor flexibilidad respecto a las características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que pueden asumir las mujeres en la construcción del rol</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de género, pese a las presiones sociales al respecto, podría</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 xml:space="preserve">empezar a constituirse como </w:t>
      </w:r>
      <w:r w:rsidR="00EF230E">
        <w:rPr>
          <w:rFonts w:ascii="Times New Roman" w:eastAsia="Times New Roman" w:hAnsi="Times New Roman"/>
          <w:sz w:val="24"/>
          <w:szCs w:val="20"/>
          <w:lang w:eastAsia="es-ES"/>
        </w:rPr>
        <w:t>un factor protector para el des</w:t>
      </w:r>
      <w:r w:rsidR="006117C7" w:rsidRPr="006117C7">
        <w:rPr>
          <w:rFonts w:ascii="Times New Roman" w:eastAsia="Times New Roman" w:hAnsi="Times New Roman"/>
          <w:sz w:val="24"/>
          <w:szCs w:val="20"/>
          <w:lang w:eastAsia="es-ES"/>
        </w:rPr>
        <w:t>arrollo de los síntomas típicos de los TCA y algunos otros</w:t>
      </w:r>
      <w:r w:rsidR="006117C7">
        <w:rPr>
          <w:rFonts w:ascii="Times New Roman" w:eastAsia="Times New Roman" w:hAnsi="Times New Roman"/>
          <w:sz w:val="24"/>
          <w:szCs w:val="20"/>
          <w:lang w:eastAsia="es-ES"/>
        </w:rPr>
        <w:t xml:space="preserve"> </w:t>
      </w:r>
      <w:r w:rsidR="006117C7" w:rsidRPr="006117C7">
        <w:rPr>
          <w:rFonts w:ascii="Times New Roman" w:eastAsia="Times New Roman" w:hAnsi="Times New Roman"/>
          <w:sz w:val="24"/>
          <w:szCs w:val="20"/>
          <w:lang w:eastAsia="es-ES"/>
        </w:rPr>
        <w:t>problemas de salud.</w:t>
      </w:r>
    </w:p>
    <w:p w:rsidR="00EF230E" w:rsidRDefault="00EF230E"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F230E" w:rsidRPr="00BA3CD5" w:rsidRDefault="00EF230E" w:rsidP="004F1635">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Con esto se confirma que el desarrollo de los síntomas de un TCA no es </w:t>
      </w:r>
      <w:r w:rsidR="006072F5">
        <w:rPr>
          <w:rFonts w:ascii="Times New Roman" w:eastAsia="Times New Roman" w:hAnsi="Times New Roman"/>
          <w:sz w:val="24"/>
          <w:szCs w:val="20"/>
          <w:lang w:eastAsia="es-ES"/>
        </w:rPr>
        <w:t>exclusivo</w:t>
      </w:r>
      <w:r>
        <w:rPr>
          <w:rFonts w:ascii="Times New Roman" w:eastAsia="Times New Roman" w:hAnsi="Times New Roman"/>
          <w:sz w:val="24"/>
          <w:szCs w:val="20"/>
          <w:lang w:eastAsia="es-ES"/>
        </w:rPr>
        <w:t xml:space="preserve"> de un contexto, pero las actitudes negativas en la forma de la alimentación </w:t>
      </w:r>
      <w:r w:rsidR="006072F5">
        <w:rPr>
          <w:rFonts w:ascii="Times New Roman" w:eastAsia="Times New Roman" w:hAnsi="Times New Roman"/>
          <w:sz w:val="24"/>
          <w:szCs w:val="20"/>
          <w:lang w:eastAsia="es-ES"/>
        </w:rPr>
        <w:t>si influye el rol de género que se tome.</w:t>
      </w:r>
    </w:p>
    <w:p w:rsidR="006335C9" w:rsidRPr="00EF230E"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eastAsia="es-ES"/>
        </w:rPr>
      </w:pPr>
    </w:p>
    <w:p w:rsidR="00E6315C" w:rsidRPr="00E6315C" w:rsidRDefault="00DB4577" w:rsidP="00E6315C">
      <w:pPr>
        <w:pStyle w:val="Prrafodelista"/>
        <w:numPr>
          <w:ilvl w:val="0"/>
          <w:numId w:val="22"/>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b/>
          <w:sz w:val="24"/>
          <w:szCs w:val="20"/>
          <w:lang w:val="es-ES" w:eastAsia="es-ES"/>
        </w:rPr>
        <w:t>Factores de riesgo de trastornos de la conducta alimentaria entre universitarios: Estimación de vulnerabilidad por sexo y edad.</w:t>
      </w:r>
    </w:p>
    <w:p w:rsidR="00E6315C" w:rsidRDefault="00E6315C" w:rsidP="00E6315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E6315C" w:rsidRDefault="009F4E6C" w:rsidP="00E6315C">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val="es-ES" w:eastAsia="es-ES"/>
        </w:rPr>
        <w:t>María Camino Escolar-Llamazares, María Ángeles Martínez Martín, María Yolanda Gonzále</w:t>
      </w:r>
      <w:r w:rsidR="00DB4577">
        <w:rPr>
          <w:rFonts w:ascii="Times New Roman" w:eastAsia="Times New Roman" w:hAnsi="Times New Roman"/>
          <w:i/>
          <w:sz w:val="24"/>
          <w:szCs w:val="20"/>
          <w:lang w:val="es-ES" w:eastAsia="es-ES"/>
        </w:rPr>
        <w:t>z</w:t>
      </w:r>
      <w:r>
        <w:rPr>
          <w:rFonts w:ascii="Times New Roman" w:eastAsia="Times New Roman" w:hAnsi="Times New Roman"/>
          <w:i/>
          <w:sz w:val="24"/>
          <w:szCs w:val="20"/>
          <w:lang w:val="es-ES" w:eastAsia="es-ES"/>
        </w:rPr>
        <w:t xml:space="preserve"> Alonso, María Begoña Medina Gómez, Elvira Mercado Val, Fernando Lara Ortega</w:t>
      </w:r>
      <w:r w:rsidR="00E6315C" w:rsidRPr="00E6315C">
        <w:rPr>
          <w:rFonts w:ascii="Times New Roman" w:eastAsia="Times New Roman" w:hAnsi="Times New Roman"/>
          <w:i/>
          <w:sz w:val="24"/>
          <w:szCs w:val="20"/>
          <w:lang w:val="es-ES" w:eastAsia="es-ES"/>
        </w:rPr>
        <w:t xml:space="preserve"> (2017). </w:t>
      </w:r>
      <w:r w:rsidR="00E6315C" w:rsidRPr="00E6315C">
        <w:rPr>
          <w:rFonts w:ascii="Times New Roman" w:eastAsia="Times New Roman" w:hAnsi="Times New Roman"/>
          <w:i/>
          <w:sz w:val="24"/>
          <w:szCs w:val="20"/>
          <w:lang w:eastAsia="es-ES"/>
        </w:rPr>
        <w:t xml:space="preserve">Revista Mexicana de Trastornos Alimentarios, </w:t>
      </w:r>
      <w:r w:rsidR="00E6315C">
        <w:rPr>
          <w:rFonts w:ascii="Times New Roman" w:eastAsia="Times New Roman" w:hAnsi="Times New Roman"/>
          <w:i/>
          <w:sz w:val="24"/>
          <w:szCs w:val="20"/>
          <w:lang w:eastAsia="es-ES"/>
        </w:rPr>
        <w:t>105</w:t>
      </w:r>
      <w:r w:rsidR="00E6315C" w:rsidRPr="00E6315C">
        <w:rPr>
          <w:rFonts w:ascii="Times New Roman" w:eastAsia="Times New Roman" w:hAnsi="Times New Roman"/>
          <w:i/>
          <w:sz w:val="24"/>
          <w:szCs w:val="20"/>
          <w:lang w:eastAsia="es-ES"/>
        </w:rPr>
        <w:t>-</w:t>
      </w:r>
      <w:r w:rsidR="00E6315C">
        <w:rPr>
          <w:rFonts w:ascii="Times New Roman" w:eastAsia="Times New Roman" w:hAnsi="Times New Roman"/>
          <w:i/>
          <w:sz w:val="24"/>
          <w:szCs w:val="20"/>
          <w:lang w:eastAsia="es-ES"/>
        </w:rPr>
        <w:t>112</w:t>
      </w:r>
      <w:r w:rsidR="00E6315C" w:rsidRPr="00E6315C">
        <w:rPr>
          <w:rFonts w:ascii="Times New Roman" w:eastAsia="Times New Roman" w:hAnsi="Times New Roman"/>
          <w:i/>
          <w:sz w:val="24"/>
          <w:szCs w:val="20"/>
          <w:lang w:eastAsia="es-ES"/>
        </w:rPr>
        <w:t>. México</w:t>
      </w:r>
    </w:p>
    <w:p w:rsidR="00E6315C" w:rsidRDefault="00E6315C" w:rsidP="00E6315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F4E6C" w:rsidRPr="009F4E6C" w:rsidRDefault="009F4E6C" w:rsidP="009F4E6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Los trastor</w:t>
      </w:r>
      <w:r w:rsidR="00A539E4">
        <w:rPr>
          <w:rFonts w:ascii="Times New Roman" w:eastAsia="Times New Roman" w:hAnsi="Times New Roman"/>
          <w:sz w:val="24"/>
          <w:szCs w:val="20"/>
          <w:lang w:eastAsia="es-ES"/>
        </w:rPr>
        <w:t>nos de la conducta alimentaria</w:t>
      </w:r>
      <w:r w:rsidRPr="009F4E6C">
        <w:rPr>
          <w:rFonts w:ascii="Times New Roman" w:eastAsia="Times New Roman" w:hAnsi="Times New Roman"/>
          <w:sz w:val="24"/>
          <w:szCs w:val="20"/>
          <w:lang w:eastAsia="es-ES"/>
        </w:rPr>
        <w:t xml:space="preserve"> constituyen un problema de salud</w:t>
      </w:r>
    </w:p>
    <w:p w:rsidR="00A539E4" w:rsidRDefault="009F4E6C" w:rsidP="009F4E6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pública que ha venido incrementando</w:t>
      </w:r>
      <w:r w:rsidR="00A539E4">
        <w:rPr>
          <w:rFonts w:ascii="Times New Roman" w:eastAsia="Times New Roman" w:hAnsi="Times New Roman"/>
          <w:sz w:val="24"/>
          <w:szCs w:val="20"/>
          <w:lang w:eastAsia="es-ES"/>
        </w:rPr>
        <w:t>, por lo tanto, es necesario llevar a cabo más investigaciones que permitan conocer mejor el riesgo de sufrir TCA</w:t>
      </w:r>
      <w:r w:rsidRPr="009F4E6C">
        <w:rPr>
          <w:rFonts w:ascii="Times New Roman" w:eastAsia="Times New Roman" w:hAnsi="Times New Roman"/>
          <w:sz w:val="24"/>
          <w:szCs w:val="20"/>
          <w:lang w:eastAsia="es-ES"/>
        </w:rPr>
        <w:t xml:space="preserve">. El objetivo de este estudio fue </w:t>
      </w:r>
      <w:r w:rsidR="00A539E4">
        <w:rPr>
          <w:rFonts w:ascii="Times New Roman" w:eastAsia="Times New Roman" w:hAnsi="Times New Roman"/>
          <w:sz w:val="24"/>
          <w:szCs w:val="20"/>
          <w:lang w:eastAsia="es-ES"/>
        </w:rPr>
        <w:t>identificar los factores de riesgo de TCA presentes en estudiantes universitarios en función del sexo y de la edad, y además estimar la proporción de estudiantes que cumplen con alguno de los criterios de remisión que indicarían la necesidad de ser derivados a un servicio especializado en TCA.</w:t>
      </w:r>
    </w:p>
    <w:p w:rsidR="00A539E4" w:rsidRPr="00A539E4" w:rsidRDefault="00A539E4" w:rsidP="00A539E4">
      <w:pPr>
        <w:autoSpaceDE w:val="0"/>
        <w:autoSpaceDN w:val="0"/>
        <w:adjustRightInd w:val="0"/>
        <w:spacing w:after="0" w:line="240" w:lineRule="auto"/>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A539E4"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países occidentales la frecuencia con la que se presenta un caso de TCA ha aumentado en las últimas décadas, considerándose así la tercera enfermedad crónica más común en la adolescencia y primera juventud. </w:t>
      </w:r>
    </w:p>
    <w:p w:rsidR="00A20EF0" w:rsidRDefault="00A20EF0"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20EF0" w:rsidRDefault="00A20EF0"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Evaluando los factores de riesgo, en diversas investigaciones señalan que más del 60% de los estudiantes universitarios se perciben de forma errónea, sobreestimando su IMC, a pesar de esto, son las mujeres en mayor proporción </w:t>
      </w:r>
      <w:r>
        <w:rPr>
          <w:rFonts w:ascii="Times New Roman" w:eastAsia="Times New Roman" w:hAnsi="Times New Roman"/>
          <w:sz w:val="24"/>
          <w:szCs w:val="20"/>
          <w:lang w:eastAsia="es-ES"/>
        </w:rPr>
        <w:lastRenderedPageBreak/>
        <w:t>que los hombres quienes tienden a mostrar una mayor preocupación por el peso y la imagen corporal.</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9F4E6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Se trabajó con una muestra probabilís</w:t>
      </w:r>
      <w:r>
        <w:rPr>
          <w:rFonts w:ascii="Times New Roman" w:eastAsia="Times New Roman" w:hAnsi="Times New Roman"/>
          <w:sz w:val="24"/>
          <w:szCs w:val="20"/>
          <w:lang w:eastAsia="es-ES"/>
        </w:rPr>
        <w:t>tica de 561 estudiantes</w:t>
      </w:r>
      <w:r w:rsidRPr="009F4E6C">
        <w:rPr>
          <w:rFonts w:ascii="Times New Roman" w:eastAsia="Times New Roman" w:hAnsi="Times New Roman"/>
          <w:sz w:val="24"/>
          <w:szCs w:val="20"/>
          <w:lang w:eastAsia="es-ES"/>
        </w:rPr>
        <w:t xml:space="preserve">, </w:t>
      </w:r>
      <w:r w:rsidR="00DB4577">
        <w:rPr>
          <w:rFonts w:ascii="Times New Roman" w:eastAsia="Times New Roman" w:hAnsi="Times New Roman"/>
          <w:sz w:val="24"/>
          <w:szCs w:val="20"/>
          <w:lang w:eastAsia="es-ES"/>
        </w:rPr>
        <w:t>240</w:t>
      </w:r>
      <w:r w:rsidRPr="009F4E6C">
        <w:rPr>
          <w:rFonts w:ascii="Times New Roman" w:eastAsia="Times New Roman" w:hAnsi="Times New Roman"/>
          <w:sz w:val="24"/>
          <w:szCs w:val="20"/>
          <w:lang w:eastAsia="es-ES"/>
        </w:rPr>
        <w:t xml:space="preserve"> varones y </w:t>
      </w:r>
      <w:r w:rsidR="00DB4577">
        <w:rPr>
          <w:rFonts w:ascii="Times New Roman" w:eastAsia="Times New Roman" w:hAnsi="Times New Roman"/>
          <w:sz w:val="24"/>
          <w:szCs w:val="20"/>
          <w:lang w:eastAsia="es-ES"/>
        </w:rPr>
        <w:t>321</w:t>
      </w:r>
      <w:r w:rsidRPr="009F4E6C">
        <w:rPr>
          <w:rFonts w:ascii="Times New Roman" w:eastAsia="Times New Roman" w:hAnsi="Times New Roman"/>
          <w:sz w:val="24"/>
          <w:szCs w:val="20"/>
          <w:lang w:eastAsia="es-ES"/>
        </w:rPr>
        <w:t xml:space="preserve"> mujeres. Los datos fueron</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recabados con base al Inventario de Trastornos de la Conducta Alimentaria-Criterio de Remisión</w:t>
      </w:r>
      <w:r w:rsidR="00F82451">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 xml:space="preserve">(EDI-3-RF), </w:t>
      </w:r>
      <w:r w:rsidR="00F82451">
        <w:rPr>
          <w:rFonts w:ascii="Times New Roman" w:eastAsia="Times New Roman" w:hAnsi="Times New Roman"/>
          <w:sz w:val="24"/>
          <w:szCs w:val="20"/>
          <w:lang w:eastAsia="es-ES"/>
        </w:rPr>
        <w:t>el cual es un inventario es una medida breve diseñada para evaluar el riesgo a desarrollar TCA en base a preocupaciones sobre la comida y la alimentación, el peso corporal, la estatura y la presencia de conductas extremas para controlar el peso. Este mismo incluye tres escalas de riesgo: o</w:t>
      </w:r>
      <w:r w:rsidR="00F82451" w:rsidRPr="00F82451">
        <w:rPr>
          <w:rFonts w:ascii="Times New Roman" w:eastAsia="Times New Roman" w:hAnsi="Times New Roman"/>
          <w:sz w:val="24"/>
          <w:szCs w:val="20"/>
          <w:lang w:eastAsia="es-ES"/>
        </w:rPr>
        <w:t xml:space="preserve">bsesión por la delgadez (OD), </w:t>
      </w:r>
      <w:r w:rsidR="00F82451">
        <w:rPr>
          <w:rFonts w:ascii="Times New Roman" w:eastAsia="Times New Roman" w:hAnsi="Times New Roman"/>
          <w:sz w:val="24"/>
          <w:szCs w:val="20"/>
          <w:lang w:eastAsia="es-ES"/>
        </w:rPr>
        <w:t>Bulimia (B) e insatisfacción corporal (I</w:t>
      </w:r>
      <w:r w:rsidR="00E358D7">
        <w:rPr>
          <w:rFonts w:ascii="Times New Roman" w:eastAsia="Times New Roman" w:hAnsi="Times New Roman"/>
          <w:sz w:val="24"/>
          <w:szCs w:val="20"/>
          <w:lang w:eastAsia="es-ES"/>
        </w:rPr>
        <w:t>C). A</w:t>
      </w:r>
      <w:r w:rsidRPr="009F4E6C">
        <w:rPr>
          <w:rFonts w:ascii="Times New Roman" w:eastAsia="Times New Roman" w:hAnsi="Times New Roman"/>
          <w:sz w:val="24"/>
          <w:szCs w:val="20"/>
          <w:lang w:eastAsia="es-ES"/>
        </w:rPr>
        <w:t>demás de registrar algu</w:t>
      </w:r>
      <w:r w:rsidR="00E358D7">
        <w:rPr>
          <w:rFonts w:ascii="Times New Roman" w:eastAsia="Times New Roman" w:hAnsi="Times New Roman"/>
          <w:sz w:val="24"/>
          <w:szCs w:val="20"/>
          <w:lang w:eastAsia="es-ES"/>
        </w:rPr>
        <w:t>nos indicadores antropométricos.</w:t>
      </w:r>
    </w:p>
    <w:p w:rsidR="00E358D7" w:rsidRDefault="00E358D7"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9F4E6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Destacan los siguientes</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resultados: las mujeres presentaron mayor obsesión por la delgadez e insatisfacción corporal</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que los varones; las conductas bulímicas estuvieron más presentes en estudiantes menores de</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20</w:t>
      </w:r>
      <w:r>
        <w:rPr>
          <w:rFonts w:ascii="Times New Roman" w:eastAsia="Times New Roman" w:hAnsi="Times New Roman"/>
          <w:sz w:val="24"/>
          <w:szCs w:val="20"/>
          <w:lang w:eastAsia="es-ES"/>
        </w:rPr>
        <w:t xml:space="preserve"> añ</w:t>
      </w:r>
      <w:r w:rsidRPr="009F4E6C">
        <w:rPr>
          <w:rFonts w:ascii="Times New Roman" w:eastAsia="Times New Roman" w:hAnsi="Times New Roman"/>
          <w:sz w:val="24"/>
          <w:szCs w:val="20"/>
          <w:lang w:eastAsia="es-ES"/>
        </w:rPr>
        <w:t>os; los varones recurren en mayor medida al ejercicio físico como forma de control del</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peso; 7.7% presentaron bajo peso y preocupación excesiva</w:t>
      </w:r>
      <w:r>
        <w:rPr>
          <w:rFonts w:ascii="Times New Roman" w:eastAsia="Times New Roman" w:hAnsi="Times New Roman"/>
          <w:sz w:val="24"/>
          <w:szCs w:val="20"/>
          <w:lang w:eastAsia="es-ES"/>
        </w:rPr>
        <w:t xml:space="preserve"> por la comida y el peso, condi</w:t>
      </w:r>
      <w:r w:rsidRPr="009F4E6C">
        <w:rPr>
          <w:rFonts w:ascii="Times New Roman" w:eastAsia="Times New Roman" w:hAnsi="Times New Roman"/>
          <w:sz w:val="24"/>
          <w:szCs w:val="20"/>
          <w:lang w:eastAsia="es-ES"/>
        </w:rPr>
        <w:t>ción que amerita remisión a atención especializada.</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F4E6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F4E6C" w:rsidRDefault="009F4E6C" w:rsidP="009F4E6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Pr="00F03B66" w:rsidRDefault="00F03B66" w:rsidP="00F03B66">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Es preocupante que </w:t>
      </w:r>
      <w:r w:rsidR="00241B10">
        <w:rPr>
          <w:rFonts w:ascii="Times New Roman" w:eastAsia="Times New Roman" w:hAnsi="Times New Roman"/>
          <w:sz w:val="24"/>
          <w:szCs w:val="20"/>
          <w:lang w:eastAsia="es-ES"/>
        </w:rPr>
        <w:t>los resultados</w:t>
      </w:r>
      <w:r>
        <w:rPr>
          <w:rFonts w:ascii="Times New Roman" w:eastAsia="Times New Roman" w:hAnsi="Times New Roman"/>
          <w:sz w:val="24"/>
          <w:szCs w:val="20"/>
          <w:lang w:eastAsia="es-ES"/>
        </w:rPr>
        <w:t xml:space="preserve"> hayan mostrado como resultado que los estudiantes </w:t>
      </w:r>
      <w:r w:rsidR="00241B10">
        <w:rPr>
          <w:rFonts w:ascii="Times New Roman" w:eastAsia="Times New Roman" w:hAnsi="Times New Roman"/>
          <w:sz w:val="24"/>
          <w:szCs w:val="20"/>
          <w:lang w:eastAsia="es-ES"/>
        </w:rPr>
        <w:t>recurran</w:t>
      </w:r>
      <w:r>
        <w:rPr>
          <w:rFonts w:ascii="Times New Roman" w:eastAsia="Times New Roman" w:hAnsi="Times New Roman"/>
          <w:sz w:val="24"/>
          <w:szCs w:val="20"/>
          <w:lang w:eastAsia="es-ES"/>
        </w:rPr>
        <w:t xml:space="preserve"> al vómito y uso de laxantes como una formar de controlar su peso. Por ello r</w:t>
      </w:r>
      <w:r w:rsidR="009F4E6C" w:rsidRPr="00F03B66">
        <w:rPr>
          <w:rFonts w:ascii="Times New Roman" w:eastAsia="Times New Roman" w:hAnsi="Times New Roman"/>
          <w:sz w:val="24"/>
          <w:szCs w:val="20"/>
          <w:lang w:eastAsia="es-ES"/>
        </w:rPr>
        <w:t xml:space="preserve">esulta </w:t>
      </w:r>
      <w:r>
        <w:rPr>
          <w:rFonts w:ascii="Times New Roman" w:eastAsia="Times New Roman" w:hAnsi="Times New Roman"/>
          <w:sz w:val="24"/>
          <w:szCs w:val="20"/>
          <w:lang w:eastAsia="es-ES"/>
        </w:rPr>
        <w:t>necesario</w:t>
      </w:r>
      <w:r w:rsidR="009F4E6C" w:rsidRPr="00F03B66">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redoblar</w:t>
      </w:r>
      <w:r w:rsidR="009F4E6C" w:rsidRPr="00F03B66">
        <w:rPr>
          <w:rFonts w:ascii="Times New Roman" w:eastAsia="Times New Roman" w:hAnsi="Times New Roman"/>
          <w:sz w:val="24"/>
          <w:szCs w:val="20"/>
          <w:lang w:eastAsia="es-ES"/>
        </w:rPr>
        <w:t xml:space="preserve"> los esfuerzos encaminados a la implementación de estrategias de prevención e intervención dirigidas específicamente a los estudiantes universitarios, a través del diseño de programas destinados a promover hábitos de alimentación saludables, mejorar la percepción de la imagen corporal y disminuir la preocupación obsesiva por la delgadez.</w:t>
      </w:r>
    </w:p>
    <w:p w:rsidR="00E6315C" w:rsidRDefault="00E6315C"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Pr="000C5B08" w:rsidRDefault="000C5B08" w:rsidP="000C5B08">
      <w:pPr>
        <w:pStyle w:val="Prrafodelista"/>
        <w:numPr>
          <w:ilvl w:val="0"/>
          <w:numId w:val="22"/>
        </w:num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Pr="000C5B08" w:rsidRDefault="000C5B08" w:rsidP="000C5B08">
      <w:pPr>
        <w:autoSpaceDE w:val="0"/>
        <w:autoSpaceDN w:val="0"/>
        <w:adjustRightInd w:val="0"/>
        <w:spacing w:after="0" w:line="240" w:lineRule="auto"/>
        <w:jc w:val="both"/>
        <w:rPr>
          <w:rFonts w:ascii="Times New Roman" w:eastAsia="Times New Roman" w:hAnsi="Times New Roman"/>
          <w:sz w:val="24"/>
          <w:szCs w:val="20"/>
          <w:lang w:eastAsia="es-ES"/>
        </w:rPr>
      </w:pPr>
    </w:p>
    <w:p w:rsidR="000C5B08" w:rsidRDefault="000C5B08" w:rsidP="00E6315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5054DB" w:rsidRDefault="005054DB">
      <w:pPr>
        <w:spacing w:after="0" w:line="240" w:lineRule="auto"/>
        <w:jc w:val="left"/>
        <w:rPr>
          <w:rFonts w:ascii="Times New Roman" w:eastAsia="Times New Roman" w:hAnsi="Times New Roman"/>
          <w:sz w:val="24"/>
          <w:szCs w:val="20"/>
          <w:lang w:eastAsia="es-ES"/>
        </w:rPr>
      </w:pPr>
      <w:r>
        <w:rPr>
          <w:rFonts w:ascii="Times New Roman" w:eastAsia="Times New Roman" w:hAnsi="Times New Roman"/>
          <w:sz w:val="24"/>
          <w:szCs w:val="20"/>
          <w:lang w:eastAsia="es-ES"/>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53373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Content>
            <w:p w:rsidR="00EB6BF3" w:rsidRDefault="00253AEC" w:rsidP="00EB6BF3">
              <w:pPr>
                <w:pStyle w:val="Bibliografa"/>
                <w:ind w:left="720" w:hanging="720"/>
                <w:rPr>
                  <w:noProof/>
                  <w:sz w:val="24"/>
                  <w:szCs w:val="24"/>
                  <w:lang w:val="es-ES"/>
                </w:rPr>
              </w:pPr>
              <w:r>
                <w:fldChar w:fldCharType="begin"/>
              </w:r>
              <w:r>
                <w:instrText>BIBLIOGRAPHY</w:instrText>
              </w:r>
              <w:r>
                <w:fldChar w:fldCharType="separate"/>
              </w:r>
              <w:r w:rsidR="00EB6BF3">
                <w:rPr>
                  <w:noProof/>
                  <w:lang w:val="es-ES"/>
                </w:rPr>
                <w:t xml:space="preserve">Alejaldre Biel, L., &amp; García Jímenez, A. M. (2015). Gamificar: E uso de los elementos del juegos en la enseñanza de español. </w:t>
              </w:r>
              <w:r w:rsidR="00EB6BF3">
                <w:rPr>
                  <w:i/>
                  <w:iCs/>
                  <w:noProof/>
                  <w:lang w:val="es-ES"/>
                </w:rPr>
                <w:t>L Congreso. La culturan hispánica: de sus orígenes al siglo XXI</w:t>
              </w:r>
              <w:r w:rsidR="00EB6BF3">
                <w:rPr>
                  <w:noProof/>
                  <w:lang w:val="es-ES"/>
                </w:rPr>
                <w:t>, (págs. 73-83). Burgos.</w:t>
              </w:r>
            </w:p>
            <w:p w:rsidR="00EB6BF3" w:rsidRDefault="00EB6BF3" w:rsidP="00EB6BF3">
              <w:pPr>
                <w:pStyle w:val="Bibliografa"/>
                <w:ind w:left="720" w:hanging="720"/>
                <w:rPr>
                  <w:noProof/>
                  <w:lang w:val="es-ES"/>
                </w:rPr>
              </w:pPr>
              <w:r>
                <w:rPr>
                  <w:noProof/>
                  <w:lang w:val="es-ES"/>
                </w:rPr>
                <w:t xml:space="preserve">Aliño Santiago, M., López Esquirol, J., &amp; Navarro Fernández, R. (2006). Adolescencia. Aspectos generales y atención a la salud. </w:t>
              </w:r>
              <w:r>
                <w:rPr>
                  <w:i/>
                  <w:iCs/>
                  <w:noProof/>
                  <w:lang w:val="es-ES"/>
                </w:rPr>
                <w:t>Revista Cubana de Medicina General Integral</w:t>
              </w:r>
              <w:r>
                <w:rPr>
                  <w:noProof/>
                  <w:lang w:val="es-ES"/>
                </w:rPr>
                <w:t>.</w:t>
              </w:r>
            </w:p>
            <w:p w:rsidR="00EB6BF3" w:rsidRDefault="00EB6BF3" w:rsidP="00EB6BF3">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EB6BF3" w:rsidRDefault="00EB6BF3" w:rsidP="00EB6BF3">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EB6BF3" w:rsidRDefault="00EB6BF3" w:rsidP="00EB6BF3">
              <w:pPr>
                <w:pStyle w:val="Bibliografa"/>
                <w:ind w:left="720" w:hanging="720"/>
                <w:rPr>
                  <w:noProof/>
                  <w:lang w:val="es-ES"/>
                </w:rPr>
              </w:pPr>
              <w:r>
                <w:rPr>
                  <w:noProof/>
                  <w:lang w:val="es-ES"/>
                </w:rPr>
                <w:t xml:space="preserve">Camino Escolar-Llamazares, M., Martínez Martín, M. Á., González Alonso, M. Y., Medina, G. M., Mercado, V. E., &amp; Lara Ortega, F. (2017). Factores de riesgo de trastornos de la conducta alimentaria entre universitarios: Estimación de vulnerabilidad por sexo y edad. </w:t>
              </w:r>
              <w:r>
                <w:rPr>
                  <w:i/>
                  <w:iCs/>
                  <w:noProof/>
                  <w:lang w:val="es-ES"/>
                </w:rPr>
                <w:t>Revista Mexicana de Trastornos Alimentarios</w:t>
              </w:r>
              <w:r>
                <w:rPr>
                  <w:noProof/>
                  <w:lang w:val="es-ES"/>
                </w:rPr>
                <w:t>, 105-112.</w:t>
              </w:r>
            </w:p>
            <w:p w:rsidR="00EB6BF3" w:rsidRDefault="00EB6BF3" w:rsidP="00EB6BF3">
              <w:pPr>
                <w:pStyle w:val="Bibliografa"/>
                <w:ind w:left="720" w:hanging="720"/>
                <w:rPr>
                  <w:noProof/>
                  <w:lang w:val="es-ES"/>
                </w:rPr>
              </w:pPr>
              <w:r>
                <w:rPr>
                  <w:noProof/>
                  <w:lang w:val="es-ES"/>
                </w:rPr>
                <w:t xml:space="preserve">Constain, G. A., Rodríguez-Gázquez, M., Ramírez Jímenez, G. A., Gómez Vásquez, G. M., Mejía Cardona, L., &amp; Cardona Vélez, J. (2016). Validez y utilidad diagnóstica de la escala Eating Attitudes Test-26 para la evaluación del riesgo de trastornos de la conducta alimentaria en población masculina de Medellín, Colombia. </w:t>
              </w:r>
              <w:r>
                <w:rPr>
                  <w:i/>
                  <w:iCs/>
                  <w:noProof/>
                  <w:lang w:val="es-ES"/>
                </w:rPr>
                <w:t>Atención Primaria</w:t>
              </w:r>
              <w:r>
                <w:rPr>
                  <w:noProof/>
                  <w:lang w:val="es-ES"/>
                </w:rPr>
                <w:t>, 206-213.</w:t>
              </w:r>
            </w:p>
            <w:p w:rsidR="00EB6BF3" w:rsidRDefault="00EB6BF3" w:rsidP="00EB6BF3">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EB6BF3" w:rsidRDefault="00EB6BF3" w:rsidP="00EB6BF3">
              <w:pPr>
                <w:pStyle w:val="Bibliografa"/>
                <w:ind w:left="720" w:hanging="720"/>
                <w:rPr>
                  <w:noProof/>
                  <w:lang w:val="es-ES"/>
                </w:rPr>
              </w:pPr>
              <w:r>
                <w:rPr>
                  <w:noProof/>
                  <w:lang w:val="es-ES"/>
                </w:rPr>
                <w:t xml:space="preserve">García-Campayo, J., Cebolla, A., &amp; Baños, R. (2014). Atención de conducta alimentaria y atención primaria: el desafío de las nuevas tecnologías. </w:t>
              </w:r>
              <w:r>
                <w:rPr>
                  <w:i/>
                  <w:iCs/>
                  <w:noProof/>
                  <w:lang w:val="es-ES"/>
                </w:rPr>
                <w:t>Atención Primaria</w:t>
              </w:r>
              <w:r>
                <w:rPr>
                  <w:noProof/>
                  <w:lang w:val="es-ES"/>
                </w:rPr>
                <w:t>, 229-230.</w:t>
              </w:r>
            </w:p>
            <w:p w:rsidR="00EB6BF3" w:rsidRDefault="00EB6BF3" w:rsidP="00EB6BF3">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EB6BF3" w:rsidRPr="00EB6BF3" w:rsidRDefault="00EB6BF3" w:rsidP="00EB6BF3">
              <w:pPr>
                <w:pStyle w:val="Bibliografa"/>
                <w:ind w:left="720" w:hanging="720"/>
                <w:rPr>
                  <w:noProof/>
                  <w:lang w:val="en-US"/>
                </w:rPr>
              </w:pPr>
              <w:r>
                <w:rPr>
                  <w:noProof/>
                  <w:lang w:val="es-ES"/>
                </w:rPr>
                <w:t xml:space="preserve">Grande, M., Cañon, R., &amp; Cantón, I. (2016). Tecnologías de la información y la comunicación: Evolución del concepto y características. </w:t>
              </w:r>
              <w:r w:rsidRPr="00EB6BF3">
                <w:rPr>
                  <w:i/>
                  <w:iCs/>
                  <w:noProof/>
                  <w:lang w:val="en-US"/>
                </w:rPr>
                <w:t>International Journal of Educational Research an Innovation</w:t>
              </w:r>
              <w:r w:rsidRPr="00EB6BF3">
                <w:rPr>
                  <w:noProof/>
                  <w:lang w:val="en-US"/>
                </w:rPr>
                <w:t>, 2018-230.</w:t>
              </w:r>
            </w:p>
            <w:p w:rsidR="00EB6BF3" w:rsidRDefault="00EB6BF3" w:rsidP="00EB6BF3">
              <w:pPr>
                <w:pStyle w:val="Bibliografa"/>
                <w:ind w:left="720" w:hanging="720"/>
                <w:rPr>
                  <w:noProof/>
                  <w:lang w:val="es-ES"/>
                </w:rPr>
              </w:pPr>
              <w:r w:rsidRPr="00EB6BF3">
                <w:rPr>
                  <w:noProof/>
                  <w:lang w:val="en-US"/>
                </w:rPr>
                <w:t xml:space="preserve">Iñarritu Pérez, M., Cruz Licea, V., &amp; Morán Álvarez, I. (2004). </w:t>
              </w:r>
              <w:r>
                <w:rPr>
                  <w:noProof/>
                  <w:lang w:val="es-ES"/>
                </w:rPr>
                <w:t xml:space="preserve">Instrumentos de Evaluación para los Trastornos de la Conducta Alimentaria. </w:t>
              </w:r>
              <w:r>
                <w:rPr>
                  <w:i/>
                  <w:iCs/>
                  <w:noProof/>
                  <w:lang w:val="es-ES"/>
                </w:rPr>
                <w:t>Revista de Salud Pública y Nutrición, 5</w:t>
              </w:r>
              <w:r>
                <w:rPr>
                  <w:noProof/>
                  <w:lang w:val="es-ES"/>
                </w:rPr>
                <w:t>(2).</w:t>
              </w:r>
            </w:p>
            <w:p w:rsidR="00EB6BF3" w:rsidRDefault="00EB6BF3" w:rsidP="00EB6BF3">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w:t>
              </w:r>
              <w:r>
                <w:rPr>
                  <w:noProof/>
                  <w:lang w:val="es-ES"/>
                </w:rPr>
                <w:lastRenderedPageBreak/>
                <w:t>escolares-y-colegiales-ticos-estan-descontentos-con-su-cuerpo/LJUSAF5SHJANFMZAETSZU4AL2I/story/</w:t>
              </w:r>
            </w:p>
            <w:p w:rsidR="00EB6BF3" w:rsidRDefault="00EB6BF3" w:rsidP="00EB6BF3">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EB6BF3" w:rsidRDefault="00EB6BF3" w:rsidP="00EB6BF3">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EB6BF3" w:rsidRDefault="00EB6BF3" w:rsidP="00EB6BF3">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EB6BF3" w:rsidRDefault="00EB6BF3" w:rsidP="00EB6BF3">
              <w:pPr>
                <w:pStyle w:val="Bibliografa"/>
                <w:ind w:left="720" w:hanging="720"/>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EB6BF3" w:rsidRDefault="00EB6BF3" w:rsidP="00EB6BF3">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EB6BF3" w:rsidRDefault="00EB6BF3" w:rsidP="00EB6BF3">
              <w:pPr>
                <w:pStyle w:val="Bibliografa"/>
                <w:ind w:left="720" w:hanging="720"/>
                <w:rPr>
                  <w:noProof/>
                  <w:lang w:val="es-ES"/>
                </w:rPr>
              </w:pPr>
              <w:r>
                <w:rPr>
                  <w:noProof/>
                  <w:lang w:val="es-ES"/>
                </w:rPr>
                <w:t xml:space="preserve">Pastor Sanchez, J. (2013). </w:t>
              </w:r>
              <w:r>
                <w:rPr>
                  <w:i/>
                  <w:iCs/>
                  <w:noProof/>
                  <w:lang w:val="es-ES"/>
                </w:rPr>
                <w:t>Tecnologías de la Web Semántica.</w:t>
              </w:r>
              <w:r>
                <w:rPr>
                  <w:noProof/>
                  <w:lang w:val="es-ES"/>
                </w:rPr>
                <w:t xml:space="preserve"> UOC.</w:t>
              </w:r>
            </w:p>
            <w:p w:rsidR="00EB6BF3" w:rsidRDefault="00EB6BF3" w:rsidP="00EB6BF3">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EB6BF3" w:rsidRDefault="00EB6BF3" w:rsidP="00EB6BF3">
              <w:pPr>
                <w:pStyle w:val="Bibliografa"/>
                <w:ind w:left="720" w:hanging="720"/>
                <w:rPr>
                  <w:noProof/>
                  <w:lang w:val="es-ES"/>
                </w:rPr>
              </w:pPr>
              <w:r>
                <w:rPr>
                  <w:noProof/>
                  <w:lang w:val="es-ES"/>
                </w:rPr>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EB6BF3" w:rsidRDefault="00EB6BF3" w:rsidP="00EB6BF3">
              <w:pPr>
                <w:pStyle w:val="Bibliografa"/>
                <w:ind w:left="720" w:hanging="720"/>
                <w:rPr>
                  <w:noProof/>
                  <w:lang w:val="es-ES"/>
                </w:rPr>
              </w:pPr>
              <w:r>
                <w:rPr>
                  <w:noProof/>
                  <w:lang w:val="es-ES"/>
                </w:rPr>
                <w:t xml:space="preserve">Rutsztein, G., Scappatura, M., &amp; Murawski, B. (2014). Perfeccionismo y baja autoestima en el continuo de los trastornos alimentarios en las adolescentes de Buenos Aires. </w:t>
              </w:r>
              <w:r>
                <w:rPr>
                  <w:i/>
                  <w:iCs/>
                  <w:noProof/>
                  <w:lang w:val="es-ES"/>
                </w:rPr>
                <w:t>Revista Mexicana de Trastornos Alimentarios</w:t>
              </w:r>
              <w:r>
                <w:rPr>
                  <w:noProof/>
                  <w:lang w:val="es-ES"/>
                </w:rPr>
                <w:t>, 39-49.</w:t>
              </w:r>
            </w:p>
            <w:p w:rsidR="00EB6BF3" w:rsidRDefault="00EB6BF3" w:rsidP="00EB6BF3">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EB6BF3" w:rsidRDefault="00EB6BF3" w:rsidP="00EB6BF3">
              <w:pPr>
                <w:pStyle w:val="Bibliografa"/>
                <w:ind w:left="720" w:hanging="720"/>
                <w:rPr>
                  <w:noProof/>
                  <w:lang w:val="es-ES"/>
                </w:rPr>
              </w:pPr>
              <w:r>
                <w:rPr>
                  <w:noProof/>
                  <w:lang w:val="es-ES"/>
                </w:rPr>
                <w:t xml:space="preserve">Silva, C., Millán Díaz, B. A., &amp; González Alcántara, K. E. (2017). Rol de género y actitudes alimentarias en adolescentes de dos diferentes contextos socioculturales: Tradicional vs. No Tradicional. </w:t>
              </w:r>
              <w:r>
                <w:rPr>
                  <w:i/>
                  <w:iCs/>
                  <w:noProof/>
                  <w:lang w:val="es-ES"/>
                </w:rPr>
                <w:t>Revista Mexicana de Trastornos Alimentarios</w:t>
              </w:r>
              <w:r>
                <w:rPr>
                  <w:noProof/>
                  <w:lang w:val="es-ES"/>
                </w:rPr>
                <w:t>, 40-48.</w:t>
              </w:r>
            </w:p>
            <w:p w:rsidR="00EB6BF3" w:rsidRDefault="00EB6BF3" w:rsidP="00EB6BF3">
              <w:pPr>
                <w:pStyle w:val="Bibliografa"/>
                <w:ind w:left="720" w:hanging="720"/>
                <w:rPr>
                  <w:noProof/>
                  <w:lang w:val="es-ES"/>
                </w:rPr>
              </w:pPr>
              <w:r>
                <w:rPr>
                  <w:noProof/>
                  <w:lang w:val="es-ES"/>
                </w:rPr>
                <w:t xml:space="preserve">Silva, C., Millán Díaz, B., &amp; Gonzáles Alcántara, K. (2017). Rol de género y actitudes alimentarias en adolescentes de dos diferentes contextos socioculturales: Tradicional vs. No Tradicional. </w:t>
              </w:r>
              <w:r>
                <w:rPr>
                  <w:i/>
                  <w:iCs/>
                  <w:noProof/>
                  <w:lang w:val="es-ES"/>
                </w:rPr>
                <w:t>Revista Mexicana de Trastornos Alimentarios</w:t>
              </w:r>
              <w:r>
                <w:rPr>
                  <w:noProof/>
                  <w:lang w:val="es-ES"/>
                </w:rPr>
                <w:t>, 40-48.</w:t>
              </w:r>
            </w:p>
            <w:p w:rsidR="00EB6BF3" w:rsidRPr="00EB6BF3" w:rsidRDefault="00EB6BF3" w:rsidP="00EB6BF3">
              <w:pPr>
                <w:pStyle w:val="Bibliografa"/>
                <w:ind w:left="720" w:hanging="720"/>
                <w:rPr>
                  <w:noProof/>
                  <w:lang w:val="en-US"/>
                </w:rPr>
              </w:pPr>
              <w:r>
                <w:rPr>
                  <w:noProof/>
                  <w:lang w:val="es-ES"/>
                </w:rPr>
                <w:t xml:space="preserve">UNICEF. (2011). </w:t>
              </w:r>
              <w:r>
                <w:rPr>
                  <w:i/>
                  <w:iCs/>
                  <w:noProof/>
                  <w:lang w:val="es-ES"/>
                </w:rPr>
                <w:t>La adolescencia. Una época de oportunidades.</w:t>
              </w:r>
              <w:r>
                <w:rPr>
                  <w:noProof/>
                  <w:lang w:val="es-ES"/>
                </w:rPr>
                <w:t xml:space="preserve"> </w:t>
              </w:r>
              <w:r w:rsidRPr="00EB6BF3">
                <w:rPr>
                  <w:noProof/>
                  <w:lang w:val="en-US"/>
                </w:rPr>
                <w:t>Hatteras Press .</w:t>
              </w:r>
            </w:p>
            <w:p w:rsidR="00EB6BF3" w:rsidRDefault="00EB6BF3" w:rsidP="00EB6BF3">
              <w:pPr>
                <w:pStyle w:val="Bibliografa"/>
                <w:ind w:left="720" w:hanging="720"/>
                <w:rPr>
                  <w:noProof/>
                  <w:lang w:val="es-ES"/>
                </w:rPr>
              </w:pPr>
              <w:r w:rsidRPr="00EB6BF3">
                <w:rPr>
                  <w:noProof/>
                  <w:lang w:val="en-US"/>
                </w:rPr>
                <w:t xml:space="preserve">Vargas Baldares, M. J. (2013). </w:t>
              </w:r>
              <w:r>
                <w:rPr>
                  <w:noProof/>
                  <w:lang w:val="es-ES"/>
                </w:rPr>
                <w:t xml:space="preserve">Trastornos de la conducta alimentaria. </w:t>
              </w:r>
              <w:r>
                <w:rPr>
                  <w:i/>
                  <w:iCs/>
                  <w:noProof/>
                  <w:lang w:val="es-ES"/>
                </w:rPr>
                <w:t>Revista Médica de Costa Rica y Centroamérica LXX</w:t>
              </w:r>
              <w:r>
                <w:rPr>
                  <w:noProof/>
                  <w:lang w:val="es-ES"/>
                </w:rPr>
                <w:t>, 475-482.</w:t>
              </w:r>
            </w:p>
            <w:p w:rsidR="00253AEC" w:rsidRDefault="00253AEC" w:rsidP="00EB6BF3">
              <w:pPr>
                <w:jc w:val="left"/>
              </w:pPr>
              <w:r>
                <w:rPr>
                  <w:b/>
                  <w:bCs/>
                </w:rPr>
                <w:lastRenderedPageBreak/>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3A29F0" w:rsidRDefault="003A29F0">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A61764" w:rsidP="005F0473">
      <w:pPr>
        <w:jc w:val="both"/>
      </w:pPr>
      <w:hyperlink r:id="rId21"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A61764" w:rsidP="005F0473">
      <w:pPr>
        <w:jc w:val="both"/>
      </w:pPr>
      <w:hyperlink r:id="rId22" w:history="1">
        <w:r w:rsidR="00E3466F" w:rsidRPr="00DD1ED9">
          <w:rPr>
            <w:rStyle w:val="Hipervnculo"/>
          </w:rPr>
          <w:t>https://peru21.pe/lima/preocupante-hay-500-casos-bulimia-anorexia-peru-179481</w:t>
        </w:r>
      </w:hyperlink>
      <w:r w:rsidR="00E3466F">
        <w:t xml:space="preserve"> (antecedentes)</w:t>
      </w:r>
    </w:p>
    <w:p w:rsidR="003D5B44" w:rsidRDefault="00A61764" w:rsidP="005F0473">
      <w:pPr>
        <w:jc w:val="both"/>
      </w:pPr>
      <w:hyperlink r:id="rId23" w:history="1">
        <w:r w:rsidR="003D5B44" w:rsidRPr="00C15009">
          <w:rPr>
            <w:rStyle w:val="Hipervnculo"/>
          </w:rPr>
          <w:t>https://vinv.ucr.ac.cr/es/noticias/estudio-revela-riesgo-de-anorexia-nerviosa-en-adolescentes-ticas</w:t>
        </w:r>
      </w:hyperlink>
      <w:r w:rsidR="003D5B44">
        <w:t xml:space="preserve"> (antecedentes) </w:t>
      </w:r>
    </w:p>
    <w:p w:rsidR="00BC66C1" w:rsidRDefault="00A61764" w:rsidP="005F0473">
      <w:pPr>
        <w:jc w:val="both"/>
      </w:pPr>
      <w:hyperlink r:id="rId24"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A61764" w:rsidP="002D752D">
      <w:pPr>
        <w:jc w:val="both"/>
      </w:pPr>
      <w:hyperlink r:id="rId25"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A61764" w:rsidP="002D752D">
      <w:pPr>
        <w:jc w:val="both"/>
      </w:pPr>
      <w:hyperlink r:id="rId26"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F36" w:rsidRDefault="00D97F36" w:rsidP="00E3466F">
      <w:pPr>
        <w:spacing w:after="0" w:line="240" w:lineRule="auto"/>
      </w:pPr>
      <w:r>
        <w:separator/>
      </w:r>
    </w:p>
  </w:endnote>
  <w:endnote w:type="continuationSeparator" w:id="0">
    <w:p w:rsidR="00D97F36" w:rsidRDefault="00D97F36"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F36" w:rsidRDefault="00D97F36" w:rsidP="00E3466F">
      <w:pPr>
        <w:spacing w:after="0" w:line="240" w:lineRule="auto"/>
      </w:pPr>
      <w:r>
        <w:separator/>
      </w:r>
    </w:p>
  </w:footnote>
  <w:footnote w:type="continuationSeparator" w:id="0">
    <w:p w:rsidR="00D97F36" w:rsidRDefault="00D97F36"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2EBE7E55"/>
    <w:multiLevelType w:val="hybridMultilevel"/>
    <w:tmpl w:val="77A6B3B8"/>
    <w:lvl w:ilvl="0" w:tplc="207A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4" w15:restartNumberingAfterBreak="0">
    <w:nsid w:val="415D4485"/>
    <w:multiLevelType w:val="hybridMultilevel"/>
    <w:tmpl w:val="D39EE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6"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7"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6922081A"/>
    <w:multiLevelType w:val="hybridMultilevel"/>
    <w:tmpl w:val="06123D88"/>
    <w:lvl w:ilvl="0" w:tplc="B7920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2" w15:restartNumberingAfterBreak="0">
    <w:nsid w:val="7C884DA0"/>
    <w:multiLevelType w:val="hybridMultilevel"/>
    <w:tmpl w:val="D9426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F47A4"/>
    <w:multiLevelType w:val="hybridMultilevel"/>
    <w:tmpl w:val="F604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24"/>
  </w:num>
  <w:num w:numId="3">
    <w:abstractNumId w:val="19"/>
  </w:num>
  <w:num w:numId="4">
    <w:abstractNumId w:val="3"/>
  </w:num>
  <w:num w:numId="5">
    <w:abstractNumId w:val="7"/>
  </w:num>
  <w:num w:numId="6">
    <w:abstractNumId w:val="5"/>
  </w:num>
  <w:num w:numId="7">
    <w:abstractNumId w:val="8"/>
  </w:num>
  <w:num w:numId="8">
    <w:abstractNumId w:val="18"/>
  </w:num>
  <w:num w:numId="9">
    <w:abstractNumId w:val="9"/>
  </w:num>
  <w:num w:numId="10">
    <w:abstractNumId w:val="15"/>
  </w:num>
  <w:num w:numId="11">
    <w:abstractNumId w:val="1"/>
  </w:num>
  <w:num w:numId="12">
    <w:abstractNumId w:val="13"/>
  </w:num>
  <w:num w:numId="13">
    <w:abstractNumId w:val="21"/>
  </w:num>
  <w:num w:numId="14">
    <w:abstractNumId w:val="6"/>
  </w:num>
  <w:num w:numId="15">
    <w:abstractNumId w:val="17"/>
  </w:num>
  <w:num w:numId="16">
    <w:abstractNumId w:val="11"/>
  </w:num>
  <w:num w:numId="17">
    <w:abstractNumId w:val="12"/>
  </w:num>
  <w:num w:numId="18">
    <w:abstractNumId w:val="4"/>
  </w:num>
  <w:num w:numId="19">
    <w:abstractNumId w:val="16"/>
  </w:num>
  <w:num w:numId="20">
    <w:abstractNumId w:val="2"/>
  </w:num>
  <w:num w:numId="21">
    <w:abstractNumId w:val="23"/>
  </w:num>
  <w:num w:numId="22">
    <w:abstractNumId w:val="10"/>
  </w:num>
  <w:num w:numId="23">
    <w:abstractNumId w:val="22"/>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47089"/>
    <w:rsid w:val="0005159B"/>
    <w:rsid w:val="00052AE6"/>
    <w:rsid w:val="000570B9"/>
    <w:rsid w:val="00060366"/>
    <w:rsid w:val="00062F26"/>
    <w:rsid w:val="00064E86"/>
    <w:rsid w:val="00065198"/>
    <w:rsid w:val="00066460"/>
    <w:rsid w:val="00070563"/>
    <w:rsid w:val="0007139A"/>
    <w:rsid w:val="000763E0"/>
    <w:rsid w:val="000838F0"/>
    <w:rsid w:val="00084D0C"/>
    <w:rsid w:val="0008563B"/>
    <w:rsid w:val="00091C6C"/>
    <w:rsid w:val="00093390"/>
    <w:rsid w:val="000939C9"/>
    <w:rsid w:val="00095025"/>
    <w:rsid w:val="000A4DF9"/>
    <w:rsid w:val="000A78E3"/>
    <w:rsid w:val="000B30BD"/>
    <w:rsid w:val="000B7916"/>
    <w:rsid w:val="000C18B8"/>
    <w:rsid w:val="000C1A71"/>
    <w:rsid w:val="000C1F27"/>
    <w:rsid w:val="000C2377"/>
    <w:rsid w:val="000C34B6"/>
    <w:rsid w:val="000C5B08"/>
    <w:rsid w:val="000C77ED"/>
    <w:rsid w:val="000D0DB2"/>
    <w:rsid w:val="000D4E24"/>
    <w:rsid w:val="000D75BF"/>
    <w:rsid w:val="000E0C1B"/>
    <w:rsid w:val="000E0CA3"/>
    <w:rsid w:val="000E3F15"/>
    <w:rsid w:val="000E4D7A"/>
    <w:rsid w:val="000E5B24"/>
    <w:rsid w:val="000F0132"/>
    <w:rsid w:val="000F36FA"/>
    <w:rsid w:val="00102D8E"/>
    <w:rsid w:val="00103057"/>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4E1"/>
    <w:rsid w:val="00162F58"/>
    <w:rsid w:val="00164597"/>
    <w:rsid w:val="001667A6"/>
    <w:rsid w:val="00167BDD"/>
    <w:rsid w:val="001827D8"/>
    <w:rsid w:val="001850FD"/>
    <w:rsid w:val="00185269"/>
    <w:rsid w:val="001879C7"/>
    <w:rsid w:val="00187AAC"/>
    <w:rsid w:val="001A1D5D"/>
    <w:rsid w:val="001A2911"/>
    <w:rsid w:val="001A4055"/>
    <w:rsid w:val="001A779C"/>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B10"/>
    <w:rsid w:val="00241C83"/>
    <w:rsid w:val="00246FC9"/>
    <w:rsid w:val="0024717F"/>
    <w:rsid w:val="00247D21"/>
    <w:rsid w:val="002502BB"/>
    <w:rsid w:val="0025303D"/>
    <w:rsid w:val="00253AEC"/>
    <w:rsid w:val="002609F5"/>
    <w:rsid w:val="00260E68"/>
    <w:rsid w:val="00261B53"/>
    <w:rsid w:val="00262715"/>
    <w:rsid w:val="002744C1"/>
    <w:rsid w:val="0027713B"/>
    <w:rsid w:val="0028036F"/>
    <w:rsid w:val="00285321"/>
    <w:rsid w:val="0028570F"/>
    <w:rsid w:val="0029258E"/>
    <w:rsid w:val="002A1D1F"/>
    <w:rsid w:val="002A404D"/>
    <w:rsid w:val="002B2134"/>
    <w:rsid w:val="002C068D"/>
    <w:rsid w:val="002C1F5A"/>
    <w:rsid w:val="002C6B27"/>
    <w:rsid w:val="002C7405"/>
    <w:rsid w:val="002D077E"/>
    <w:rsid w:val="002D752D"/>
    <w:rsid w:val="002F0523"/>
    <w:rsid w:val="002F27AF"/>
    <w:rsid w:val="002F37DE"/>
    <w:rsid w:val="002F5292"/>
    <w:rsid w:val="002F5AD2"/>
    <w:rsid w:val="002F624A"/>
    <w:rsid w:val="002F7C4F"/>
    <w:rsid w:val="00302970"/>
    <w:rsid w:val="00303DC7"/>
    <w:rsid w:val="00304169"/>
    <w:rsid w:val="003057FA"/>
    <w:rsid w:val="00306C2A"/>
    <w:rsid w:val="0031057D"/>
    <w:rsid w:val="00314907"/>
    <w:rsid w:val="00317740"/>
    <w:rsid w:val="0033148B"/>
    <w:rsid w:val="0033151F"/>
    <w:rsid w:val="003324D8"/>
    <w:rsid w:val="00332EC3"/>
    <w:rsid w:val="00333F06"/>
    <w:rsid w:val="003348D9"/>
    <w:rsid w:val="00335056"/>
    <w:rsid w:val="00336B1E"/>
    <w:rsid w:val="003370B2"/>
    <w:rsid w:val="003370EA"/>
    <w:rsid w:val="00337E0B"/>
    <w:rsid w:val="00341CBB"/>
    <w:rsid w:val="00341EA6"/>
    <w:rsid w:val="0034370D"/>
    <w:rsid w:val="00351557"/>
    <w:rsid w:val="00354233"/>
    <w:rsid w:val="003544C4"/>
    <w:rsid w:val="00354B7B"/>
    <w:rsid w:val="00355C83"/>
    <w:rsid w:val="00360053"/>
    <w:rsid w:val="00363269"/>
    <w:rsid w:val="00363A8E"/>
    <w:rsid w:val="003668DD"/>
    <w:rsid w:val="00367CF2"/>
    <w:rsid w:val="00370B9D"/>
    <w:rsid w:val="00371635"/>
    <w:rsid w:val="0037411C"/>
    <w:rsid w:val="0037554A"/>
    <w:rsid w:val="00376342"/>
    <w:rsid w:val="00383770"/>
    <w:rsid w:val="003849EA"/>
    <w:rsid w:val="0039449B"/>
    <w:rsid w:val="00397A19"/>
    <w:rsid w:val="00397EB8"/>
    <w:rsid w:val="003A1900"/>
    <w:rsid w:val="003A265A"/>
    <w:rsid w:val="003A29F0"/>
    <w:rsid w:val="003A5DF9"/>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E3425"/>
    <w:rsid w:val="003F6E2C"/>
    <w:rsid w:val="004040FB"/>
    <w:rsid w:val="00404C04"/>
    <w:rsid w:val="004056FA"/>
    <w:rsid w:val="00406D10"/>
    <w:rsid w:val="00412667"/>
    <w:rsid w:val="00413719"/>
    <w:rsid w:val="00417DBF"/>
    <w:rsid w:val="00423F56"/>
    <w:rsid w:val="00432D73"/>
    <w:rsid w:val="00464B4A"/>
    <w:rsid w:val="00466DFB"/>
    <w:rsid w:val="004712B7"/>
    <w:rsid w:val="00471B10"/>
    <w:rsid w:val="00471CAF"/>
    <w:rsid w:val="00472269"/>
    <w:rsid w:val="00472E2F"/>
    <w:rsid w:val="00474B1F"/>
    <w:rsid w:val="00476452"/>
    <w:rsid w:val="004837F0"/>
    <w:rsid w:val="0048385E"/>
    <w:rsid w:val="00483A58"/>
    <w:rsid w:val="004843C2"/>
    <w:rsid w:val="00486B5A"/>
    <w:rsid w:val="0049284E"/>
    <w:rsid w:val="00496D64"/>
    <w:rsid w:val="00497544"/>
    <w:rsid w:val="00497581"/>
    <w:rsid w:val="004A0630"/>
    <w:rsid w:val="004A2E45"/>
    <w:rsid w:val="004A340C"/>
    <w:rsid w:val="004A43B8"/>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635"/>
    <w:rsid w:val="004F1BA9"/>
    <w:rsid w:val="004F2FB3"/>
    <w:rsid w:val="004F41C0"/>
    <w:rsid w:val="004F5653"/>
    <w:rsid w:val="00500107"/>
    <w:rsid w:val="005002EC"/>
    <w:rsid w:val="005016A2"/>
    <w:rsid w:val="00501F68"/>
    <w:rsid w:val="0050548E"/>
    <w:rsid w:val="005054DB"/>
    <w:rsid w:val="005117B1"/>
    <w:rsid w:val="00511CDA"/>
    <w:rsid w:val="00512B4B"/>
    <w:rsid w:val="00513A4B"/>
    <w:rsid w:val="00515337"/>
    <w:rsid w:val="005158EC"/>
    <w:rsid w:val="00515E6A"/>
    <w:rsid w:val="00521D35"/>
    <w:rsid w:val="00521D5F"/>
    <w:rsid w:val="00523F7E"/>
    <w:rsid w:val="00525658"/>
    <w:rsid w:val="0053373E"/>
    <w:rsid w:val="005341FD"/>
    <w:rsid w:val="00537720"/>
    <w:rsid w:val="00541B90"/>
    <w:rsid w:val="00541CBE"/>
    <w:rsid w:val="005475AD"/>
    <w:rsid w:val="00550E2B"/>
    <w:rsid w:val="00554CFC"/>
    <w:rsid w:val="005567B6"/>
    <w:rsid w:val="00561C29"/>
    <w:rsid w:val="00561F43"/>
    <w:rsid w:val="00562489"/>
    <w:rsid w:val="005668E4"/>
    <w:rsid w:val="005702B7"/>
    <w:rsid w:val="00575070"/>
    <w:rsid w:val="0057607C"/>
    <w:rsid w:val="005760EC"/>
    <w:rsid w:val="00577313"/>
    <w:rsid w:val="005805DD"/>
    <w:rsid w:val="005810B2"/>
    <w:rsid w:val="0058651B"/>
    <w:rsid w:val="00586A29"/>
    <w:rsid w:val="00590A99"/>
    <w:rsid w:val="00591068"/>
    <w:rsid w:val="00592C39"/>
    <w:rsid w:val="00594B8E"/>
    <w:rsid w:val="005A1532"/>
    <w:rsid w:val="005A18E6"/>
    <w:rsid w:val="005A4459"/>
    <w:rsid w:val="005A5C0D"/>
    <w:rsid w:val="005A645D"/>
    <w:rsid w:val="005B6F9C"/>
    <w:rsid w:val="005C1667"/>
    <w:rsid w:val="005C588D"/>
    <w:rsid w:val="005C5945"/>
    <w:rsid w:val="005C722D"/>
    <w:rsid w:val="005D1463"/>
    <w:rsid w:val="005E51D5"/>
    <w:rsid w:val="005E5253"/>
    <w:rsid w:val="005E7F51"/>
    <w:rsid w:val="005F0084"/>
    <w:rsid w:val="005F0473"/>
    <w:rsid w:val="005F16A1"/>
    <w:rsid w:val="005F65E2"/>
    <w:rsid w:val="00601716"/>
    <w:rsid w:val="00602491"/>
    <w:rsid w:val="00605003"/>
    <w:rsid w:val="00606E25"/>
    <w:rsid w:val="00607131"/>
    <w:rsid w:val="006072F5"/>
    <w:rsid w:val="00611022"/>
    <w:rsid w:val="006115F9"/>
    <w:rsid w:val="006117C7"/>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596F"/>
    <w:rsid w:val="00656BA6"/>
    <w:rsid w:val="00657C76"/>
    <w:rsid w:val="006606A7"/>
    <w:rsid w:val="00663969"/>
    <w:rsid w:val="00676BA1"/>
    <w:rsid w:val="00677712"/>
    <w:rsid w:val="006811BD"/>
    <w:rsid w:val="00683797"/>
    <w:rsid w:val="0069534D"/>
    <w:rsid w:val="006968AA"/>
    <w:rsid w:val="006A12E2"/>
    <w:rsid w:val="006A385A"/>
    <w:rsid w:val="006B0AB4"/>
    <w:rsid w:val="006B2280"/>
    <w:rsid w:val="006B6943"/>
    <w:rsid w:val="006C15DE"/>
    <w:rsid w:val="006C1B67"/>
    <w:rsid w:val="006C1D86"/>
    <w:rsid w:val="006C4AE4"/>
    <w:rsid w:val="006D11A4"/>
    <w:rsid w:val="006D54FB"/>
    <w:rsid w:val="006D594C"/>
    <w:rsid w:val="006F1B47"/>
    <w:rsid w:val="007018FA"/>
    <w:rsid w:val="00703014"/>
    <w:rsid w:val="007268A2"/>
    <w:rsid w:val="00730C76"/>
    <w:rsid w:val="0073172F"/>
    <w:rsid w:val="00732389"/>
    <w:rsid w:val="00732FD0"/>
    <w:rsid w:val="00742F3E"/>
    <w:rsid w:val="007447D3"/>
    <w:rsid w:val="00753831"/>
    <w:rsid w:val="00757CA7"/>
    <w:rsid w:val="007678C3"/>
    <w:rsid w:val="007746E6"/>
    <w:rsid w:val="00780671"/>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11336"/>
    <w:rsid w:val="00811EFD"/>
    <w:rsid w:val="008239C8"/>
    <w:rsid w:val="008249C6"/>
    <w:rsid w:val="00827990"/>
    <w:rsid w:val="00827B7B"/>
    <w:rsid w:val="00831BDA"/>
    <w:rsid w:val="008357A4"/>
    <w:rsid w:val="00836852"/>
    <w:rsid w:val="00844EE6"/>
    <w:rsid w:val="0084644F"/>
    <w:rsid w:val="008506D2"/>
    <w:rsid w:val="0085441E"/>
    <w:rsid w:val="0085522F"/>
    <w:rsid w:val="00857E53"/>
    <w:rsid w:val="00857F67"/>
    <w:rsid w:val="008617A2"/>
    <w:rsid w:val="00862F20"/>
    <w:rsid w:val="00864FB2"/>
    <w:rsid w:val="0086614F"/>
    <w:rsid w:val="00870004"/>
    <w:rsid w:val="00870719"/>
    <w:rsid w:val="00871808"/>
    <w:rsid w:val="00871BAF"/>
    <w:rsid w:val="0087568C"/>
    <w:rsid w:val="008758FB"/>
    <w:rsid w:val="00877998"/>
    <w:rsid w:val="00882752"/>
    <w:rsid w:val="00886DDD"/>
    <w:rsid w:val="00895805"/>
    <w:rsid w:val="008A0CAF"/>
    <w:rsid w:val="008A2BD4"/>
    <w:rsid w:val="008A58DD"/>
    <w:rsid w:val="008B6C08"/>
    <w:rsid w:val="008C21BD"/>
    <w:rsid w:val="008C35F2"/>
    <w:rsid w:val="008C5E21"/>
    <w:rsid w:val="008C7E2F"/>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1791"/>
    <w:rsid w:val="00923E23"/>
    <w:rsid w:val="0092430C"/>
    <w:rsid w:val="0092437E"/>
    <w:rsid w:val="009254FC"/>
    <w:rsid w:val="0092780E"/>
    <w:rsid w:val="00932AFC"/>
    <w:rsid w:val="009363E4"/>
    <w:rsid w:val="00941EF9"/>
    <w:rsid w:val="00956AE1"/>
    <w:rsid w:val="0096067F"/>
    <w:rsid w:val="00960712"/>
    <w:rsid w:val="00960D15"/>
    <w:rsid w:val="009634AE"/>
    <w:rsid w:val="00963F0C"/>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A5AE4"/>
    <w:rsid w:val="009B3B4D"/>
    <w:rsid w:val="009B3CCF"/>
    <w:rsid w:val="009B7B1A"/>
    <w:rsid w:val="009C097B"/>
    <w:rsid w:val="009C0C04"/>
    <w:rsid w:val="009C1FE5"/>
    <w:rsid w:val="009C487B"/>
    <w:rsid w:val="009C6A1E"/>
    <w:rsid w:val="009C7751"/>
    <w:rsid w:val="009D1E54"/>
    <w:rsid w:val="009D3594"/>
    <w:rsid w:val="009D60AE"/>
    <w:rsid w:val="009D7399"/>
    <w:rsid w:val="009D7AA3"/>
    <w:rsid w:val="009E0AAA"/>
    <w:rsid w:val="009E5E17"/>
    <w:rsid w:val="009F2B77"/>
    <w:rsid w:val="009F3C02"/>
    <w:rsid w:val="009F4E6C"/>
    <w:rsid w:val="009F4EB7"/>
    <w:rsid w:val="009F5D83"/>
    <w:rsid w:val="00A00E4B"/>
    <w:rsid w:val="00A0479B"/>
    <w:rsid w:val="00A0664B"/>
    <w:rsid w:val="00A1159B"/>
    <w:rsid w:val="00A12D46"/>
    <w:rsid w:val="00A16992"/>
    <w:rsid w:val="00A17631"/>
    <w:rsid w:val="00A20EF0"/>
    <w:rsid w:val="00A21011"/>
    <w:rsid w:val="00A2205B"/>
    <w:rsid w:val="00A27ACE"/>
    <w:rsid w:val="00A34B8A"/>
    <w:rsid w:val="00A354B9"/>
    <w:rsid w:val="00A37862"/>
    <w:rsid w:val="00A402B9"/>
    <w:rsid w:val="00A43923"/>
    <w:rsid w:val="00A45D98"/>
    <w:rsid w:val="00A47AD2"/>
    <w:rsid w:val="00A47EF3"/>
    <w:rsid w:val="00A50A3D"/>
    <w:rsid w:val="00A50EDA"/>
    <w:rsid w:val="00A52686"/>
    <w:rsid w:val="00A539E4"/>
    <w:rsid w:val="00A5473C"/>
    <w:rsid w:val="00A54AB4"/>
    <w:rsid w:val="00A5690D"/>
    <w:rsid w:val="00A61764"/>
    <w:rsid w:val="00A61BB9"/>
    <w:rsid w:val="00A64870"/>
    <w:rsid w:val="00A64B03"/>
    <w:rsid w:val="00A66652"/>
    <w:rsid w:val="00A757A6"/>
    <w:rsid w:val="00A83C80"/>
    <w:rsid w:val="00A83F95"/>
    <w:rsid w:val="00A8492A"/>
    <w:rsid w:val="00A930E3"/>
    <w:rsid w:val="00AA3A11"/>
    <w:rsid w:val="00AA4E7D"/>
    <w:rsid w:val="00AA685A"/>
    <w:rsid w:val="00AB028C"/>
    <w:rsid w:val="00AB46A5"/>
    <w:rsid w:val="00AB6AE1"/>
    <w:rsid w:val="00AC2CE1"/>
    <w:rsid w:val="00AC3941"/>
    <w:rsid w:val="00AC522F"/>
    <w:rsid w:val="00AC5B8A"/>
    <w:rsid w:val="00AD21F5"/>
    <w:rsid w:val="00AD7946"/>
    <w:rsid w:val="00AE2444"/>
    <w:rsid w:val="00AE3D09"/>
    <w:rsid w:val="00AE42EC"/>
    <w:rsid w:val="00AE47E5"/>
    <w:rsid w:val="00AE7106"/>
    <w:rsid w:val="00AF381A"/>
    <w:rsid w:val="00AF69E8"/>
    <w:rsid w:val="00B03666"/>
    <w:rsid w:val="00B10E3D"/>
    <w:rsid w:val="00B138CD"/>
    <w:rsid w:val="00B16840"/>
    <w:rsid w:val="00B22414"/>
    <w:rsid w:val="00B23315"/>
    <w:rsid w:val="00B237DA"/>
    <w:rsid w:val="00B23879"/>
    <w:rsid w:val="00B23FB9"/>
    <w:rsid w:val="00B25712"/>
    <w:rsid w:val="00B26E18"/>
    <w:rsid w:val="00B27B6A"/>
    <w:rsid w:val="00B325E4"/>
    <w:rsid w:val="00B40014"/>
    <w:rsid w:val="00B409B9"/>
    <w:rsid w:val="00B41C58"/>
    <w:rsid w:val="00B4296E"/>
    <w:rsid w:val="00B42D04"/>
    <w:rsid w:val="00B44908"/>
    <w:rsid w:val="00B50E16"/>
    <w:rsid w:val="00B51852"/>
    <w:rsid w:val="00B533E3"/>
    <w:rsid w:val="00B53756"/>
    <w:rsid w:val="00B56345"/>
    <w:rsid w:val="00B56521"/>
    <w:rsid w:val="00B62ABF"/>
    <w:rsid w:val="00B655E3"/>
    <w:rsid w:val="00B67883"/>
    <w:rsid w:val="00B7406F"/>
    <w:rsid w:val="00B773A2"/>
    <w:rsid w:val="00B8236A"/>
    <w:rsid w:val="00B85C58"/>
    <w:rsid w:val="00B87BA9"/>
    <w:rsid w:val="00B93474"/>
    <w:rsid w:val="00B9466D"/>
    <w:rsid w:val="00BA11E6"/>
    <w:rsid w:val="00BA1C7A"/>
    <w:rsid w:val="00BA277C"/>
    <w:rsid w:val="00BA3CD5"/>
    <w:rsid w:val="00BA542A"/>
    <w:rsid w:val="00BA71DD"/>
    <w:rsid w:val="00BC045F"/>
    <w:rsid w:val="00BC66C1"/>
    <w:rsid w:val="00BD0A86"/>
    <w:rsid w:val="00BD14CC"/>
    <w:rsid w:val="00BE0804"/>
    <w:rsid w:val="00BE0E78"/>
    <w:rsid w:val="00BE1C8E"/>
    <w:rsid w:val="00BE5ABA"/>
    <w:rsid w:val="00BE6B9F"/>
    <w:rsid w:val="00BF4F69"/>
    <w:rsid w:val="00C00062"/>
    <w:rsid w:val="00C04C9F"/>
    <w:rsid w:val="00C0640D"/>
    <w:rsid w:val="00C11BAC"/>
    <w:rsid w:val="00C15CE0"/>
    <w:rsid w:val="00C167B9"/>
    <w:rsid w:val="00C20B5B"/>
    <w:rsid w:val="00C228EE"/>
    <w:rsid w:val="00C23306"/>
    <w:rsid w:val="00C23A6D"/>
    <w:rsid w:val="00C24D11"/>
    <w:rsid w:val="00C26B66"/>
    <w:rsid w:val="00C31976"/>
    <w:rsid w:val="00C33FDB"/>
    <w:rsid w:val="00C34200"/>
    <w:rsid w:val="00C35DE7"/>
    <w:rsid w:val="00C37487"/>
    <w:rsid w:val="00C4346D"/>
    <w:rsid w:val="00C47F06"/>
    <w:rsid w:val="00C518C4"/>
    <w:rsid w:val="00C561D0"/>
    <w:rsid w:val="00C62D71"/>
    <w:rsid w:val="00C71BA8"/>
    <w:rsid w:val="00C777B9"/>
    <w:rsid w:val="00C80347"/>
    <w:rsid w:val="00C8255F"/>
    <w:rsid w:val="00C90414"/>
    <w:rsid w:val="00C94584"/>
    <w:rsid w:val="00CA1155"/>
    <w:rsid w:val="00CA22E7"/>
    <w:rsid w:val="00CA236A"/>
    <w:rsid w:val="00CA2BBC"/>
    <w:rsid w:val="00CA2F30"/>
    <w:rsid w:val="00CA7FA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5EAE"/>
    <w:rsid w:val="00CF6175"/>
    <w:rsid w:val="00D03A39"/>
    <w:rsid w:val="00D06D86"/>
    <w:rsid w:val="00D071E2"/>
    <w:rsid w:val="00D12EF4"/>
    <w:rsid w:val="00D15E08"/>
    <w:rsid w:val="00D172DC"/>
    <w:rsid w:val="00D20C55"/>
    <w:rsid w:val="00D22265"/>
    <w:rsid w:val="00D235C1"/>
    <w:rsid w:val="00D25A36"/>
    <w:rsid w:val="00D25B6C"/>
    <w:rsid w:val="00D26A45"/>
    <w:rsid w:val="00D27D8C"/>
    <w:rsid w:val="00D32CF1"/>
    <w:rsid w:val="00D34E63"/>
    <w:rsid w:val="00D36B1D"/>
    <w:rsid w:val="00D415DB"/>
    <w:rsid w:val="00D42C68"/>
    <w:rsid w:val="00D51A95"/>
    <w:rsid w:val="00D55585"/>
    <w:rsid w:val="00D55AD8"/>
    <w:rsid w:val="00D60052"/>
    <w:rsid w:val="00D6796C"/>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97F36"/>
    <w:rsid w:val="00DA6CD7"/>
    <w:rsid w:val="00DB12C7"/>
    <w:rsid w:val="00DB12F6"/>
    <w:rsid w:val="00DB375C"/>
    <w:rsid w:val="00DB4577"/>
    <w:rsid w:val="00DB5835"/>
    <w:rsid w:val="00DC3074"/>
    <w:rsid w:val="00DC3F9A"/>
    <w:rsid w:val="00DC6EEB"/>
    <w:rsid w:val="00DC7A90"/>
    <w:rsid w:val="00DD1464"/>
    <w:rsid w:val="00DD2EE5"/>
    <w:rsid w:val="00DD35A0"/>
    <w:rsid w:val="00DD4029"/>
    <w:rsid w:val="00DD60E9"/>
    <w:rsid w:val="00DE1DA8"/>
    <w:rsid w:val="00DE33F7"/>
    <w:rsid w:val="00DE46C0"/>
    <w:rsid w:val="00DE4AA9"/>
    <w:rsid w:val="00DE4CFF"/>
    <w:rsid w:val="00DF3AD1"/>
    <w:rsid w:val="00DF3F21"/>
    <w:rsid w:val="00DF540F"/>
    <w:rsid w:val="00DF5FF1"/>
    <w:rsid w:val="00E00617"/>
    <w:rsid w:val="00E01070"/>
    <w:rsid w:val="00E0127D"/>
    <w:rsid w:val="00E041D1"/>
    <w:rsid w:val="00E04204"/>
    <w:rsid w:val="00E13F3A"/>
    <w:rsid w:val="00E14485"/>
    <w:rsid w:val="00E179E5"/>
    <w:rsid w:val="00E22C9A"/>
    <w:rsid w:val="00E244AC"/>
    <w:rsid w:val="00E248AC"/>
    <w:rsid w:val="00E3466F"/>
    <w:rsid w:val="00E358D7"/>
    <w:rsid w:val="00E370B4"/>
    <w:rsid w:val="00E37412"/>
    <w:rsid w:val="00E37675"/>
    <w:rsid w:val="00E4051C"/>
    <w:rsid w:val="00E42AC1"/>
    <w:rsid w:val="00E44654"/>
    <w:rsid w:val="00E46465"/>
    <w:rsid w:val="00E507B1"/>
    <w:rsid w:val="00E514C3"/>
    <w:rsid w:val="00E528D3"/>
    <w:rsid w:val="00E532BD"/>
    <w:rsid w:val="00E53F9E"/>
    <w:rsid w:val="00E54FA7"/>
    <w:rsid w:val="00E6315C"/>
    <w:rsid w:val="00E66684"/>
    <w:rsid w:val="00E81A9B"/>
    <w:rsid w:val="00E83A44"/>
    <w:rsid w:val="00E8449D"/>
    <w:rsid w:val="00E879FC"/>
    <w:rsid w:val="00E9137E"/>
    <w:rsid w:val="00E952EF"/>
    <w:rsid w:val="00E96F50"/>
    <w:rsid w:val="00E9740A"/>
    <w:rsid w:val="00E978E9"/>
    <w:rsid w:val="00E97A16"/>
    <w:rsid w:val="00EA7F66"/>
    <w:rsid w:val="00EB2245"/>
    <w:rsid w:val="00EB234F"/>
    <w:rsid w:val="00EB2FF4"/>
    <w:rsid w:val="00EB4DC6"/>
    <w:rsid w:val="00EB6BF3"/>
    <w:rsid w:val="00EB76E7"/>
    <w:rsid w:val="00EC21BE"/>
    <w:rsid w:val="00EC6959"/>
    <w:rsid w:val="00EC7409"/>
    <w:rsid w:val="00EC7DDF"/>
    <w:rsid w:val="00ED52C6"/>
    <w:rsid w:val="00ED5822"/>
    <w:rsid w:val="00ED63DF"/>
    <w:rsid w:val="00EE18A1"/>
    <w:rsid w:val="00EE2DD4"/>
    <w:rsid w:val="00EE3413"/>
    <w:rsid w:val="00EE3A10"/>
    <w:rsid w:val="00EE5C94"/>
    <w:rsid w:val="00EF230E"/>
    <w:rsid w:val="00EF23BB"/>
    <w:rsid w:val="00EF2BF1"/>
    <w:rsid w:val="00EF5BFA"/>
    <w:rsid w:val="00EF605D"/>
    <w:rsid w:val="00F02663"/>
    <w:rsid w:val="00F03B66"/>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7430B"/>
    <w:rsid w:val="00F77C6C"/>
    <w:rsid w:val="00F81C2C"/>
    <w:rsid w:val="00F82406"/>
    <w:rsid w:val="00F82451"/>
    <w:rsid w:val="00F907C1"/>
    <w:rsid w:val="00FA1B66"/>
    <w:rsid w:val="00FA446C"/>
    <w:rsid w:val="00FB0D5A"/>
    <w:rsid w:val="00FB2907"/>
    <w:rsid w:val="00FB2E84"/>
    <w:rsid w:val="00FB2EB3"/>
    <w:rsid w:val="00FB5250"/>
    <w:rsid w:val="00FB670D"/>
    <w:rsid w:val="00FB7754"/>
    <w:rsid w:val="00FC3FD2"/>
    <w:rsid w:val="00FC4803"/>
    <w:rsid w:val="00FC517B"/>
    <w:rsid w:val="00FC52B3"/>
    <w:rsid w:val="00FC72A7"/>
    <w:rsid w:val="00FC77BC"/>
    <w:rsid w:val="00FD03AF"/>
    <w:rsid w:val="00FD6B83"/>
    <w:rsid w:val="00FE7B32"/>
    <w:rsid w:val="00FF36B8"/>
    <w:rsid w:val="00FF468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D545"/>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 w:type="paragraph" w:styleId="Descripcin">
    <w:name w:val="caption"/>
    <w:basedOn w:val="Normal"/>
    <w:next w:val="Normal"/>
    <w:uiPriority w:val="35"/>
    <w:unhideWhenUsed/>
    <w:qFormat/>
    <w:rsid w:val="0053373E"/>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3373E"/>
    <w:pPr>
      <w:spacing w:after="0"/>
    </w:pPr>
  </w:style>
  <w:style w:type="character" w:styleId="Refdecomentario">
    <w:name w:val="annotation reference"/>
    <w:basedOn w:val="Fuentedeprrafopredeter"/>
    <w:uiPriority w:val="99"/>
    <w:semiHidden/>
    <w:unhideWhenUsed/>
    <w:rsid w:val="00E46465"/>
    <w:rPr>
      <w:sz w:val="16"/>
      <w:szCs w:val="16"/>
    </w:rPr>
  </w:style>
  <w:style w:type="paragraph" w:styleId="Textocomentario">
    <w:name w:val="annotation text"/>
    <w:basedOn w:val="Normal"/>
    <w:link w:val="TextocomentarioCar"/>
    <w:uiPriority w:val="99"/>
    <w:semiHidden/>
    <w:unhideWhenUsed/>
    <w:rsid w:val="00E464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6465"/>
    <w:rPr>
      <w:lang w:val="es-PE"/>
    </w:rPr>
  </w:style>
  <w:style w:type="paragraph" w:styleId="Asuntodelcomentario">
    <w:name w:val="annotation subject"/>
    <w:basedOn w:val="Textocomentario"/>
    <w:next w:val="Textocomentario"/>
    <w:link w:val="AsuntodelcomentarioCar"/>
    <w:uiPriority w:val="99"/>
    <w:semiHidden/>
    <w:unhideWhenUsed/>
    <w:rsid w:val="00E46465"/>
    <w:rPr>
      <w:b/>
      <w:bCs/>
    </w:rPr>
  </w:style>
  <w:style w:type="character" w:customStyle="1" w:styleId="AsuntodelcomentarioCar">
    <w:name w:val="Asunto del comentario Car"/>
    <w:basedOn w:val="TextocomentarioCar"/>
    <w:link w:val="Asuntodelcomentario"/>
    <w:uiPriority w:val="99"/>
    <w:semiHidden/>
    <w:rsid w:val="00E46465"/>
    <w:rPr>
      <w:b/>
      <w:bCs/>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16007615">
      <w:bodyDiv w:val="1"/>
      <w:marLeft w:val="0"/>
      <w:marRight w:val="0"/>
      <w:marTop w:val="0"/>
      <w:marBottom w:val="0"/>
      <w:divBdr>
        <w:top w:val="none" w:sz="0" w:space="0" w:color="auto"/>
        <w:left w:val="none" w:sz="0" w:space="0" w:color="auto"/>
        <w:bottom w:val="none" w:sz="0" w:space="0" w:color="auto"/>
        <w:right w:val="none" w:sz="0" w:space="0" w:color="auto"/>
      </w:divBdr>
    </w:div>
    <w:div w:id="24521961">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633986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2706041">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08477196">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79324502">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199326542">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36018242">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67784639">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4896359">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01158965">
      <w:bodyDiv w:val="1"/>
      <w:marLeft w:val="0"/>
      <w:marRight w:val="0"/>
      <w:marTop w:val="0"/>
      <w:marBottom w:val="0"/>
      <w:divBdr>
        <w:top w:val="none" w:sz="0" w:space="0" w:color="auto"/>
        <w:left w:val="none" w:sz="0" w:space="0" w:color="auto"/>
        <w:bottom w:val="none" w:sz="0" w:space="0" w:color="auto"/>
        <w:right w:val="none" w:sz="0" w:space="0" w:color="auto"/>
      </w:divBdr>
    </w:div>
    <w:div w:id="31962011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4965492">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364671195">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2486854">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55489079">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75225670">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84587448">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29495833">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40751277">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582883902">
      <w:bodyDiv w:val="1"/>
      <w:marLeft w:val="0"/>
      <w:marRight w:val="0"/>
      <w:marTop w:val="0"/>
      <w:marBottom w:val="0"/>
      <w:divBdr>
        <w:top w:val="none" w:sz="0" w:space="0" w:color="auto"/>
        <w:left w:val="none" w:sz="0" w:space="0" w:color="auto"/>
        <w:bottom w:val="none" w:sz="0" w:space="0" w:color="auto"/>
        <w:right w:val="none" w:sz="0" w:space="0" w:color="auto"/>
      </w:divBdr>
    </w:div>
    <w:div w:id="58865850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12831063">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54795769">
      <w:bodyDiv w:val="1"/>
      <w:marLeft w:val="0"/>
      <w:marRight w:val="0"/>
      <w:marTop w:val="0"/>
      <w:marBottom w:val="0"/>
      <w:divBdr>
        <w:top w:val="none" w:sz="0" w:space="0" w:color="auto"/>
        <w:left w:val="none" w:sz="0" w:space="0" w:color="auto"/>
        <w:bottom w:val="none" w:sz="0" w:space="0" w:color="auto"/>
        <w:right w:val="none" w:sz="0" w:space="0" w:color="auto"/>
      </w:divBdr>
    </w:div>
    <w:div w:id="673071870">
      <w:bodyDiv w:val="1"/>
      <w:marLeft w:val="0"/>
      <w:marRight w:val="0"/>
      <w:marTop w:val="0"/>
      <w:marBottom w:val="0"/>
      <w:divBdr>
        <w:top w:val="none" w:sz="0" w:space="0" w:color="auto"/>
        <w:left w:val="none" w:sz="0" w:space="0" w:color="auto"/>
        <w:bottom w:val="none" w:sz="0" w:space="0" w:color="auto"/>
        <w:right w:val="none" w:sz="0" w:space="0" w:color="auto"/>
      </w:divBdr>
    </w:div>
    <w:div w:id="685055856">
      <w:bodyDiv w:val="1"/>
      <w:marLeft w:val="0"/>
      <w:marRight w:val="0"/>
      <w:marTop w:val="0"/>
      <w:marBottom w:val="0"/>
      <w:divBdr>
        <w:top w:val="none" w:sz="0" w:space="0" w:color="auto"/>
        <w:left w:val="none" w:sz="0" w:space="0" w:color="auto"/>
        <w:bottom w:val="none" w:sz="0" w:space="0" w:color="auto"/>
        <w:right w:val="none" w:sz="0" w:space="0" w:color="auto"/>
      </w:divBdr>
    </w:div>
    <w:div w:id="68625218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13971478">
      <w:bodyDiv w:val="1"/>
      <w:marLeft w:val="0"/>
      <w:marRight w:val="0"/>
      <w:marTop w:val="0"/>
      <w:marBottom w:val="0"/>
      <w:divBdr>
        <w:top w:val="none" w:sz="0" w:space="0" w:color="auto"/>
        <w:left w:val="none" w:sz="0" w:space="0" w:color="auto"/>
        <w:bottom w:val="none" w:sz="0" w:space="0" w:color="auto"/>
        <w:right w:val="none" w:sz="0" w:space="0" w:color="auto"/>
      </w:divBdr>
    </w:div>
    <w:div w:id="714158960">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44961750">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004389">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493184">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853805943">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8468055">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956566194">
      <w:bodyDiv w:val="1"/>
      <w:marLeft w:val="0"/>
      <w:marRight w:val="0"/>
      <w:marTop w:val="0"/>
      <w:marBottom w:val="0"/>
      <w:divBdr>
        <w:top w:val="none" w:sz="0" w:space="0" w:color="auto"/>
        <w:left w:val="none" w:sz="0" w:space="0" w:color="auto"/>
        <w:bottom w:val="none" w:sz="0" w:space="0" w:color="auto"/>
        <w:right w:val="none" w:sz="0" w:space="0" w:color="auto"/>
      </w:divBdr>
    </w:div>
    <w:div w:id="956714983">
      <w:bodyDiv w:val="1"/>
      <w:marLeft w:val="0"/>
      <w:marRight w:val="0"/>
      <w:marTop w:val="0"/>
      <w:marBottom w:val="0"/>
      <w:divBdr>
        <w:top w:val="none" w:sz="0" w:space="0" w:color="auto"/>
        <w:left w:val="none" w:sz="0" w:space="0" w:color="auto"/>
        <w:bottom w:val="none" w:sz="0" w:space="0" w:color="auto"/>
        <w:right w:val="none" w:sz="0" w:space="0" w:color="auto"/>
      </w:divBdr>
    </w:div>
    <w:div w:id="969825865">
      <w:bodyDiv w:val="1"/>
      <w:marLeft w:val="0"/>
      <w:marRight w:val="0"/>
      <w:marTop w:val="0"/>
      <w:marBottom w:val="0"/>
      <w:divBdr>
        <w:top w:val="none" w:sz="0" w:space="0" w:color="auto"/>
        <w:left w:val="none" w:sz="0" w:space="0" w:color="auto"/>
        <w:bottom w:val="none" w:sz="0" w:space="0" w:color="auto"/>
        <w:right w:val="none" w:sz="0" w:space="0" w:color="auto"/>
      </w:divBdr>
    </w:div>
    <w:div w:id="992216909">
      <w:bodyDiv w:val="1"/>
      <w:marLeft w:val="0"/>
      <w:marRight w:val="0"/>
      <w:marTop w:val="0"/>
      <w:marBottom w:val="0"/>
      <w:divBdr>
        <w:top w:val="none" w:sz="0" w:space="0" w:color="auto"/>
        <w:left w:val="none" w:sz="0" w:space="0" w:color="auto"/>
        <w:bottom w:val="none" w:sz="0" w:space="0" w:color="auto"/>
        <w:right w:val="none" w:sz="0" w:space="0" w:color="auto"/>
      </w:divBdr>
    </w:div>
    <w:div w:id="997660374">
      <w:bodyDiv w:val="1"/>
      <w:marLeft w:val="0"/>
      <w:marRight w:val="0"/>
      <w:marTop w:val="0"/>
      <w:marBottom w:val="0"/>
      <w:divBdr>
        <w:top w:val="none" w:sz="0" w:space="0" w:color="auto"/>
        <w:left w:val="none" w:sz="0" w:space="0" w:color="auto"/>
        <w:bottom w:val="none" w:sz="0" w:space="0" w:color="auto"/>
        <w:right w:val="none" w:sz="0" w:space="0" w:color="auto"/>
      </w:divBdr>
    </w:div>
    <w:div w:id="1005475455">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4551577">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58170045">
      <w:bodyDiv w:val="1"/>
      <w:marLeft w:val="0"/>
      <w:marRight w:val="0"/>
      <w:marTop w:val="0"/>
      <w:marBottom w:val="0"/>
      <w:divBdr>
        <w:top w:val="none" w:sz="0" w:space="0" w:color="auto"/>
        <w:left w:val="none" w:sz="0" w:space="0" w:color="auto"/>
        <w:bottom w:val="none" w:sz="0" w:space="0" w:color="auto"/>
        <w:right w:val="none" w:sz="0" w:space="0" w:color="auto"/>
      </w:divBdr>
    </w:div>
    <w:div w:id="1064329267">
      <w:bodyDiv w:val="1"/>
      <w:marLeft w:val="0"/>
      <w:marRight w:val="0"/>
      <w:marTop w:val="0"/>
      <w:marBottom w:val="0"/>
      <w:divBdr>
        <w:top w:val="none" w:sz="0" w:space="0" w:color="auto"/>
        <w:left w:val="none" w:sz="0" w:space="0" w:color="auto"/>
        <w:bottom w:val="none" w:sz="0" w:space="0" w:color="auto"/>
        <w:right w:val="none" w:sz="0" w:space="0" w:color="auto"/>
      </w:divBdr>
    </w:div>
    <w:div w:id="1065029748">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0178562">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149858890">
      <w:bodyDiv w:val="1"/>
      <w:marLeft w:val="0"/>
      <w:marRight w:val="0"/>
      <w:marTop w:val="0"/>
      <w:marBottom w:val="0"/>
      <w:divBdr>
        <w:top w:val="none" w:sz="0" w:space="0" w:color="auto"/>
        <w:left w:val="none" w:sz="0" w:space="0" w:color="auto"/>
        <w:bottom w:val="none" w:sz="0" w:space="0" w:color="auto"/>
        <w:right w:val="none" w:sz="0" w:space="0" w:color="auto"/>
      </w:divBdr>
    </w:div>
    <w:div w:id="1168517747">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68276243">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36616821">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4434122">
      <w:bodyDiv w:val="1"/>
      <w:marLeft w:val="0"/>
      <w:marRight w:val="0"/>
      <w:marTop w:val="0"/>
      <w:marBottom w:val="0"/>
      <w:divBdr>
        <w:top w:val="none" w:sz="0" w:space="0" w:color="auto"/>
        <w:left w:val="none" w:sz="0" w:space="0" w:color="auto"/>
        <w:bottom w:val="none" w:sz="0" w:space="0" w:color="auto"/>
        <w:right w:val="none" w:sz="0" w:space="0" w:color="auto"/>
      </w:divBdr>
    </w:div>
    <w:div w:id="1346400316">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688728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388797407">
      <w:bodyDiv w:val="1"/>
      <w:marLeft w:val="0"/>
      <w:marRight w:val="0"/>
      <w:marTop w:val="0"/>
      <w:marBottom w:val="0"/>
      <w:divBdr>
        <w:top w:val="none" w:sz="0" w:space="0" w:color="auto"/>
        <w:left w:val="none" w:sz="0" w:space="0" w:color="auto"/>
        <w:bottom w:val="none" w:sz="0" w:space="0" w:color="auto"/>
        <w:right w:val="none" w:sz="0" w:space="0" w:color="auto"/>
      </w:divBdr>
    </w:div>
    <w:div w:id="1401706923">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2585731">
      <w:bodyDiv w:val="1"/>
      <w:marLeft w:val="0"/>
      <w:marRight w:val="0"/>
      <w:marTop w:val="0"/>
      <w:marBottom w:val="0"/>
      <w:divBdr>
        <w:top w:val="none" w:sz="0" w:space="0" w:color="auto"/>
        <w:left w:val="none" w:sz="0" w:space="0" w:color="auto"/>
        <w:bottom w:val="none" w:sz="0" w:space="0" w:color="auto"/>
        <w:right w:val="none" w:sz="0" w:space="0" w:color="auto"/>
      </w:divBdr>
    </w:div>
    <w:div w:id="1413500875">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59297376">
      <w:bodyDiv w:val="1"/>
      <w:marLeft w:val="0"/>
      <w:marRight w:val="0"/>
      <w:marTop w:val="0"/>
      <w:marBottom w:val="0"/>
      <w:divBdr>
        <w:top w:val="none" w:sz="0" w:space="0" w:color="auto"/>
        <w:left w:val="none" w:sz="0" w:space="0" w:color="auto"/>
        <w:bottom w:val="none" w:sz="0" w:space="0" w:color="auto"/>
        <w:right w:val="none" w:sz="0" w:space="0" w:color="auto"/>
      </w:divBdr>
    </w:div>
    <w:div w:id="1459566038">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2385956">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0170060">
      <w:bodyDiv w:val="1"/>
      <w:marLeft w:val="0"/>
      <w:marRight w:val="0"/>
      <w:marTop w:val="0"/>
      <w:marBottom w:val="0"/>
      <w:divBdr>
        <w:top w:val="none" w:sz="0" w:space="0" w:color="auto"/>
        <w:left w:val="none" w:sz="0" w:space="0" w:color="auto"/>
        <w:bottom w:val="none" w:sz="0" w:space="0" w:color="auto"/>
        <w:right w:val="none" w:sz="0" w:space="0" w:color="auto"/>
      </w:divBdr>
    </w:div>
    <w:div w:id="1516655264">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36232289">
      <w:bodyDiv w:val="1"/>
      <w:marLeft w:val="0"/>
      <w:marRight w:val="0"/>
      <w:marTop w:val="0"/>
      <w:marBottom w:val="0"/>
      <w:divBdr>
        <w:top w:val="none" w:sz="0" w:space="0" w:color="auto"/>
        <w:left w:val="none" w:sz="0" w:space="0" w:color="auto"/>
        <w:bottom w:val="none" w:sz="0" w:space="0" w:color="auto"/>
        <w:right w:val="none" w:sz="0" w:space="0" w:color="auto"/>
      </w:divBdr>
    </w:div>
    <w:div w:id="1560821001">
      <w:bodyDiv w:val="1"/>
      <w:marLeft w:val="0"/>
      <w:marRight w:val="0"/>
      <w:marTop w:val="0"/>
      <w:marBottom w:val="0"/>
      <w:divBdr>
        <w:top w:val="none" w:sz="0" w:space="0" w:color="auto"/>
        <w:left w:val="none" w:sz="0" w:space="0" w:color="auto"/>
        <w:bottom w:val="none" w:sz="0" w:space="0" w:color="auto"/>
        <w:right w:val="none" w:sz="0" w:space="0" w:color="auto"/>
      </w:divBdr>
    </w:div>
    <w:div w:id="1563977915">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599143972">
      <w:bodyDiv w:val="1"/>
      <w:marLeft w:val="0"/>
      <w:marRight w:val="0"/>
      <w:marTop w:val="0"/>
      <w:marBottom w:val="0"/>
      <w:divBdr>
        <w:top w:val="none" w:sz="0" w:space="0" w:color="auto"/>
        <w:left w:val="none" w:sz="0" w:space="0" w:color="auto"/>
        <w:bottom w:val="none" w:sz="0" w:space="0" w:color="auto"/>
        <w:right w:val="none" w:sz="0" w:space="0" w:color="auto"/>
      </w:divBdr>
      <w:divsChild>
        <w:div w:id="201094441">
          <w:marLeft w:val="0"/>
          <w:marRight w:val="0"/>
          <w:marTop w:val="0"/>
          <w:marBottom w:val="0"/>
          <w:divBdr>
            <w:top w:val="none" w:sz="0" w:space="0" w:color="auto"/>
            <w:left w:val="none" w:sz="0" w:space="0" w:color="auto"/>
            <w:bottom w:val="none" w:sz="0" w:space="0" w:color="auto"/>
            <w:right w:val="none" w:sz="0" w:space="0" w:color="auto"/>
          </w:divBdr>
        </w:div>
        <w:div w:id="1354460507">
          <w:marLeft w:val="0"/>
          <w:marRight w:val="0"/>
          <w:marTop w:val="0"/>
          <w:marBottom w:val="0"/>
          <w:divBdr>
            <w:top w:val="none" w:sz="0" w:space="0" w:color="auto"/>
            <w:left w:val="none" w:sz="0" w:space="0" w:color="auto"/>
            <w:bottom w:val="none" w:sz="0" w:space="0" w:color="auto"/>
            <w:right w:val="none" w:sz="0" w:space="0" w:color="auto"/>
          </w:divBdr>
        </w:div>
        <w:div w:id="1557861851">
          <w:marLeft w:val="0"/>
          <w:marRight w:val="0"/>
          <w:marTop w:val="0"/>
          <w:marBottom w:val="0"/>
          <w:divBdr>
            <w:top w:val="none" w:sz="0" w:space="0" w:color="auto"/>
            <w:left w:val="none" w:sz="0" w:space="0" w:color="auto"/>
            <w:bottom w:val="none" w:sz="0" w:space="0" w:color="auto"/>
            <w:right w:val="none" w:sz="0" w:space="0" w:color="auto"/>
          </w:divBdr>
        </w:div>
        <w:div w:id="256523808">
          <w:marLeft w:val="0"/>
          <w:marRight w:val="0"/>
          <w:marTop w:val="0"/>
          <w:marBottom w:val="0"/>
          <w:divBdr>
            <w:top w:val="none" w:sz="0" w:space="0" w:color="auto"/>
            <w:left w:val="none" w:sz="0" w:space="0" w:color="auto"/>
            <w:bottom w:val="none" w:sz="0" w:space="0" w:color="auto"/>
            <w:right w:val="none" w:sz="0" w:space="0" w:color="auto"/>
          </w:divBdr>
        </w:div>
        <w:div w:id="1775904397">
          <w:marLeft w:val="0"/>
          <w:marRight w:val="0"/>
          <w:marTop w:val="0"/>
          <w:marBottom w:val="0"/>
          <w:divBdr>
            <w:top w:val="none" w:sz="0" w:space="0" w:color="auto"/>
            <w:left w:val="none" w:sz="0" w:space="0" w:color="auto"/>
            <w:bottom w:val="none" w:sz="0" w:space="0" w:color="auto"/>
            <w:right w:val="none" w:sz="0" w:space="0" w:color="auto"/>
          </w:divBdr>
        </w:div>
        <w:div w:id="310255870">
          <w:marLeft w:val="0"/>
          <w:marRight w:val="0"/>
          <w:marTop w:val="0"/>
          <w:marBottom w:val="0"/>
          <w:divBdr>
            <w:top w:val="none" w:sz="0" w:space="0" w:color="auto"/>
            <w:left w:val="none" w:sz="0" w:space="0" w:color="auto"/>
            <w:bottom w:val="none" w:sz="0" w:space="0" w:color="auto"/>
            <w:right w:val="none" w:sz="0" w:space="0" w:color="auto"/>
          </w:divBdr>
        </w:div>
        <w:div w:id="1306397386">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72720047">
          <w:marLeft w:val="0"/>
          <w:marRight w:val="0"/>
          <w:marTop w:val="0"/>
          <w:marBottom w:val="0"/>
          <w:divBdr>
            <w:top w:val="none" w:sz="0" w:space="0" w:color="auto"/>
            <w:left w:val="none" w:sz="0" w:space="0" w:color="auto"/>
            <w:bottom w:val="none" w:sz="0" w:space="0" w:color="auto"/>
            <w:right w:val="none" w:sz="0" w:space="0" w:color="auto"/>
          </w:divBdr>
        </w:div>
        <w:div w:id="2086755199">
          <w:marLeft w:val="0"/>
          <w:marRight w:val="0"/>
          <w:marTop w:val="0"/>
          <w:marBottom w:val="0"/>
          <w:divBdr>
            <w:top w:val="none" w:sz="0" w:space="0" w:color="auto"/>
            <w:left w:val="none" w:sz="0" w:space="0" w:color="auto"/>
            <w:bottom w:val="none" w:sz="0" w:space="0" w:color="auto"/>
            <w:right w:val="none" w:sz="0" w:space="0" w:color="auto"/>
          </w:divBdr>
        </w:div>
        <w:div w:id="927539069">
          <w:marLeft w:val="0"/>
          <w:marRight w:val="0"/>
          <w:marTop w:val="0"/>
          <w:marBottom w:val="0"/>
          <w:divBdr>
            <w:top w:val="none" w:sz="0" w:space="0" w:color="auto"/>
            <w:left w:val="none" w:sz="0" w:space="0" w:color="auto"/>
            <w:bottom w:val="none" w:sz="0" w:space="0" w:color="auto"/>
            <w:right w:val="none" w:sz="0" w:space="0" w:color="auto"/>
          </w:divBdr>
        </w:div>
        <w:div w:id="470831896">
          <w:marLeft w:val="0"/>
          <w:marRight w:val="0"/>
          <w:marTop w:val="0"/>
          <w:marBottom w:val="0"/>
          <w:divBdr>
            <w:top w:val="none" w:sz="0" w:space="0" w:color="auto"/>
            <w:left w:val="none" w:sz="0" w:space="0" w:color="auto"/>
            <w:bottom w:val="none" w:sz="0" w:space="0" w:color="auto"/>
            <w:right w:val="none" w:sz="0" w:space="0" w:color="auto"/>
          </w:divBdr>
        </w:div>
        <w:div w:id="1606425428">
          <w:marLeft w:val="0"/>
          <w:marRight w:val="0"/>
          <w:marTop w:val="0"/>
          <w:marBottom w:val="0"/>
          <w:divBdr>
            <w:top w:val="none" w:sz="0" w:space="0" w:color="auto"/>
            <w:left w:val="none" w:sz="0" w:space="0" w:color="auto"/>
            <w:bottom w:val="none" w:sz="0" w:space="0" w:color="auto"/>
            <w:right w:val="none" w:sz="0" w:space="0" w:color="auto"/>
          </w:divBdr>
        </w:div>
        <w:div w:id="2137990168">
          <w:marLeft w:val="0"/>
          <w:marRight w:val="0"/>
          <w:marTop w:val="0"/>
          <w:marBottom w:val="0"/>
          <w:divBdr>
            <w:top w:val="none" w:sz="0" w:space="0" w:color="auto"/>
            <w:left w:val="none" w:sz="0" w:space="0" w:color="auto"/>
            <w:bottom w:val="none" w:sz="0" w:space="0" w:color="auto"/>
            <w:right w:val="none" w:sz="0" w:space="0" w:color="auto"/>
          </w:divBdr>
        </w:div>
        <w:div w:id="788859522">
          <w:marLeft w:val="0"/>
          <w:marRight w:val="0"/>
          <w:marTop w:val="0"/>
          <w:marBottom w:val="0"/>
          <w:divBdr>
            <w:top w:val="none" w:sz="0" w:space="0" w:color="auto"/>
            <w:left w:val="none" w:sz="0" w:space="0" w:color="auto"/>
            <w:bottom w:val="none" w:sz="0" w:space="0" w:color="auto"/>
            <w:right w:val="none" w:sz="0" w:space="0" w:color="auto"/>
          </w:divBdr>
        </w:div>
        <w:div w:id="449053195">
          <w:marLeft w:val="0"/>
          <w:marRight w:val="0"/>
          <w:marTop w:val="0"/>
          <w:marBottom w:val="0"/>
          <w:divBdr>
            <w:top w:val="none" w:sz="0" w:space="0" w:color="auto"/>
            <w:left w:val="none" w:sz="0" w:space="0" w:color="auto"/>
            <w:bottom w:val="none" w:sz="0" w:space="0" w:color="auto"/>
            <w:right w:val="none" w:sz="0" w:space="0" w:color="auto"/>
          </w:divBdr>
        </w:div>
      </w:divsChild>
    </w:div>
    <w:div w:id="1610576299">
      <w:bodyDiv w:val="1"/>
      <w:marLeft w:val="0"/>
      <w:marRight w:val="0"/>
      <w:marTop w:val="0"/>
      <w:marBottom w:val="0"/>
      <w:divBdr>
        <w:top w:val="none" w:sz="0" w:space="0" w:color="auto"/>
        <w:left w:val="none" w:sz="0" w:space="0" w:color="auto"/>
        <w:bottom w:val="none" w:sz="0" w:space="0" w:color="auto"/>
        <w:right w:val="none" w:sz="0" w:space="0" w:color="auto"/>
      </w:divBdr>
    </w:div>
    <w:div w:id="1625232906">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3755403">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3775444">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732193">
      <w:bodyDiv w:val="1"/>
      <w:marLeft w:val="0"/>
      <w:marRight w:val="0"/>
      <w:marTop w:val="0"/>
      <w:marBottom w:val="0"/>
      <w:divBdr>
        <w:top w:val="none" w:sz="0" w:space="0" w:color="auto"/>
        <w:left w:val="none" w:sz="0" w:space="0" w:color="auto"/>
        <w:bottom w:val="none" w:sz="0" w:space="0" w:color="auto"/>
        <w:right w:val="none" w:sz="0" w:space="0" w:color="auto"/>
      </w:divBdr>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02534364">
      <w:bodyDiv w:val="1"/>
      <w:marLeft w:val="0"/>
      <w:marRight w:val="0"/>
      <w:marTop w:val="0"/>
      <w:marBottom w:val="0"/>
      <w:divBdr>
        <w:top w:val="none" w:sz="0" w:space="0" w:color="auto"/>
        <w:left w:val="none" w:sz="0" w:space="0" w:color="auto"/>
        <w:bottom w:val="none" w:sz="0" w:space="0" w:color="auto"/>
        <w:right w:val="none" w:sz="0" w:space="0" w:color="auto"/>
      </w:divBdr>
    </w:div>
    <w:div w:id="1833518451">
      <w:bodyDiv w:val="1"/>
      <w:marLeft w:val="0"/>
      <w:marRight w:val="0"/>
      <w:marTop w:val="0"/>
      <w:marBottom w:val="0"/>
      <w:divBdr>
        <w:top w:val="none" w:sz="0" w:space="0" w:color="auto"/>
        <w:left w:val="none" w:sz="0" w:space="0" w:color="auto"/>
        <w:bottom w:val="none" w:sz="0" w:space="0" w:color="auto"/>
        <w:right w:val="none" w:sz="0" w:space="0" w:color="auto"/>
      </w:divBdr>
    </w:div>
    <w:div w:id="1836416706">
      <w:bodyDiv w:val="1"/>
      <w:marLeft w:val="0"/>
      <w:marRight w:val="0"/>
      <w:marTop w:val="0"/>
      <w:marBottom w:val="0"/>
      <w:divBdr>
        <w:top w:val="none" w:sz="0" w:space="0" w:color="auto"/>
        <w:left w:val="none" w:sz="0" w:space="0" w:color="auto"/>
        <w:bottom w:val="none" w:sz="0" w:space="0" w:color="auto"/>
        <w:right w:val="none" w:sz="0" w:space="0" w:color="auto"/>
      </w:divBdr>
    </w:div>
    <w:div w:id="1841043558">
      <w:bodyDiv w:val="1"/>
      <w:marLeft w:val="0"/>
      <w:marRight w:val="0"/>
      <w:marTop w:val="0"/>
      <w:marBottom w:val="0"/>
      <w:divBdr>
        <w:top w:val="none" w:sz="0" w:space="0" w:color="auto"/>
        <w:left w:val="none" w:sz="0" w:space="0" w:color="auto"/>
        <w:bottom w:val="none" w:sz="0" w:space="0" w:color="auto"/>
        <w:right w:val="none" w:sz="0" w:space="0" w:color="auto"/>
      </w:divBdr>
    </w:div>
    <w:div w:id="1852799284">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5892937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06524967">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1955358628">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06007606">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25859843">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2388655">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 w:id="2145923189">
      <w:bodyDiv w:val="1"/>
      <w:marLeft w:val="0"/>
      <w:marRight w:val="0"/>
      <w:marTop w:val="0"/>
      <w:marBottom w:val="0"/>
      <w:divBdr>
        <w:top w:val="none" w:sz="0" w:space="0" w:color="auto"/>
        <w:left w:val="none" w:sz="0" w:space="0" w:color="auto"/>
        <w:bottom w:val="none" w:sz="0" w:space="0" w:color="auto"/>
        <w:right w:val="none" w:sz="0" w:space="0" w:color="auto"/>
      </w:divBdr>
    </w:div>
    <w:div w:id="21465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nmeda.es/test/trastornos_alimenticios_test.html" TargetMode="External"/><Relationship Id="rId3" Type="http://schemas.openxmlformats.org/officeDocument/2006/relationships/styles" Target="styles.xml"/><Relationship Id="rId21" Type="http://schemas.openxmlformats.org/officeDocument/2006/relationships/hyperlink" Target="http://bvs.minsa.gob.pe/local/MINSA/4143.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nationaleatingdisorders.org/que-causa-un-trastorno-alimentic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acion.com/ciencia/salud/mas-de-la-mitad-de-escolares-y-colegiales-ticos-estan-descontentos-con-su-cuerpo/LJUSAF5SHJANFMZAETSZU4AL2I/stor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nv.ucr.ac.cr/es/noticias/estudio-revela-riesgo-de-anorexia-nerviosa-en-adolescentes-tica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eru21.pe/lima/preocupante-hay-500-casos-bulimia-anorexia-peru-17948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15</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16</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17</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18</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19</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6</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5</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7</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8</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9</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10</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20</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13</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14</b:RefOrder>
  </b:Source>
  <b:Source>
    <b:Tag>Pas11</b:Tag>
    <b:SourceType>Book</b:SourceType>
    <b:Guid>{5E18CCFD-E4D0-46BA-B82D-650D13935734}</b:Guid>
    <b:Title>Tecnologías de la Web Semántica</b:Title>
    <b:Year>2013</b:Year>
    <b:Publisher>UOC</b:Publisher>
    <b:Author>
      <b:Author>
        <b:NameList>
          <b:Person>
            <b:Last>Pastor Sanchez</b:Last>
            <b:First>Juan Antonio</b:First>
          </b:Person>
        </b:NameList>
      </b:Author>
    </b:Author>
    <b:RefOrder>11</b:RefOrder>
  </b:Source>
  <b:Source>
    <b:Tag>Gra16</b:Tag>
    <b:SourceType>JournalArticle</b:SourceType>
    <b:Guid>{B6878C2F-7541-4FF9-913A-E1288E94A2E8}</b:Guid>
    <b:Title>Tecnologías de la información y la comunicación: Evolución del concepto y características</b:Title>
    <b:Year>2016</b:Year>
    <b:JournalName>International Journal of Educational Research an Innovation</b:JournalName>
    <b:Pages>2018-230</b:Pages>
    <b:Author>
      <b:Author>
        <b:NameList>
          <b:Person>
            <b:Last>Grande</b:Last>
            <b:First>M</b:First>
          </b:Person>
          <b:Person>
            <b:Last>Cañon</b:Last>
            <b:First>R</b:First>
          </b:Person>
          <b:Person>
            <b:Last>Cantón</b:Last>
            <b:First>I</b:First>
          </b:Person>
        </b:NameList>
      </b:Author>
    </b:Author>
    <b:RefOrder>12</b:RefOrder>
  </b:Source>
  <b:Source>
    <b:Tag>Rod17</b:Tag>
    <b:SourceType>JournalArticle</b:SourceType>
    <b:Guid>{C3C69A27-A0B5-4517-AB81-65B4CFF35CC5}</b:Guid>
    <b:Title>Validez y utilidad diagnóstica de la escala Eating Attitudes Test-26 para la evaluación del riesgo de trastornos de la conducta alimentaria en población masculina de Medellín, Colombia</b:Title>
    <b:JournalName>Atención Primaria</b:JournalName>
    <b:Year>2016</b:Year>
    <b:Pages>206-213</b:Pages>
    <b:Author>
      <b:Author>
        <b:NameList>
          <b:Person>
            <b:Last>Constain</b:Last>
            <b:Middle>A</b:Middle>
            <b:First>Gustavo</b:First>
          </b:Person>
          <b:Person>
            <b:Last>Rodríguez-Gázquez</b:Last>
            <b:First>María de los Ángeles</b:First>
          </b:Person>
          <b:Person>
            <b:Last>Ramírez Jímenez</b:Last>
            <b:Middle>Andrés</b:Middle>
            <b:First>Guillermo</b:First>
          </b:Person>
          <b:Person>
            <b:Last>Gómez Vásquez</b:Last>
            <b:Middle>María</b:Middle>
            <b:First>Gloria</b:First>
          </b:Person>
          <b:Person>
            <b:Last>Mejía Cardona</b:Last>
            <b:First>Laura</b:First>
          </b:Person>
          <b:Person>
            <b:Last>Cardona Vélez</b:Last>
            <b:First>Jonathan</b:First>
          </b:Person>
        </b:NameList>
      </b:Author>
    </b:Author>
    <b:RefOrder>21</b:RefOrder>
  </b:Source>
  <b:Source>
    <b:Tag>Rut14</b:Tag>
    <b:SourceType>JournalArticle</b:SourceType>
    <b:Guid>{1E7AC064-BC1F-4A84-A4A7-8DDB9626829C}</b:Guid>
    <b:Title>Perfeccionismo y baja autoestima en el continuo de los trastornos alimentarios en las adolescentes de Buenos Aires</b:Title>
    <b:JournalName>Revista Mexicana de Trastornos Alimentarios</b:JournalName>
    <b:Year>2014</b:Year>
    <b:Pages>39-49</b:Pages>
    <b:Author>
      <b:Author>
        <b:NameList>
          <b:Person>
            <b:Last>Rutsztein</b:Last>
            <b:First>Guillermo</b:First>
          </b:Person>
          <b:Person>
            <b:Last>Scappatura</b:Last>
            <b:First>M. Luz</b:First>
          </b:Person>
          <b:Person>
            <b:Last>Murawski</b:Last>
            <b:First>Brenda</b:First>
          </b:Person>
        </b:NameList>
      </b:Author>
    </b:Author>
    <b:RefOrder>22</b:RefOrder>
  </b:Source>
  <b:Source>
    <b:Tag>Sil16</b:Tag>
    <b:SourceType>JournalArticle</b:SourceType>
    <b:Guid>{67D2DA60-133F-4279-A698-B37E8A4ADADD}</b:Guid>
    <b:Title>Rol de género y actitudes alimentarias en adolescentes de dos diferentes contextos socioculturales: Tradicional vs. No Tradicional</b:Title>
    <b:JournalName>Revista Mexicana de Trastornos Alimentarios</b:JournalName>
    <b:Year>2017</b:Year>
    <b:Pages>40-48</b:Pages>
    <b:Author>
      <b:Author>
        <b:NameList>
          <b:Person>
            <b:Last>Silva</b:Last>
            <b:First>Cecilia</b:First>
          </b:Person>
          <b:Person>
            <b:Last>Millán Díaz</b:Last>
            <b:First>Bertha Aurora</b:First>
          </b:Person>
          <b:Person>
            <b:Last>Gonzáles Alcántara</b:Last>
            <b:First>Karla Edith</b:First>
          </b:Person>
        </b:NameList>
      </b:Author>
    </b:Author>
    <b:RefOrder>23</b:RefOrder>
  </b:Source>
  <b:Source>
    <b:Tag>Cam17</b:Tag>
    <b:SourceType>JournalArticle</b:SourceType>
    <b:Guid>{F12A45E0-D5D9-4672-B979-B70327787462}</b:Guid>
    <b:Title>Factores de riesgo de trastornos de la conducta alimentaria entre universitarios: Estimación de vulnerabilidad por sexo y edad</b:Title>
    <b:JournalName>Revista Mexicana de Trastornos Alimentarios</b:JournalName>
    <b:Year>2017</b:Year>
    <b:Pages>105-112</b:Pages>
    <b:Author>
      <b:Author>
        <b:NameList>
          <b:Person>
            <b:Last>Camino Escolar-Llamazares</b:Last>
            <b:First>María</b:First>
          </b:Person>
          <b:Person>
            <b:Last>Martínez Martín</b:Last>
            <b:Middle>Ángeles</b:Middle>
            <b:First>María</b:First>
          </b:Person>
          <b:Person>
            <b:Last>González Alonso</b:Last>
            <b:Middle>Yolanda</b:Middle>
            <b:First>María</b:First>
          </b:Person>
          <b:Person>
            <b:Last>Medina</b:Last>
            <b:Middle>María Begoña</b:Middle>
            <b:First>Gómez</b:First>
          </b:Person>
          <b:Person>
            <b:Last>Mercado</b:Last>
            <b:Middle>Elvira</b:Middle>
            <b:First>Val</b:First>
          </b:Person>
          <b:Person>
            <b:Last>Lara Ortega</b:Last>
            <b:First>Fernando</b:First>
          </b:Person>
        </b:NameList>
      </b:Author>
    </b:Author>
    <b:RefOrder>24</b:RefOrder>
  </b:Source>
  <b:Source>
    <b:Tag>Sil17</b:Tag>
    <b:SourceType>JournalArticle</b:SourceType>
    <b:Guid>{F5DB0615-DB4E-4AB1-BB0D-049F38F5980B}</b:Guid>
    <b:Title>Rol de género y actitudes alimentarias en adolescentes de dos diferentes contextos socioculturales: Tradicional vs. No Tradicional</b:Title>
    <b:JournalName>Revista Mexicana de Trastornos Alimentarios</b:JournalName>
    <b:Year>2017</b:Year>
    <b:Pages>40-48</b:Pages>
    <b:Author>
      <b:Author>
        <b:NameList>
          <b:Person>
            <b:Last>Silva</b:Last>
            <b:First>Cecilia</b:First>
          </b:Person>
          <b:Person>
            <b:Last>Millán Díaz</b:Last>
            <b:Middle>Aurora</b:Middle>
            <b:First>Bertha</b:First>
          </b:Person>
          <b:Person>
            <b:Last>González Alcántara</b:Last>
            <b:Middle>Edith</b:Middle>
            <b:First>Karla</b:First>
          </b:Person>
        </b:NameList>
      </b:Author>
    </b:Author>
    <b:RefOrder>25</b:RefOrder>
  </b:Source>
  <b:Source>
    <b:Tag>Gar14</b:Tag>
    <b:SourceType>JournalArticle</b:SourceType>
    <b:Guid>{611369F4-1365-4801-BEDA-19078EB43655}</b:Guid>
    <b:Title>Atención de conducta alimentaria y atención primaria: el desafío de las nuevas tecnologías</b:Title>
    <b:JournalName>Atención Primaria</b:JournalName>
    <b:Year>2014</b:Year>
    <b:Pages>229-230</b:Pages>
    <b:Author>
      <b:Author>
        <b:NameList>
          <b:Person>
            <b:Last>García-Campayo</b:Last>
            <b:First>Javier</b:First>
          </b:Person>
          <b:Person>
            <b:Last>Cebolla</b:Last>
            <b:First>Ausias</b:First>
          </b:Person>
          <b:Person>
            <b:Last>Baños</b:Last>
            <b:First>Rosa M.</b:First>
          </b:Person>
        </b:NameList>
      </b:Author>
    </b:Author>
    <b:RefOrder>4</b:RefOrder>
  </b:Source>
  <b:Source>
    <b:Tag>Ale15</b:Tag>
    <b:SourceType>ConferenceProceedings</b:SourceType>
    <b:Guid>{0B4AC364-3240-433F-B06C-09A9603AFB74}</b:Guid>
    <b:Title>Gamificar: E uso de los elementos del juegos en la enseñanza de español</b:Title>
    <b:Year>2015</b:Year>
    <b:Pages>73-83</b:Pages>
    <b:ConferenceName>L Congreso. La culturan hispánica: de sus orígenes al siglo XXI</b:ConferenceName>
    <b:City>Burgos</b:City>
    <b:Author>
      <b:Author>
        <b:NameList>
          <b:Person>
            <b:Last>Alejaldre Biel</b:Last>
            <b:First>Leyre</b:First>
          </b:Person>
          <b:Person>
            <b:Last>García Jímenez</b:Last>
            <b:Middle>María </b:Middle>
            <b:First>Antonia</b:First>
          </b:Person>
        </b:NameList>
      </b:Author>
    </b:Author>
    <b:RefOrder>26</b:RefOrder>
  </b:Source>
</b:Sources>
</file>

<file path=customXml/itemProps1.xml><?xml version="1.0" encoding="utf-8"?>
<ds:datastoreItem xmlns:ds="http://schemas.openxmlformats.org/officeDocument/2006/customXml" ds:itemID="{1F39A549-037A-45D8-9F17-0120F5E2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49</Pages>
  <Words>11060</Words>
  <Characters>63042</Characters>
  <Application>Microsoft Office Word</Application>
  <DocSecurity>0</DocSecurity>
  <Lines>525</Lines>
  <Paragraphs>147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73955</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146</cp:revision>
  <cp:lastPrinted>2013-11-20T23:54:00Z</cp:lastPrinted>
  <dcterms:created xsi:type="dcterms:W3CDTF">2018-05-18T19:59:00Z</dcterms:created>
  <dcterms:modified xsi:type="dcterms:W3CDTF">2018-06-28T01:00:00Z</dcterms:modified>
</cp:coreProperties>
</file>