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DE</w:t>
      </w:r>
      <w:r w:rsidR="00827B7B">
        <w:rPr>
          <w:rFonts w:ascii="Times New Roman" w:hAnsi="Times New Roman"/>
          <w:b/>
          <w:sz w:val="28"/>
          <w:szCs w:val="28"/>
        </w:rPr>
        <w:t>SARROLLO DE UNA APLICACIÓN WEB</w:t>
      </w:r>
      <w:r w:rsidRPr="00E370B4">
        <w:rPr>
          <w:rFonts w:ascii="Times New Roman" w:hAnsi="Times New Roman"/>
          <w:b/>
          <w:sz w:val="28"/>
          <w:szCs w:val="28"/>
        </w:rPr>
        <w:t xml:space="preserve">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w:t>
      </w:r>
      <w:r w:rsidR="00827B7B">
        <w:rPr>
          <w:rFonts w:ascii="Times New Roman" w:hAnsi="Times New Roman"/>
          <w:sz w:val="21"/>
          <w:szCs w:val="21"/>
        </w:rPr>
        <w:t>WEB</w:t>
      </w:r>
      <w:r w:rsidRPr="00960712">
        <w:rPr>
          <w:rFonts w:ascii="Times New Roman" w:hAnsi="Times New Roman"/>
          <w:sz w:val="21"/>
          <w:szCs w:val="21"/>
        </w:rPr>
        <w:t xml:space="preserve">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w:t>
      </w:r>
      <w:r w:rsidR="00827B7B" w:rsidRPr="00471CAF">
        <w:rPr>
          <w:b/>
          <w:color w:val="FF0000"/>
          <w:sz w:val="16"/>
          <w:szCs w:val="16"/>
        </w:rPr>
        <w:t>INFORMACION Y</w:t>
      </w:r>
      <w:r w:rsidRPr="00471CAF">
        <w:rPr>
          <w:b/>
          <w:color w:val="FF0000"/>
          <w:sz w:val="16"/>
          <w:szCs w:val="16"/>
        </w:rPr>
        <w:t xml:space="preserve">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sidR="00827B7B">
        <w:rPr>
          <w:rFonts w:ascii="Times New Roman" w:hAnsi="Times New Roman"/>
          <w:color w:val="000000"/>
          <w:sz w:val="24"/>
          <w:szCs w:val="24"/>
        </w:rPr>
        <w:t>web</w:t>
      </w:r>
      <w:r w:rsidRPr="000C18B8">
        <w:rPr>
          <w:rFonts w:ascii="Times New Roman" w:hAnsi="Times New Roman"/>
          <w:color w:val="000000"/>
          <w:sz w:val="24"/>
          <w:szCs w:val="24"/>
        </w:rPr>
        <w:t xml:space="preserve">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Desarrollar la aplicación </w:t>
      </w:r>
      <w:r w:rsidR="00827B7B">
        <w:rPr>
          <w:rFonts w:ascii="Times New Roman" w:hAnsi="Times New Roman"/>
          <w:color w:val="000000"/>
          <w:sz w:val="24"/>
          <w:szCs w:val="24"/>
          <w:lang w:val="es-ES"/>
        </w:rPr>
        <w:t>web</w:t>
      </w:r>
      <w:r>
        <w:rPr>
          <w:rFonts w:ascii="Times New Roman" w:hAnsi="Times New Roman"/>
          <w:color w:val="000000"/>
          <w:sz w:val="24"/>
          <w:szCs w:val="24"/>
          <w:lang w:val="es-ES"/>
        </w:rPr>
        <w:t xml:space="preserve">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que se pl</w:t>
      </w:r>
      <w:r w:rsidR="00827B7B">
        <w:rPr>
          <w:rFonts w:ascii="Times New Roman" w:hAnsi="Times New Roman"/>
          <w:color w:val="000000"/>
          <w:sz w:val="24"/>
          <w:szCs w:val="24"/>
          <w:lang w:val="es-ES"/>
        </w:rPr>
        <w:t>antea estará disponible como una página web, al cual se podrá acceder desde cualquier dispositivo adaptándose al tamaño de pantalla que se tenga</w:t>
      </w:r>
      <w:r w:rsidR="00D83595">
        <w:rPr>
          <w:rFonts w:ascii="Times New Roman" w:hAnsi="Times New Roman"/>
          <w:color w:val="000000"/>
          <w:sz w:val="24"/>
          <w:szCs w:val="24"/>
          <w:lang w:val="es-ES"/>
        </w:rPr>
        <w:t xml:space="preserve">.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w:t>
      </w:r>
      <w:r w:rsidR="00827B7B">
        <w:rPr>
          <w:rFonts w:ascii="Times New Roman" w:hAnsi="Times New Roman"/>
          <w:color w:val="000000"/>
          <w:sz w:val="24"/>
          <w:szCs w:val="24"/>
          <w:lang w:val="es-ES"/>
        </w:rPr>
        <w:t>página</w:t>
      </w:r>
      <w:r w:rsidR="00D83595">
        <w:rPr>
          <w:rFonts w:ascii="Times New Roman" w:hAnsi="Times New Roman"/>
          <w:color w:val="000000"/>
          <w:sz w:val="24"/>
          <w:szCs w:val="24"/>
          <w:lang w:val="es-ES"/>
        </w:rPr>
        <w:t xml:space="preserve"> </w:t>
      </w:r>
      <w:r w:rsidR="00827B7B">
        <w:rPr>
          <w:rFonts w:ascii="Times New Roman" w:hAnsi="Times New Roman"/>
          <w:color w:val="000000"/>
          <w:sz w:val="24"/>
          <w:szCs w:val="24"/>
          <w:lang w:val="es-ES"/>
        </w:rPr>
        <w:t>web</w:t>
      </w:r>
      <w:r w:rsidR="009B3CCF">
        <w:rPr>
          <w:rFonts w:ascii="Times New Roman" w:hAnsi="Times New Roman"/>
          <w:color w:val="000000"/>
          <w:sz w:val="24"/>
          <w:szCs w:val="24"/>
          <w:lang w:val="es-ES"/>
        </w:rPr>
        <w:t xml:space="preserve"> </w:t>
      </w:r>
      <w:r w:rsidR="00D83595">
        <w:rPr>
          <w:rFonts w:ascii="Times New Roman" w:hAnsi="Times New Roman"/>
          <w:color w:val="000000"/>
          <w:sz w:val="24"/>
          <w:szCs w:val="24"/>
          <w:lang w:val="es-ES"/>
        </w:rPr>
        <w:t xml:space="preserve">se pueda detectar la tendencia </w:t>
      </w:r>
      <w:r w:rsidR="00D83595">
        <w:rPr>
          <w:rFonts w:ascii="Times New Roman" w:hAnsi="Times New Roman"/>
          <w:color w:val="000000"/>
          <w:sz w:val="24"/>
          <w:szCs w:val="24"/>
          <w:lang w:val="es-ES"/>
        </w:rPr>
        <w:lastRenderedPageBreak/>
        <w:t>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End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497544" w:rsidRDefault="00F57D6D" w:rsidP="003A1900">
      <w:pPr>
        <w:autoSpaceDE w:val="0"/>
        <w:autoSpaceDN w:val="0"/>
        <w:adjustRightInd w:val="0"/>
        <w:spacing w:after="0" w:line="240" w:lineRule="auto"/>
        <w:jc w:val="both"/>
        <w:rPr>
          <w:rFonts w:ascii="Times New Roman" w:hAnsi="Times New Roman"/>
          <w:color w:val="000000"/>
          <w:sz w:val="24"/>
          <w:szCs w:val="24"/>
        </w:rPr>
      </w:pPr>
      <w:r w:rsidRPr="00827B7B">
        <w:rPr>
          <w:rFonts w:ascii="Times New Roman" w:hAnsi="Times New Roman"/>
          <w:color w:val="000000"/>
          <w:sz w:val="24"/>
          <w:szCs w:val="24"/>
          <w:highlight w:val="yellow"/>
        </w:rPr>
        <w:t xml:space="preserve">Incluir el uso de la tecnología móvil es algo que ya se ha venido incorporando masivamente en la vida de los ciudadanos, siendo las personas jóvenes quienes más atraídas están por la tecnología. En el campo de la salud, se ha visto un crecimiento grande e innovador con aplicaciones móviles desarrolladas donde muchas de ellas cuentan con 44 millones de descargas anuales. Estas aplicaciones presentan potenciales beneficios que pueden ayudar a mejor la calidad de prestación del servicio, evitar errores médicos mediante algoritmos clínicos y mejorar el acceso a los servicios de salud. </w:t>
      </w:r>
      <w:sdt>
        <w:sdtPr>
          <w:rPr>
            <w:rFonts w:ascii="Times New Roman" w:hAnsi="Times New Roman"/>
            <w:color w:val="000000"/>
            <w:sz w:val="24"/>
            <w:szCs w:val="24"/>
            <w:highlight w:val="yellow"/>
          </w:rPr>
          <w:id w:val="963698997"/>
          <w:citation/>
        </w:sdtPr>
        <w:sdtEndPr/>
        <w:sdtContent>
          <w:r w:rsidRPr="00827B7B">
            <w:rPr>
              <w:rFonts w:ascii="Times New Roman" w:hAnsi="Times New Roman"/>
              <w:color w:val="000000"/>
              <w:sz w:val="24"/>
              <w:szCs w:val="24"/>
              <w:highlight w:val="yellow"/>
            </w:rPr>
            <w:fldChar w:fldCharType="begin"/>
          </w:r>
          <w:r w:rsidRPr="00827B7B">
            <w:rPr>
              <w:rFonts w:ascii="Times New Roman" w:hAnsi="Times New Roman"/>
              <w:color w:val="000000"/>
              <w:sz w:val="24"/>
              <w:szCs w:val="24"/>
              <w:highlight w:val="yellow"/>
            </w:rPr>
            <w:instrText xml:space="preserve"> CITATION San15 \l 10250 </w:instrText>
          </w:r>
          <w:r w:rsidRPr="00827B7B">
            <w:rPr>
              <w:rFonts w:ascii="Times New Roman" w:hAnsi="Times New Roman"/>
              <w:color w:val="000000"/>
              <w:sz w:val="24"/>
              <w:szCs w:val="24"/>
              <w:highlight w:val="yellow"/>
            </w:rPr>
            <w:fldChar w:fldCharType="separate"/>
          </w:r>
          <w:r w:rsidR="007F0CFA" w:rsidRPr="00827B7B">
            <w:rPr>
              <w:rFonts w:ascii="Times New Roman" w:hAnsi="Times New Roman"/>
              <w:noProof/>
              <w:color w:val="000000"/>
              <w:sz w:val="24"/>
              <w:szCs w:val="24"/>
              <w:highlight w:val="yellow"/>
            </w:rPr>
            <w:t>(Santamaría-Puerto &amp; Hernández-Rincón, 2015)</w:t>
          </w:r>
          <w:r w:rsidRPr="00827B7B">
            <w:rPr>
              <w:rFonts w:ascii="Times New Roman" w:hAnsi="Times New Roman"/>
              <w:color w:val="000000"/>
              <w:sz w:val="24"/>
              <w:szCs w:val="24"/>
              <w:highlight w:val="yellow"/>
            </w:rPr>
            <w:fldChar w:fldCharType="end"/>
          </w:r>
        </w:sdtContent>
      </w:sdt>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End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Pr>
              <w:rFonts w:ascii="Times New Roman" w:hAnsi="Times New Roman"/>
              <w:bCs/>
              <w:noProof/>
              <w:color w:val="000000"/>
              <w:sz w:val="24"/>
              <w:szCs w:val="24"/>
            </w:rPr>
            <w:t xml:space="preserve"> </w:t>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Pr="006F1B47"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6F1B47">
        <w:rPr>
          <w:rFonts w:ascii="Times New Roman" w:hAnsi="Times New Roman"/>
          <w:bCs/>
          <w:color w:val="000000"/>
          <w:sz w:val="24"/>
          <w:szCs w:val="24"/>
        </w:rPr>
        <w:t>La adolescencia tardía (15 a 19 años)</w:t>
      </w:r>
    </w:p>
    <w:p w:rsidR="00210A33" w:rsidRPr="006F1B47"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Pr>
              <w:rFonts w:ascii="Times New Roman" w:hAnsi="Times New Roman"/>
              <w:bCs/>
              <w:noProof/>
              <w:color w:val="000000"/>
              <w:sz w:val="24"/>
              <w:szCs w:val="24"/>
            </w:rPr>
            <w:t xml:space="preserve"> </w:t>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End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End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Pr="00515337"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highlight w:val="yellow"/>
        </w:rPr>
      </w:pPr>
      <w:r w:rsidRPr="00515337">
        <w:rPr>
          <w:rFonts w:ascii="Times New Roman" w:hAnsi="Times New Roman"/>
          <w:bCs/>
          <w:color w:val="000000"/>
          <w:sz w:val="24"/>
          <w:szCs w:val="24"/>
          <w:highlight w:val="yellow"/>
        </w:rPr>
        <w:t>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Es necesario aclarar </w:t>
      </w:r>
      <w:r w:rsidRPr="00DD35A0">
        <w:rPr>
          <w:rFonts w:ascii="Times New Roman" w:hAnsi="Times New Roman"/>
          <w:bCs/>
          <w:color w:val="000000"/>
          <w:sz w:val="24"/>
          <w:szCs w:val="24"/>
        </w:rPr>
        <w:t>que las tecnologías móviles, en sus inicios, eran</w:t>
      </w:r>
      <w:r>
        <w:rPr>
          <w:rFonts w:ascii="Times New Roman" w:hAnsi="Times New Roman"/>
          <w:bCs/>
          <w:color w:val="000000"/>
          <w:sz w:val="24"/>
          <w:szCs w:val="24"/>
        </w:rPr>
        <w:t xml:space="preserve"> </w:t>
      </w:r>
      <w:r w:rsidRPr="00DD35A0">
        <w:rPr>
          <w:rFonts w:ascii="Times New Roman" w:hAnsi="Times New Roman"/>
          <w:bCs/>
          <w:color w:val="000000"/>
          <w:sz w:val="24"/>
          <w:szCs w:val="24"/>
        </w:rPr>
        <w:t>desarrolladas para utilizarse en las computadoras de escritorio y portátiles, lo común en ese</w:t>
      </w:r>
      <w:r>
        <w:rPr>
          <w:rFonts w:ascii="Times New Roman" w:hAnsi="Times New Roman"/>
          <w:bCs/>
          <w:color w:val="000000"/>
          <w:sz w:val="24"/>
          <w:szCs w:val="24"/>
        </w:rPr>
        <w:t xml:space="preserve"> </w:t>
      </w:r>
      <w:r w:rsidRPr="00DD35A0">
        <w:rPr>
          <w:rFonts w:ascii="Times New Roman" w:hAnsi="Times New Roman"/>
          <w:bCs/>
          <w:color w:val="000000"/>
          <w:sz w:val="24"/>
          <w:szCs w:val="24"/>
        </w:rPr>
        <w:t>tiempo; sin embargo, los dispositivos han cambiado y con ese cambio se ha presentado la</w:t>
      </w:r>
      <w:r>
        <w:rPr>
          <w:rFonts w:ascii="Times New Roman" w:hAnsi="Times New Roman"/>
          <w:bCs/>
          <w:color w:val="000000"/>
          <w:sz w:val="24"/>
          <w:szCs w:val="24"/>
        </w:rPr>
        <w:t xml:space="preserve"> </w:t>
      </w:r>
      <w:r w:rsidRPr="00DD35A0">
        <w:rPr>
          <w:rFonts w:ascii="Times New Roman" w:hAnsi="Times New Roman"/>
          <w:bCs/>
          <w:color w:val="000000"/>
          <w:sz w:val="24"/>
          <w:szCs w:val="24"/>
        </w:rPr>
        <w:t>evolución de la tecnología web. Ahora bajo esta tecnología los recursos son creados para</w:t>
      </w:r>
      <w:r>
        <w:rPr>
          <w:rFonts w:ascii="Times New Roman" w:hAnsi="Times New Roman"/>
          <w:bCs/>
          <w:color w:val="000000"/>
          <w:sz w:val="24"/>
          <w:szCs w:val="24"/>
        </w:rPr>
        <w:t xml:space="preserve"> </w:t>
      </w:r>
      <w:r w:rsidRPr="00DD35A0">
        <w:rPr>
          <w:rFonts w:ascii="Times New Roman" w:hAnsi="Times New Roman"/>
          <w:bCs/>
          <w:color w:val="000000"/>
          <w:sz w:val="24"/>
          <w:szCs w:val="24"/>
        </w:rPr>
        <w:t>ejecutarse mediante dispositivos móviles inteligentes.</w:t>
      </w:r>
      <w:r w:rsidR="00C518C4">
        <w:rPr>
          <w:rFonts w:ascii="Times New Roman" w:hAnsi="Times New Roman"/>
          <w:bCs/>
          <w:color w:val="000000"/>
          <w:sz w:val="24"/>
          <w:szCs w:val="24"/>
        </w:rPr>
        <w:t xml:space="preserve"> </w:t>
      </w:r>
      <w:sdt>
        <w:sdtPr>
          <w:rPr>
            <w:rFonts w:ascii="Times New Roman" w:hAnsi="Times New Roman"/>
            <w:bCs/>
            <w:color w:val="000000"/>
            <w:sz w:val="24"/>
            <w:szCs w:val="24"/>
          </w:rPr>
          <w:id w:val="-2120283414"/>
          <w:citation/>
        </w:sdtPr>
        <w:sdtEndPr/>
        <w:sdtContent>
          <w:r w:rsidR="00C518C4">
            <w:rPr>
              <w:rFonts w:ascii="Times New Roman" w:hAnsi="Times New Roman"/>
              <w:bCs/>
              <w:color w:val="000000"/>
              <w:sz w:val="24"/>
              <w:szCs w:val="24"/>
            </w:rPr>
            <w:fldChar w:fldCharType="begin"/>
          </w:r>
          <w:r w:rsidR="00C518C4">
            <w:rPr>
              <w:rFonts w:ascii="Times New Roman" w:hAnsi="Times New Roman"/>
              <w:bCs/>
              <w:color w:val="000000"/>
              <w:sz w:val="24"/>
              <w:szCs w:val="24"/>
            </w:rPr>
            <w:instrText xml:space="preserve"> CITATION Gar13 \l 10250 </w:instrText>
          </w:r>
          <w:r w:rsidR="00C518C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(Garita-Araya, 2013)</w:t>
          </w:r>
          <w:r w:rsidR="00C518C4">
            <w:rPr>
              <w:rFonts w:ascii="Times New Roman" w:hAnsi="Times New Roman"/>
              <w:bCs/>
              <w:color w:val="000000"/>
              <w:sz w:val="24"/>
              <w:szCs w:val="24"/>
            </w:rPr>
            <w:fldChar w:fldCharType="end"/>
          </w:r>
        </w:sdtContent>
      </w:sdt>
    </w:p>
    <w:p w:rsidR="00DD35A0" w:rsidRP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p>
    <w:p w:rsidR="000C77ED"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tanto</w:t>
      </w:r>
      <w:r w:rsidRPr="00DD35A0">
        <w:rPr>
          <w:rFonts w:ascii="Times New Roman" w:hAnsi="Times New Roman"/>
          <w:bCs/>
          <w:color w:val="000000"/>
          <w:sz w:val="24"/>
          <w:szCs w:val="24"/>
        </w:rPr>
        <w:t>, se podría denominar dispositivo móvil a todo aparato electrónico que cumple</w:t>
      </w:r>
      <w:r>
        <w:rPr>
          <w:rFonts w:ascii="Times New Roman" w:hAnsi="Times New Roman"/>
          <w:bCs/>
          <w:color w:val="000000"/>
          <w:sz w:val="24"/>
          <w:szCs w:val="24"/>
        </w:rPr>
        <w:t xml:space="preserve"> ciertas características básicas: </w:t>
      </w:r>
    </w:p>
    <w:p w:rsid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Son de reducido tamaño</w:t>
      </w: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Presentan actualmente pantallas táctiles </w:t>
      </w: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Su conexión es inalámbrica</w:t>
      </w:r>
    </w:p>
    <w:p w:rsidR="00DD35A0" w:rsidRDefault="00DD35A0" w:rsidP="00DD35A0">
      <w:pPr>
        <w:autoSpaceDE w:val="0"/>
        <w:autoSpaceDN w:val="0"/>
        <w:adjustRightInd w:val="0"/>
        <w:spacing w:after="0" w:line="240" w:lineRule="auto"/>
        <w:jc w:val="both"/>
        <w:rPr>
          <w:rFonts w:ascii="Times New Roman" w:hAnsi="Times New Roman"/>
          <w:bCs/>
          <w:color w:val="000000"/>
          <w:sz w:val="24"/>
          <w:szCs w:val="24"/>
        </w:rPr>
      </w:pPr>
    </w:p>
    <w:p w:rsidR="000C77ED" w:rsidRDefault="004C42AF" w:rsidP="004C42AF">
      <w:pPr>
        <w:autoSpaceDE w:val="0"/>
        <w:autoSpaceDN w:val="0"/>
        <w:adjustRightInd w:val="0"/>
        <w:spacing w:after="0" w:line="240" w:lineRule="auto"/>
        <w:ind w:left="852"/>
        <w:jc w:val="both"/>
        <w:rPr>
          <w:rFonts w:ascii="Times New Roman" w:hAnsi="Times New Roman"/>
          <w:bCs/>
          <w:color w:val="000000"/>
          <w:sz w:val="24"/>
          <w:szCs w:val="24"/>
        </w:rPr>
      </w:pPr>
      <w:r w:rsidRPr="004C42AF">
        <w:rPr>
          <w:rFonts w:ascii="Times New Roman" w:hAnsi="Times New Roman"/>
          <w:bCs/>
          <w:color w:val="000000"/>
          <w:sz w:val="24"/>
          <w:szCs w:val="24"/>
        </w:rPr>
        <w:t xml:space="preserve">En la actualidad, los dispositivos móviles forman un grupo sumamente </w:t>
      </w:r>
      <w:r>
        <w:rPr>
          <w:rFonts w:ascii="Times New Roman" w:hAnsi="Times New Roman"/>
          <w:bCs/>
          <w:color w:val="000000"/>
          <w:sz w:val="24"/>
          <w:szCs w:val="24"/>
        </w:rPr>
        <w:t>grande</w:t>
      </w:r>
      <w:r w:rsidRPr="004C42AF">
        <w:rPr>
          <w:rFonts w:ascii="Times New Roman" w:hAnsi="Times New Roman"/>
          <w:bCs/>
          <w:color w:val="000000"/>
          <w:sz w:val="24"/>
          <w:szCs w:val="24"/>
        </w:rPr>
        <w:t xml:space="preserve"> y pueden</w:t>
      </w:r>
      <w:r>
        <w:rPr>
          <w:rFonts w:ascii="Times New Roman" w:hAnsi="Times New Roman"/>
          <w:bCs/>
          <w:color w:val="000000"/>
          <w:sz w:val="24"/>
          <w:szCs w:val="24"/>
        </w:rPr>
        <w:t xml:space="preserve"> </w:t>
      </w:r>
      <w:r w:rsidRPr="004C42AF">
        <w:rPr>
          <w:rFonts w:ascii="Times New Roman" w:hAnsi="Times New Roman"/>
          <w:bCs/>
          <w:color w:val="000000"/>
          <w:sz w:val="24"/>
          <w:szCs w:val="24"/>
        </w:rPr>
        <w:t xml:space="preserve">incorporar casi cualquier componente de hardware y software que </w:t>
      </w:r>
      <w:r>
        <w:rPr>
          <w:rFonts w:ascii="Times New Roman" w:hAnsi="Times New Roman"/>
          <w:bCs/>
          <w:color w:val="000000"/>
          <w:sz w:val="24"/>
          <w:szCs w:val="24"/>
        </w:rPr>
        <w:t>potencie su función</w:t>
      </w:r>
      <w:r w:rsidRPr="004C42AF">
        <w:rPr>
          <w:rFonts w:ascii="Times New Roman" w:hAnsi="Times New Roman"/>
          <w:bCs/>
          <w:color w:val="000000"/>
          <w:sz w:val="24"/>
          <w:szCs w:val="24"/>
        </w:rPr>
        <w:t>. El más frecuente, sin duda, es la conexión telefónica y la conexión a Internet. La clasificación que se pueda hacer de estos aparatos está sujeta a diferentes</w:t>
      </w:r>
      <w:r>
        <w:rPr>
          <w:rFonts w:ascii="Times New Roman" w:hAnsi="Times New Roman"/>
          <w:bCs/>
          <w:color w:val="000000"/>
          <w:sz w:val="24"/>
          <w:szCs w:val="24"/>
        </w:rPr>
        <w:t xml:space="preserve"> </w:t>
      </w:r>
      <w:r w:rsidRPr="004C42AF">
        <w:rPr>
          <w:rFonts w:ascii="Times New Roman" w:hAnsi="Times New Roman"/>
          <w:bCs/>
          <w:color w:val="000000"/>
          <w:sz w:val="24"/>
          <w:szCs w:val="24"/>
        </w:rPr>
        <w:t>valoraciones, y a veces no existe un acuerdo amplio para ubicar un dispositivo móvil en una</w:t>
      </w:r>
      <w:r>
        <w:rPr>
          <w:rFonts w:ascii="Times New Roman" w:hAnsi="Times New Roman"/>
          <w:bCs/>
          <w:color w:val="000000"/>
          <w:sz w:val="24"/>
          <w:szCs w:val="24"/>
        </w:rPr>
        <w:t xml:space="preserve"> </w:t>
      </w:r>
      <w:r w:rsidRPr="004C42AF">
        <w:rPr>
          <w:rFonts w:ascii="Times New Roman" w:hAnsi="Times New Roman"/>
          <w:bCs/>
          <w:color w:val="000000"/>
          <w:sz w:val="24"/>
          <w:szCs w:val="24"/>
        </w:rPr>
        <w:t>determinada clase. Se establece su clasificación al considerar, esencialmente, la función</w:t>
      </w:r>
      <w:r>
        <w:rPr>
          <w:rFonts w:ascii="Times New Roman" w:hAnsi="Times New Roman"/>
          <w:bCs/>
          <w:color w:val="000000"/>
          <w:sz w:val="24"/>
          <w:szCs w:val="24"/>
        </w:rPr>
        <w:t xml:space="preserve"> </w:t>
      </w:r>
      <w:r w:rsidRPr="004C42AF">
        <w:rPr>
          <w:rFonts w:ascii="Times New Roman" w:hAnsi="Times New Roman"/>
          <w:bCs/>
          <w:color w:val="000000"/>
          <w:sz w:val="24"/>
          <w:szCs w:val="24"/>
        </w:rPr>
        <w:t>establecida o su creación para un público concreto.</w:t>
      </w:r>
    </w:p>
    <w:p w:rsidR="004C42AF" w:rsidRPr="004C42AF" w:rsidRDefault="004C42AF" w:rsidP="004C42AF">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E3B78">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Tipos de 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4C42AF" w:rsidRDefault="004C42AF" w:rsidP="004C42AF">
      <w:pPr>
        <w:autoSpaceDE w:val="0"/>
        <w:autoSpaceDN w:val="0"/>
        <w:adjustRightInd w:val="0"/>
        <w:spacing w:after="0" w:line="240" w:lineRule="auto"/>
        <w:ind w:left="1136" w:firstLine="284"/>
        <w:jc w:val="both"/>
        <w:rPr>
          <w:rFonts w:ascii="Times New Roman" w:hAnsi="Times New Roman"/>
          <w:bCs/>
          <w:color w:val="000000"/>
          <w:sz w:val="24"/>
          <w:szCs w:val="24"/>
        </w:rPr>
      </w:pPr>
      <w:r w:rsidRPr="004C42AF">
        <w:rPr>
          <w:rFonts w:ascii="Times New Roman" w:hAnsi="Times New Roman"/>
          <w:bCs/>
          <w:color w:val="000000"/>
          <w:sz w:val="24"/>
          <w:szCs w:val="24"/>
        </w:rPr>
        <w:t>Los dispositivos móviles pueden ser clasificados en los siguientes grupos:</w:t>
      </w:r>
    </w:p>
    <w:p w:rsidR="000C77ED" w:rsidRDefault="000C77ED" w:rsidP="000C77ED">
      <w:pPr>
        <w:autoSpaceDE w:val="0"/>
        <w:autoSpaceDN w:val="0"/>
        <w:adjustRightInd w:val="0"/>
        <w:spacing w:after="0" w:line="240" w:lineRule="auto"/>
        <w:ind w:left="1420"/>
        <w:jc w:val="both"/>
        <w:rPr>
          <w:rFonts w:ascii="Times New Roman" w:hAnsi="Times New Roman"/>
          <w:bCs/>
          <w:color w:val="000000"/>
          <w:sz w:val="24"/>
          <w:szCs w:val="24"/>
        </w:rPr>
      </w:pP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de comunicación: son los dispositivos que presentan como función principal ofrecer una infraestructura de comunicación telefónica. Además, brindar la posibilidad de servicios como el envío de mensajes de texto</w:t>
      </w:r>
      <w:r>
        <w:rPr>
          <w:rFonts w:ascii="Times New Roman" w:hAnsi="Times New Roman"/>
          <w:bCs/>
          <w:color w:val="000000"/>
          <w:sz w:val="24"/>
          <w:szCs w:val="24"/>
        </w:rPr>
        <w:t xml:space="preserve"> </w:t>
      </w:r>
      <w:r w:rsidRPr="004C42AF">
        <w:rPr>
          <w:rFonts w:ascii="Times New Roman" w:hAnsi="Times New Roman"/>
          <w:bCs/>
          <w:color w:val="000000"/>
          <w:sz w:val="24"/>
          <w:szCs w:val="24"/>
        </w:rPr>
        <w:t>y multimedia.</w:t>
      </w:r>
      <w:r w:rsidRPr="004C42AF">
        <w:rPr>
          <w:rFonts w:ascii="Times New Roman" w:hAnsi="Times New Roman"/>
          <w:bCs/>
          <w:color w:val="000000"/>
          <w:sz w:val="24"/>
          <w:szCs w:val="24"/>
        </w:rPr>
        <w:tab/>
      </w: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de computación: son los dispositivos que ofrecen mayores</w:t>
      </w:r>
      <w:r>
        <w:rPr>
          <w:rFonts w:ascii="Times New Roman" w:hAnsi="Times New Roman"/>
          <w:bCs/>
          <w:color w:val="000000"/>
          <w:sz w:val="24"/>
          <w:szCs w:val="24"/>
        </w:rPr>
        <w:t xml:space="preserve"> </w:t>
      </w:r>
      <w:r w:rsidRPr="004C42AF">
        <w:rPr>
          <w:rFonts w:ascii="Times New Roman" w:hAnsi="Times New Roman"/>
          <w:bCs/>
          <w:color w:val="000000"/>
          <w:sz w:val="24"/>
          <w:szCs w:val="24"/>
        </w:rPr>
        <w:t>capacidades de procesamiento de datos y cuentan con una pantalla y teclado muy similares a la experiencia de los computadores personales. Los PDA y las computadoras portátiles tienen como sus principales beneficios la prestación de mayores y mejores servicios inclusive que los computadores de escritorio</w:t>
      </w:r>
      <w:r>
        <w:rPr>
          <w:rFonts w:ascii="Times New Roman" w:hAnsi="Times New Roman"/>
          <w:bCs/>
          <w:color w:val="000000"/>
          <w:sz w:val="24"/>
          <w:szCs w:val="24"/>
        </w:rPr>
        <w:t>.</w:t>
      </w:r>
    </w:p>
    <w:p w:rsidR="004C42AF" w:rsidRDefault="004C42AF" w:rsidP="007E6E1A">
      <w:pPr>
        <w:pStyle w:val="Prrafodelista"/>
        <w:numPr>
          <w:ilvl w:val="2"/>
          <w:numId w:val="17"/>
        </w:numPr>
        <w:tabs>
          <w:tab w:val="left" w:pos="2132"/>
        </w:tabs>
        <w:autoSpaceDE w:val="0"/>
        <w:autoSpaceDN w:val="0"/>
        <w:adjustRightInd w:val="0"/>
        <w:spacing w:after="0" w:line="240" w:lineRule="auto"/>
        <w:ind w:left="2132" w:hanging="408"/>
        <w:jc w:val="both"/>
        <w:rPr>
          <w:rFonts w:ascii="Times New Roman" w:hAnsi="Times New Roman"/>
          <w:bCs/>
          <w:color w:val="000000"/>
          <w:sz w:val="24"/>
          <w:szCs w:val="24"/>
        </w:rPr>
      </w:pPr>
      <w:r w:rsidRPr="004C42AF">
        <w:rPr>
          <w:rFonts w:ascii="Times New Roman" w:hAnsi="Times New Roman"/>
          <w:bCs/>
          <w:color w:val="000000"/>
          <w:sz w:val="24"/>
          <w:szCs w:val="24"/>
        </w:rPr>
        <w:t>Los dispositivos reproductores de multimedia: son aquellos que ha sido diseñados para proporcionar a los usuarios la oportunidad de reproducir uno o varios formatos digitales, ya sea audio, vídeo o imágenes. Algunos ejemplos de este tipo de dispositivo son los reproductores de MP3 y MP4, los DVD portátiles y todos los lectores de libros electrónicos.</w:t>
      </w: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móviles grabadores de multimedia: son los que permiten la grabación de datos en audio y vídeo. Se encuentran las cámaras fotográficas digitales o las cámaras de vídeo digital.</w:t>
      </w:r>
    </w:p>
    <w:p w:rsidR="000C77ED" w:rsidRPr="004C42AF" w:rsidRDefault="004C42AF" w:rsidP="000C77E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Las consolas portátiles: son dispositivos móviles cuya principal función es la de proporcionar al usuario una experiencia real de juego. Las consolas portátiles y los teléfonos celulares fueron los primeros dispositivos móviles en convertirse en un producto de masas.</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932AFC"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B22414" w:rsidRDefault="00B22414" w:rsidP="00B22414">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 diversas señales y conductas que presentan las perso</w:t>
      </w:r>
      <w:r w:rsidR="00030794">
        <w:rPr>
          <w:rFonts w:ascii="Times New Roman" w:hAnsi="Times New Roman"/>
          <w:bCs/>
          <w:color w:val="000000"/>
          <w:sz w:val="24"/>
          <w:szCs w:val="24"/>
        </w:rPr>
        <w:t>n</w:t>
      </w:r>
      <w:r w:rsidR="00550E2B">
        <w:rPr>
          <w:rFonts w:ascii="Times New Roman" w:hAnsi="Times New Roman"/>
          <w:bCs/>
          <w:color w:val="000000"/>
          <w:sz w:val="24"/>
          <w:szCs w:val="24"/>
        </w:rPr>
        <w:t xml:space="preserve">as que padecen de este trastorno </w:t>
      </w:r>
      <w:r w:rsidR="00800668">
        <w:rPr>
          <w:rFonts w:ascii="Times New Roman" w:hAnsi="Times New Roman"/>
          <w:bCs/>
          <w:color w:val="000000"/>
          <w:sz w:val="24"/>
          <w:szCs w:val="24"/>
        </w:rPr>
        <w:t xml:space="preserve">hacen que sea difícil un diagnóstico oportuno, por lo que en los últimos años se han descrito numerosos instrumentos para la exploración de los mismos. Entre estos instrumentos tenemos a los cuestionarios aplicados y las entrevistas </w:t>
      </w:r>
      <w:r w:rsidR="00800668" w:rsidRPr="00515337">
        <w:rPr>
          <w:rFonts w:ascii="Times New Roman" w:hAnsi="Times New Roman"/>
          <w:bCs/>
          <w:color w:val="000000"/>
          <w:sz w:val="24"/>
          <w:szCs w:val="24"/>
        </w:rPr>
        <w:t xml:space="preserve">estructuradas, los cuales son los principales instrumentos para la evaluación de los </w:t>
      </w:r>
      <w:r w:rsidR="00800668" w:rsidRPr="00515337">
        <w:rPr>
          <w:rFonts w:ascii="Times New Roman" w:hAnsi="Times New Roman"/>
          <w:bCs/>
          <w:color w:val="000000"/>
          <w:sz w:val="24"/>
          <w:szCs w:val="24"/>
        </w:rPr>
        <w:lastRenderedPageBreak/>
        <w:t>TCA, además existen otras mediciones relacionadas</w:t>
      </w:r>
      <w:r w:rsidR="00515337">
        <w:rPr>
          <w:rFonts w:ascii="Times New Roman" w:hAnsi="Times New Roman"/>
          <w:bCs/>
          <w:color w:val="000000"/>
          <w:sz w:val="24"/>
          <w:szCs w:val="24"/>
        </w:rPr>
        <w:t xml:space="preserve"> como puede ser la preocupación por la imagen corporal, el índice de masa corporal, la ingesta dietética, entre otras.</w:t>
      </w:r>
    </w:p>
    <w:p w:rsidR="00515337" w:rsidRDefault="00515337" w:rsidP="00B22414">
      <w:pPr>
        <w:autoSpaceDE w:val="0"/>
        <w:autoSpaceDN w:val="0"/>
        <w:adjustRightInd w:val="0"/>
        <w:spacing w:after="0" w:line="240" w:lineRule="auto"/>
        <w:ind w:left="720"/>
        <w:jc w:val="both"/>
        <w:rPr>
          <w:rFonts w:ascii="Times New Roman" w:hAnsi="Times New Roman"/>
          <w:bCs/>
          <w:color w:val="000000"/>
          <w:sz w:val="24"/>
          <w:szCs w:val="24"/>
        </w:rPr>
      </w:pPr>
    </w:p>
    <w:p w:rsidR="006F1B47" w:rsidRDefault="00515337" w:rsidP="00932AFC">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cuestionarios aut</w:t>
      </w:r>
      <w:r w:rsidR="00D06D86">
        <w:rPr>
          <w:rFonts w:ascii="Times New Roman" w:hAnsi="Times New Roman"/>
          <w:bCs/>
          <w:color w:val="000000"/>
          <w:sz w:val="24"/>
          <w:szCs w:val="24"/>
        </w:rPr>
        <w:t>o</w:t>
      </w:r>
      <w:r>
        <w:rPr>
          <w:rFonts w:ascii="Times New Roman" w:hAnsi="Times New Roman"/>
          <w:bCs/>
          <w:color w:val="000000"/>
          <w:sz w:val="24"/>
          <w:szCs w:val="24"/>
        </w:rPr>
        <w:t xml:space="preserve">aplicados </w:t>
      </w:r>
      <w:r w:rsidR="00D06D86">
        <w:rPr>
          <w:rFonts w:ascii="Times New Roman" w:hAnsi="Times New Roman"/>
          <w:bCs/>
          <w:color w:val="000000"/>
          <w:sz w:val="24"/>
          <w:szCs w:val="24"/>
        </w:rPr>
        <w:t>ayudan a reportar síntomas o conductas de riesgo ante la posible presencia de un TCA; si bien no dan un diagnóstico especifico del trastorno que se tenga, la puntuación que obtenga el individuo mediante el cuestionario podría indicar la presencia de algún trastorno alimenticio y por ello es necesario verificar el diagnóstico</w:t>
      </w:r>
      <w:bookmarkStart w:id="0" w:name="_GoBack"/>
      <w:bookmarkEnd w:id="0"/>
    </w:p>
    <w:p w:rsidR="00932AFC" w:rsidRP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Los cuestionarios autoaplicados reportan síntomas o conductas de</w:t>
      </w:r>
      <w:r>
        <w:rPr>
          <w:rFonts w:ascii="Times New Roman" w:hAnsi="Times New Roman"/>
          <w:bCs/>
          <w:color w:val="000000"/>
          <w:sz w:val="24"/>
          <w:szCs w:val="24"/>
        </w:rPr>
        <w:t xml:space="preserve"> </w:t>
      </w:r>
      <w:r w:rsidRPr="00932AFC">
        <w:rPr>
          <w:rFonts w:ascii="Times New Roman" w:hAnsi="Times New Roman"/>
          <w:bCs/>
          <w:color w:val="000000"/>
          <w:sz w:val="24"/>
          <w:szCs w:val="24"/>
        </w:rPr>
        <w:t>riesgo para TCA, no dan un diagnóstico específico, cuando un</w:t>
      </w:r>
      <w:r>
        <w:rPr>
          <w:rFonts w:ascii="Times New Roman" w:hAnsi="Times New Roman"/>
          <w:bCs/>
          <w:color w:val="000000"/>
          <w:sz w:val="24"/>
          <w:szCs w:val="24"/>
        </w:rPr>
        <w:t xml:space="preserve"> </w:t>
      </w:r>
      <w:r w:rsidRPr="00932AFC">
        <w:rPr>
          <w:rFonts w:ascii="Times New Roman" w:hAnsi="Times New Roman"/>
          <w:bCs/>
          <w:color w:val="000000"/>
          <w:sz w:val="24"/>
          <w:szCs w:val="24"/>
        </w:rPr>
        <w:t>individuo obtiene una puntuación que indique la presencia de algún</w:t>
      </w:r>
      <w:r>
        <w:rPr>
          <w:rFonts w:ascii="Times New Roman" w:hAnsi="Times New Roman"/>
          <w:bCs/>
          <w:color w:val="000000"/>
          <w:sz w:val="24"/>
          <w:szCs w:val="24"/>
        </w:rPr>
        <w:t xml:space="preserve"> </w:t>
      </w:r>
      <w:r w:rsidRPr="00932AFC">
        <w:rPr>
          <w:rFonts w:ascii="Times New Roman" w:hAnsi="Times New Roman"/>
          <w:bCs/>
          <w:color w:val="000000"/>
          <w:sz w:val="24"/>
          <w:szCs w:val="24"/>
        </w:rPr>
        <w:t>TCA es necesario verificar el diagnóstico por medio de entrevistas estructuradas. Las entrevistas</w:t>
      </w:r>
      <w:r>
        <w:rPr>
          <w:rFonts w:ascii="Times New Roman" w:hAnsi="Times New Roman"/>
          <w:bCs/>
          <w:color w:val="000000"/>
          <w:sz w:val="24"/>
          <w:szCs w:val="24"/>
        </w:rPr>
        <w:t xml:space="preserve"> </w:t>
      </w:r>
      <w:r w:rsidRPr="00932AFC">
        <w:rPr>
          <w:rFonts w:ascii="Times New Roman" w:hAnsi="Times New Roman"/>
          <w:bCs/>
          <w:color w:val="000000"/>
          <w:sz w:val="24"/>
          <w:szCs w:val="24"/>
        </w:rPr>
        <w:t>estructuradas son más precisas para evaluar un TCA, ya que pueden definirse los diferentes</w:t>
      </w:r>
      <w:r>
        <w:rPr>
          <w:rFonts w:ascii="Times New Roman" w:hAnsi="Times New Roman"/>
          <w:bCs/>
          <w:color w:val="000000"/>
          <w:sz w:val="24"/>
          <w:szCs w:val="24"/>
        </w:rPr>
        <w:t xml:space="preserve"> </w:t>
      </w:r>
      <w:r w:rsidRPr="00932AFC">
        <w:rPr>
          <w:rFonts w:ascii="Times New Roman" w:hAnsi="Times New Roman"/>
          <w:bCs/>
          <w:color w:val="000000"/>
          <w:sz w:val="24"/>
          <w:szCs w:val="24"/>
        </w:rPr>
        <w:t>conceptos de cada pregunta; sin embargo, tienen la desventaja de necesitar entrevistadores</w:t>
      </w:r>
      <w:r>
        <w:rPr>
          <w:rFonts w:ascii="Times New Roman" w:hAnsi="Times New Roman"/>
          <w:bCs/>
          <w:color w:val="000000"/>
          <w:sz w:val="24"/>
          <w:szCs w:val="24"/>
        </w:rPr>
        <w:t xml:space="preserve"> </w:t>
      </w:r>
      <w:r w:rsidRPr="00932AFC">
        <w:rPr>
          <w:rFonts w:ascii="Times New Roman" w:hAnsi="Times New Roman"/>
          <w:bCs/>
          <w:color w:val="000000"/>
          <w:sz w:val="24"/>
          <w:szCs w:val="24"/>
        </w:rPr>
        <w:t>entrenados debiéndose aplicar individualmente y, por consiguiente, aumento en el costo y en el</w:t>
      </w:r>
      <w:r>
        <w:rPr>
          <w:rFonts w:ascii="Times New Roman" w:hAnsi="Times New Roman"/>
          <w:bCs/>
          <w:color w:val="000000"/>
          <w:sz w:val="24"/>
          <w:szCs w:val="24"/>
        </w:rPr>
        <w:t xml:space="preserve"> tiempo. </w:t>
      </w:r>
      <w:r w:rsidRPr="00932AFC">
        <w:rPr>
          <w:rFonts w:ascii="Times New Roman" w:hAnsi="Times New Roman"/>
          <w:bCs/>
          <w:color w:val="000000"/>
          <w:sz w:val="24"/>
          <w:szCs w:val="24"/>
        </w:rPr>
        <w:t>Mientras que los cuestionarios autoaplicados son relativamente económicos, consumen</w:t>
      </w:r>
      <w:r>
        <w:rPr>
          <w:rFonts w:ascii="Times New Roman" w:hAnsi="Times New Roman"/>
          <w:bCs/>
          <w:color w:val="000000"/>
          <w:sz w:val="24"/>
          <w:szCs w:val="24"/>
        </w:rPr>
        <w:t xml:space="preserve"> </w:t>
      </w:r>
      <w:r w:rsidRPr="00932AFC">
        <w:rPr>
          <w:rFonts w:ascii="Times New Roman" w:hAnsi="Times New Roman"/>
          <w:bCs/>
          <w:color w:val="000000"/>
          <w:sz w:val="24"/>
          <w:szCs w:val="24"/>
        </w:rPr>
        <w:t>menos tiempo y pueden aplicarse a grupos grandes de personas; sin embargo, existe mayor</w:t>
      </w:r>
      <w:r>
        <w:rPr>
          <w:rFonts w:ascii="Times New Roman" w:hAnsi="Times New Roman"/>
          <w:bCs/>
          <w:color w:val="000000"/>
          <w:sz w:val="24"/>
          <w:szCs w:val="24"/>
        </w:rPr>
        <w:t xml:space="preserve"> </w:t>
      </w:r>
      <w:r w:rsidRPr="00932AFC">
        <w:rPr>
          <w:rFonts w:ascii="Times New Roman" w:hAnsi="Times New Roman"/>
          <w:bCs/>
          <w:color w:val="000000"/>
          <w:sz w:val="24"/>
          <w:szCs w:val="24"/>
        </w:rPr>
        <w:t>dificultad en cuanto a la definición e interpretación de los conceptos, por lo que hay que tener</w:t>
      </w:r>
      <w:r>
        <w:rPr>
          <w:rFonts w:ascii="Times New Roman" w:hAnsi="Times New Roman"/>
          <w:bCs/>
          <w:color w:val="000000"/>
          <w:sz w:val="24"/>
          <w:szCs w:val="24"/>
        </w:rPr>
        <w:t xml:space="preserve"> </w:t>
      </w:r>
      <w:r w:rsidRPr="00932AFC">
        <w:rPr>
          <w:rFonts w:ascii="Times New Roman" w:hAnsi="Times New Roman"/>
          <w:bCs/>
          <w:color w:val="000000"/>
          <w:sz w:val="24"/>
          <w:szCs w:val="24"/>
        </w:rPr>
        <w:t>cautela en pretender generalizar los resultados.</w:t>
      </w:r>
    </w:p>
    <w:p w:rsidR="008A0CAF" w:rsidRDefault="008A0CAF" w:rsidP="008A0CAF">
      <w:pPr>
        <w:autoSpaceDE w:val="0"/>
        <w:autoSpaceDN w:val="0"/>
        <w:adjustRightInd w:val="0"/>
        <w:spacing w:after="0" w:line="240" w:lineRule="auto"/>
        <w:jc w:val="both"/>
        <w:rPr>
          <w:rFonts w:ascii="Times New Roman" w:hAnsi="Times New Roman"/>
          <w:bCs/>
          <w:color w:val="000000"/>
          <w:sz w:val="24"/>
          <w:szCs w:val="24"/>
        </w:rPr>
      </w:pPr>
    </w:p>
    <w:p w:rsidR="003F6E2C" w:rsidRDefault="00932AFC" w:rsidP="003F6E2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End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3F6E2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capacidad 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versión para niños, CHEAT-26, la cual es similar al </w:t>
      </w:r>
      <w:r w:rsidRPr="003F6E2C">
        <w:rPr>
          <w:rFonts w:ascii="Times New Roman" w:hAnsi="Times New Roman"/>
          <w:bCs/>
          <w:color w:val="000000"/>
          <w:sz w:val="24"/>
          <w:szCs w:val="24"/>
        </w:rPr>
        <w:lastRenderedPageBreak/>
        <w:t>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El EAT en sus dos versiones, es tal vez, el cuestionario autoaplicado más utilizado y 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p>
    <w:p w:rsidR="003F6E2C" w:rsidRPr="00D36B1D" w:rsidRDefault="003F6E2C" w:rsidP="00D36B1D">
      <w:pPr>
        <w:autoSpaceDE w:val="0"/>
        <w:autoSpaceDN w:val="0"/>
        <w:adjustRightInd w:val="0"/>
        <w:spacing w:after="0" w:line="240" w:lineRule="auto"/>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validado en mujeres mexicanas por 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3F6E2C">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positivamente: motivación para adelgazar, 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conciencia o identificación interoceptiva y miedo a 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lastRenderedPageBreak/>
        <w:t>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posee mayor relevancia el valor cuantitativo de cada una de las ocho subescalas que la 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colaboradores, concluyendo que éste instrumento tiene una alta validez interna y puede ser usado</w:t>
      </w:r>
      <w:r>
        <w:rPr>
          <w:rFonts w:ascii="Times New Roman" w:hAnsi="Times New Roman"/>
          <w:bCs/>
          <w:color w:val="000000"/>
          <w:sz w:val="24"/>
          <w:szCs w:val="24"/>
        </w:rPr>
        <w:t xml:space="preserve"> para medir TCA. </w:t>
      </w:r>
      <w:r w:rsidR="00E44654">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 xml:space="preserve">sugiere que el EDI es capaz de discriminar entre individuos con TCA e individuos sin padecimientos psiquiátricos. Este cuestionario ha mostrado ser sensible a los cambios registrados en individuos cuando </w:t>
      </w:r>
      <w:r w:rsidRPr="00D36B1D">
        <w:rPr>
          <w:rFonts w:ascii="Times New Roman" w:hAnsi="Times New Roman"/>
          <w:bCs/>
          <w:color w:val="000000"/>
          <w:sz w:val="24"/>
          <w:szCs w:val="24"/>
        </w:rPr>
        <w:lastRenderedPageBreak/>
        <w:t>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D36B1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4D290A" w:rsidP="004D290A">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7855EB" w:rsidRDefault="00807B2E" w:rsidP="007855EB">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932AFC">
      <w:pPr>
        <w:autoSpaceDE w:val="0"/>
        <w:autoSpaceDN w:val="0"/>
        <w:adjustRightInd w:val="0"/>
        <w:spacing w:after="0" w:line="240" w:lineRule="auto"/>
        <w:jc w:val="both"/>
        <w:rPr>
          <w:rFonts w:ascii="Times New Roman" w:hAnsi="Times New Roman"/>
          <w:bCs/>
          <w:color w:val="000000"/>
          <w:sz w:val="24"/>
          <w:szCs w:val="24"/>
        </w:rPr>
      </w:pPr>
    </w:p>
    <w:p w:rsidR="00932AFC" w:rsidRDefault="00FF506A"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FF506A">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 de búsqueda de inserción del indio y esto se tradujo no solo en la creación de un ministerio específico para tales fines en 1936, sino que se destinó una importante cantidad de recursos del Estado a la instalación de un sistema educativo para el campo</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71DFB5B3" wp14:editId="2E4A86E5">
            <wp:extent cx="466725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457325"/>
                    </a:xfrm>
                    <a:prstGeom prst="rect">
                      <a:avLst/>
                    </a:prstGeom>
                  </pic:spPr>
                </pic:pic>
              </a:graphicData>
            </a:graphic>
          </wp:inline>
        </w:drawing>
      </w:r>
    </w:p>
    <w:p w:rsidR="00D90E72" w:rsidRDefault="00D90E72" w:rsidP="00B10E3D">
      <w:pPr>
        <w:pStyle w:val="Prrafodelista"/>
        <w:autoSpaceDE w:val="0"/>
        <w:autoSpaceDN w:val="0"/>
        <w:adjustRightInd w:val="0"/>
        <w:spacing w:after="0" w:line="240" w:lineRule="auto"/>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Cronología de normas legales asociadas a la privatización educativa.</w:t>
      </w:r>
    </w:p>
    <w:p w:rsidR="00B10E3D" w:rsidRDefault="00B10E3D" w:rsidP="00B10E3D">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educación. El 9 de noviembre de 1996 se 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 xml:space="preserve">de élites. </w:t>
      </w:r>
      <w:r w:rsidRPr="00D90E72">
        <w:rPr>
          <w:rFonts w:ascii="Times New Roman" w:hAnsi="Times New Roman"/>
          <w:bCs/>
          <w:color w:val="000000"/>
          <w:sz w:val="24"/>
          <w:szCs w:val="24"/>
        </w:rPr>
        <w:lastRenderedPageBreak/>
        <w:t>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End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6F1B47" w:rsidRPr="006F1B47" w:rsidRDefault="006F1B47" w:rsidP="006F1B47">
      <w:pPr>
        <w:pStyle w:val="Prrafodelista"/>
        <w:numPr>
          <w:ilvl w:val="0"/>
          <w:numId w:val="18"/>
        </w:num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Metodología aplicada</w:t>
      </w:r>
    </w:p>
    <w:p w:rsidR="006F1B47" w:rsidRDefault="006F1B4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6F1B47" w:rsidRPr="006F1B47" w:rsidRDefault="006F1B47" w:rsidP="006F1B47">
      <w:pPr>
        <w:pStyle w:val="Prrafodelista"/>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//instrumentos que se aplicará, análisis estadísticos de los resultados obtenidos</w:t>
      </w: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92437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EndPr/>
          <w:sdtContent>
            <w:p w:rsidR="007F0CFA" w:rsidRDefault="00253AEC" w:rsidP="007F0CFA">
              <w:pPr>
                <w:pStyle w:val="Bibliografa"/>
                <w:ind w:left="720" w:hanging="720"/>
                <w:rPr>
                  <w:noProof/>
                  <w:sz w:val="24"/>
                  <w:szCs w:val="24"/>
                  <w:lang w:val="es-ES"/>
                </w:rPr>
              </w:pPr>
              <w:r>
                <w:fldChar w:fldCharType="begin"/>
              </w:r>
              <w:r>
                <w:instrText>BIBLIOGRAPHY</w:instrText>
              </w:r>
              <w:r>
                <w:fldChar w:fldCharType="separate"/>
              </w:r>
              <w:r w:rsidR="007F0CFA">
                <w:rPr>
                  <w:noProof/>
                  <w:lang w:val="es-ES"/>
                </w:rPr>
                <w:t xml:space="preserve">Aliño Santiago, M., López Esquirol, J., &amp; Navarro Fernández, R. (2006). Adolescencia. Aspectos generales y atención a la salud. </w:t>
              </w:r>
              <w:r w:rsidR="007F0CFA">
                <w:rPr>
                  <w:i/>
                  <w:iCs/>
                  <w:noProof/>
                  <w:lang w:val="es-ES"/>
                </w:rPr>
                <w:t>Revista Cubana de Medicina General Integral</w:t>
              </w:r>
              <w:r w:rsidR="007F0CFA">
                <w:rPr>
                  <w:noProof/>
                  <w:lang w:val="es-ES"/>
                </w:rPr>
                <w:t>.</w:t>
              </w:r>
            </w:p>
            <w:p w:rsidR="007F0CFA" w:rsidRDefault="007F0CFA" w:rsidP="007F0CFA">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7F0CFA" w:rsidRDefault="007F0CFA" w:rsidP="007F0CFA">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7F0CFA" w:rsidRDefault="007F0CFA" w:rsidP="007F0CFA">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p>
            <w:p w:rsidR="007F0CFA" w:rsidRDefault="007F0CFA" w:rsidP="007F0CFA">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7F0CFA" w:rsidRDefault="007F0CFA" w:rsidP="007F0CFA">
              <w:pPr>
                <w:pStyle w:val="Bibliografa"/>
                <w:ind w:left="720" w:hanging="720"/>
                <w:rPr>
                  <w:noProof/>
                  <w:lang w:val="es-ES"/>
                </w:rPr>
              </w:pPr>
              <w:r>
                <w:rPr>
                  <w:noProof/>
                  <w:lang w:val="es-ES"/>
                </w:rPr>
                <w:t xml:space="preserve">Iñarritu Pérez, M., Cruz Licea, V., &amp; Morán Álvarez, I. (2004). Instrumentos de Evaluación para los Trastornos de la Conducta Alimentaria. </w:t>
              </w:r>
              <w:r>
                <w:rPr>
                  <w:i/>
                  <w:iCs/>
                  <w:noProof/>
                  <w:lang w:val="es-ES"/>
                </w:rPr>
                <w:t>Revista de Salud Pública y Nutrición, 5</w:t>
              </w:r>
              <w:r>
                <w:rPr>
                  <w:noProof/>
                  <w:lang w:val="es-ES"/>
                </w:rPr>
                <w:t>(2).</w:t>
              </w:r>
            </w:p>
            <w:p w:rsidR="007F0CFA" w:rsidRDefault="007F0CFA" w:rsidP="007F0CFA">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7F0CFA" w:rsidRDefault="007F0CFA" w:rsidP="007F0CFA">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7F0CFA" w:rsidRDefault="007F0CFA" w:rsidP="007F0CFA">
              <w:pPr>
                <w:pStyle w:val="Bibliografa"/>
                <w:ind w:left="720" w:hanging="720"/>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7F0CFA" w:rsidRDefault="007F0CFA" w:rsidP="007F0CFA">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7F0CFA" w:rsidRDefault="007F0CFA" w:rsidP="007F0CFA">
              <w:pPr>
                <w:pStyle w:val="Bibliografa"/>
                <w:ind w:left="720" w:hanging="720"/>
                <w:rPr>
                  <w:noProof/>
                  <w:lang w:val="es-ES"/>
                </w:rPr>
              </w:pPr>
              <w:r>
                <w:rPr>
                  <w:noProof/>
                  <w:lang w:val="es-ES"/>
                </w:rPr>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7F0CFA" w:rsidRDefault="007F0CFA" w:rsidP="007F0CFA">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7F0CFA" w:rsidRDefault="007F0CFA" w:rsidP="007F0CFA">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7F0CFA" w:rsidRDefault="007F0CFA" w:rsidP="007F0CFA">
              <w:pPr>
                <w:pStyle w:val="Bibliografa"/>
                <w:ind w:left="720" w:hanging="720"/>
                <w:rPr>
                  <w:noProof/>
                  <w:lang w:val="es-ES"/>
                </w:rPr>
              </w:pPr>
              <w:r>
                <w:rPr>
                  <w:noProof/>
                  <w:lang w:val="es-ES"/>
                </w:rPr>
                <w:lastRenderedPageBreak/>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7F0CFA" w:rsidRDefault="007F0CFA" w:rsidP="007F0CFA">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7F0CFA" w:rsidRDefault="007F0CFA" w:rsidP="007F0CFA">
              <w:pPr>
                <w:pStyle w:val="Bibliografa"/>
                <w:ind w:left="720" w:hanging="720"/>
                <w:rPr>
                  <w:noProof/>
                  <w:lang w:val="es-ES"/>
                </w:rPr>
              </w:pPr>
              <w:r>
                <w:rPr>
                  <w:noProof/>
                  <w:lang w:val="es-ES"/>
                </w:rPr>
                <w:t xml:space="preserve">UNICEF. (2011). </w:t>
              </w:r>
              <w:r>
                <w:rPr>
                  <w:i/>
                  <w:iCs/>
                  <w:noProof/>
                  <w:lang w:val="es-ES"/>
                </w:rPr>
                <w:t>La adolescencia. Una época de oportunidades.</w:t>
              </w:r>
              <w:r>
                <w:rPr>
                  <w:noProof/>
                  <w:lang w:val="es-ES"/>
                </w:rPr>
                <w:t xml:space="preserve"> Hatteras Press .</w:t>
              </w:r>
            </w:p>
            <w:p w:rsidR="007F0CFA" w:rsidRDefault="007F0CFA" w:rsidP="007F0CFA">
              <w:pPr>
                <w:pStyle w:val="Bibliografa"/>
                <w:ind w:left="720" w:hanging="720"/>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253AEC" w:rsidRDefault="00253AEC" w:rsidP="007F0CFA">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B26E18" w:rsidP="005F0473">
      <w:pPr>
        <w:jc w:val="both"/>
      </w:pPr>
      <w:hyperlink r:id="rId14"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B26E18" w:rsidP="005F0473">
      <w:pPr>
        <w:jc w:val="both"/>
      </w:pPr>
      <w:hyperlink r:id="rId15" w:history="1">
        <w:r w:rsidR="00E3466F" w:rsidRPr="00DD1ED9">
          <w:rPr>
            <w:rStyle w:val="Hipervnculo"/>
          </w:rPr>
          <w:t>https://peru21.pe/lima/preocupante-hay-500-casos-bulimia-anorexia-peru-179481</w:t>
        </w:r>
      </w:hyperlink>
      <w:r w:rsidR="00E3466F">
        <w:t xml:space="preserve"> (antecedentes)</w:t>
      </w:r>
    </w:p>
    <w:p w:rsidR="003D5B44" w:rsidRDefault="00B26E18" w:rsidP="005F0473">
      <w:pPr>
        <w:jc w:val="both"/>
      </w:pPr>
      <w:hyperlink r:id="rId16" w:history="1">
        <w:r w:rsidR="003D5B44" w:rsidRPr="00C15009">
          <w:rPr>
            <w:rStyle w:val="Hipervnculo"/>
          </w:rPr>
          <w:t>https://vinv.ucr.ac.cr/es/noticias/estudio-revela-riesgo-de-anorexia-nerviosa-en-adolescentes-ticas</w:t>
        </w:r>
      </w:hyperlink>
      <w:r w:rsidR="003D5B44">
        <w:t xml:space="preserve"> (antecedentes) </w:t>
      </w:r>
    </w:p>
    <w:p w:rsidR="00BC66C1" w:rsidRDefault="00B26E18" w:rsidP="005F0473">
      <w:pPr>
        <w:jc w:val="both"/>
      </w:pPr>
      <w:hyperlink r:id="rId17"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B26E18" w:rsidP="002D752D">
      <w:pPr>
        <w:jc w:val="both"/>
      </w:pPr>
      <w:hyperlink r:id="rId18"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B26E18" w:rsidP="002D752D">
      <w:pPr>
        <w:jc w:val="both"/>
      </w:pPr>
      <w:hyperlink r:id="rId19"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E18" w:rsidRDefault="00B26E18" w:rsidP="00E3466F">
      <w:pPr>
        <w:spacing w:after="0" w:line="240" w:lineRule="auto"/>
      </w:pPr>
      <w:r>
        <w:separator/>
      </w:r>
    </w:p>
  </w:endnote>
  <w:endnote w:type="continuationSeparator" w:id="0">
    <w:p w:rsidR="00B26E18" w:rsidRDefault="00B26E18"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E18" w:rsidRDefault="00B26E18" w:rsidP="00E3466F">
      <w:pPr>
        <w:spacing w:after="0" w:line="240" w:lineRule="auto"/>
      </w:pPr>
      <w:r>
        <w:separator/>
      </w:r>
    </w:p>
  </w:footnote>
  <w:footnote w:type="continuationSeparator" w:id="0">
    <w:p w:rsidR="00B26E18" w:rsidRDefault="00B26E18"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3"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BB52ADB"/>
    <w:multiLevelType w:val="hybridMultilevel"/>
    <w:tmpl w:val="185E266E"/>
    <w:lvl w:ilvl="0" w:tplc="C72EAB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9"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3"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4"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5"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9"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9"/>
  </w:num>
  <w:num w:numId="3">
    <w:abstractNumId w:val="17"/>
  </w:num>
  <w:num w:numId="4">
    <w:abstractNumId w:val="3"/>
  </w:num>
  <w:num w:numId="5">
    <w:abstractNumId w:val="7"/>
  </w:num>
  <w:num w:numId="6">
    <w:abstractNumId w:val="5"/>
  </w:num>
  <w:num w:numId="7">
    <w:abstractNumId w:val="8"/>
  </w:num>
  <w:num w:numId="8">
    <w:abstractNumId w:val="16"/>
  </w:num>
  <w:num w:numId="9">
    <w:abstractNumId w:val="9"/>
  </w:num>
  <w:num w:numId="10">
    <w:abstractNumId w:val="13"/>
  </w:num>
  <w:num w:numId="11">
    <w:abstractNumId w:val="1"/>
  </w:num>
  <w:num w:numId="12">
    <w:abstractNumId w:val="12"/>
  </w:num>
  <w:num w:numId="13">
    <w:abstractNumId w:val="18"/>
  </w:num>
  <w:num w:numId="14">
    <w:abstractNumId w:val="6"/>
  </w:num>
  <w:num w:numId="15">
    <w:abstractNumId w:val="15"/>
  </w:num>
  <w:num w:numId="16">
    <w:abstractNumId w:val="10"/>
  </w:num>
  <w:num w:numId="17">
    <w:abstractNumId w:val="11"/>
  </w:num>
  <w:num w:numId="18">
    <w:abstractNumId w:val="4"/>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30794"/>
    <w:rsid w:val="00043798"/>
    <w:rsid w:val="0005159B"/>
    <w:rsid w:val="00052AE6"/>
    <w:rsid w:val="000570B9"/>
    <w:rsid w:val="00060366"/>
    <w:rsid w:val="00064E86"/>
    <w:rsid w:val="00065198"/>
    <w:rsid w:val="00066460"/>
    <w:rsid w:val="00070563"/>
    <w:rsid w:val="000763E0"/>
    <w:rsid w:val="000838F0"/>
    <w:rsid w:val="00084D0C"/>
    <w:rsid w:val="0008563B"/>
    <w:rsid w:val="00091C6C"/>
    <w:rsid w:val="00093390"/>
    <w:rsid w:val="000939C9"/>
    <w:rsid w:val="00095025"/>
    <w:rsid w:val="000A4DF9"/>
    <w:rsid w:val="000B30BD"/>
    <w:rsid w:val="000B7916"/>
    <w:rsid w:val="000C18B8"/>
    <w:rsid w:val="000C1A71"/>
    <w:rsid w:val="000C1F27"/>
    <w:rsid w:val="000C2377"/>
    <w:rsid w:val="000C34B6"/>
    <w:rsid w:val="000C77ED"/>
    <w:rsid w:val="000D0DB2"/>
    <w:rsid w:val="000D4E24"/>
    <w:rsid w:val="000D75BF"/>
    <w:rsid w:val="000E0C1B"/>
    <w:rsid w:val="000E0CA3"/>
    <w:rsid w:val="000E3F15"/>
    <w:rsid w:val="000E4D7A"/>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F58"/>
    <w:rsid w:val="00164597"/>
    <w:rsid w:val="001667A6"/>
    <w:rsid w:val="00167BDD"/>
    <w:rsid w:val="001827D8"/>
    <w:rsid w:val="001850FD"/>
    <w:rsid w:val="00187AAC"/>
    <w:rsid w:val="001A1D5D"/>
    <w:rsid w:val="001A2911"/>
    <w:rsid w:val="001A4055"/>
    <w:rsid w:val="001B2DD2"/>
    <w:rsid w:val="001B6417"/>
    <w:rsid w:val="001C68C9"/>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C83"/>
    <w:rsid w:val="00246FC9"/>
    <w:rsid w:val="0024717F"/>
    <w:rsid w:val="00247D21"/>
    <w:rsid w:val="002502BB"/>
    <w:rsid w:val="0025303D"/>
    <w:rsid w:val="00253AEC"/>
    <w:rsid w:val="002609F5"/>
    <w:rsid w:val="00260E68"/>
    <w:rsid w:val="00261B53"/>
    <w:rsid w:val="002744C1"/>
    <w:rsid w:val="0027713B"/>
    <w:rsid w:val="0028036F"/>
    <w:rsid w:val="00285321"/>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2970"/>
    <w:rsid w:val="00303DC7"/>
    <w:rsid w:val="00304169"/>
    <w:rsid w:val="003057FA"/>
    <w:rsid w:val="00306C2A"/>
    <w:rsid w:val="0031057D"/>
    <w:rsid w:val="00314907"/>
    <w:rsid w:val="00317740"/>
    <w:rsid w:val="003324D8"/>
    <w:rsid w:val="00332EC3"/>
    <w:rsid w:val="00333F06"/>
    <w:rsid w:val="003348D9"/>
    <w:rsid w:val="00335056"/>
    <w:rsid w:val="00336B1E"/>
    <w:rsid w:val="003370B2"/>
    <w:rsid w:val="003370EA"/>
    <w:rsid w:val="00337E0B"/>
    <w:rsid w:val="00341CBB"/>
    <w:rsid w:val="0034370D"/>
    <w:rsid w:val="00351557"/>
    <w:rsid w:val="00354233"/>
    <w:rsid w:val="003544C4"/>
    <w:rsid w:val="00354B7B"/>
    <w:rsid w:val="00355C83"/>
    <w:rsid w:val="00360053"/>
    <w:rsid w:val="00363269"/>
    <w:rsid w:val="00363A8E"/>
    <w:rsid w:val="003668DD"/>
    <w:rsid w:val="00370B9D"/>
    <w:rsid w:val="00371635"/>
    <w:rsid w:val="0037411C"/>
    <w:rsid w:val="0037554A"/>
    <w:rsid w:val="00376342"/>
    <w:rsid w:val="003849EA"/>
    <w:rsid w:val="0039449B"/>
    <w:rsid w:val="00397A19"/>
    <w:rsid w:val="00397EB8"/>
    <w:rsid w:val="003A1900"/>
    <w:rsid w:val="003A265A"/>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F6E2C"/>
    <w:rsid w:val="004040FB"/>
    <w:rsid w:val="00404C04"/>
    <w:rsid w:val="004056FA"/>
    <w:rsid w:val="00406D10"/>
    <w:rsid w:val="00412667"/>
    <w:rsid w:val="00413719"/>
    <w:rsid w:val="00417DBF"/>
    <w:rsid w:val="00423F56"/>
    <w:rsid w:val="00432D73"/>
    <w:rsid w:val="00464B4A"/>
    <w:rsid w:val="00466DFB"/>
    <w:rsid w:val="004712B7"/>
    <w:rsid w:val="00471B10"/>
    <w:rsid w:val="00471CAF"/>
    <w:rsid w:val="00472269"/>
    <w:rsid w:val="00472E2F"/>
    <w:rsid w:val="00474B1F"/>
    <w:rsid w:val="00476452"/>
    <w:rsid w:val="004837F0"/>
    <w:rsid w:val="0048385E"/>
    <w:rsid w:val="00483A58"/>
    <w:rsid w:val="004843C2"/>
    <w:rsid w:val="00486B5A"/>
    <w:rsid w:val="00497544"/>
    <w:rsid w:val="00497581"/>
    <w:rsid w:val="004A0630"/>
    <w:rsid w:val="004A2E45"/>
    <w:rsid w:val="004A340C"/>
    <w:rsid w:val="004A6B9C"/>
    <w:rsid w:val="004A6BA5"/>
    <w:rsid w:val="004A7E92"/>
    <w:rsid w:val="004B2338"/>
    <w:rsid w:val="004B6F77"/>
    <w:rsid w:val="004C05AE"/>
    <w:rsid w:val="004C2828"/>
    <w:rsid w:val="004C3A2E"/>
    <w:rsid w:val="004C3A30"/>
    <w:rsid w:val="004C42AF"/>
    <w:rsid w:val="004C469B"/>
    <w:rsid w:val="004D290A"/>
    <w:rsid w:val="004E28C5"/>
    <w:rsid w:val="004E4020"/>
    <w:rsid w:val="004F06B4"/>
    <w:rsid w:val="004F1BA9"/>
    <w:rsid w:val="004F2FB3"/>
    <w:rsid w:val="004F41C0"/>
    <w:rsid w:val="004F5653"/>
    <w:rsid w:val="00500107"/>
    <w:rsid w:val="005002EC"/>
    <w:rsid w:val="005016A2"/>
    <w:rsid w:val="00501F68"/>
    <w:rsid w:val="0050548E"/>
    <w:rsid w:val="005117B1"/>
    <w:rsid w:val="00511CDA"/>
    <w:rsid w:val="00513A4B"/>
    <w:rsid w:val="00515337"/>
    <w:rsid w:val="005158EC"/>
    <w:rsid w:val="00515E6A"/>
    <w:rsid w:val="00521D35"/>
    <w:rsid w:val="00521D5F"/>
    <w:rsid w:val="00523F7E"/>
    <w:rsid w:val="00525658"/>
    <w:rsid w:val="005341FD"/>
    <w:rsid w:val="00537720"/>
    <w:rsid w:val="00541B90"/>
    <w:rsid w:val="00541CBE"/>
    <w:rsid w:val="00550E2B"/>
    <w:rsid w:val="00554CFC"/>
    <w:rsid w:val="005567B6"/>
    <w:rsid w:val="00561C29"/>
    <w:rsid w:val="00561F43"/>
    <w:rsid w:val="005668E4"/>
    <w:rsid w:val="005702B7"/>
    <w:rsid w:val="00575070"/>
    <w:rsid w:val="0057607C"/>
    <w:rsid w:val="005760EC"/>
    <w:rsid w:val="00577313"/>
    <w:rsid w:val="005805DD"/>
    <w:rsid w:val="005810B2"/>
    <w:rsid w:val="00590A9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473"/>
    <w:rsid w:val="005F16A1"/>
    <w:rsid w:val="005F65E2"/>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7C76"/>
    <w:rsid w:val="006606A7"/>
    <w:rsid w:val="00663969"/>
    <w:rsid w:val="00676BA1"/>
    <w:rsid w:val="00677712"/>
    <w:rsid w:val="00683797"/>
    <w:rsid w:val="0069534D"/>
    <w:rsid w:val="006968AA"/>
    <w:rsid w:val="006A12E2"/>
    <w:rsid w:val="006A385A"/>
    <w:rsid w:val="006B0AB4"/>
    <w:rsid w:val="006B2280"/>
    <w:rsid w:val="006B6943"/>
    <w:rsid w:val="006C15DE"/>
    <w:rsid w:val="006C1D86"/>
    <w:rsid w:val="006C4AE4"/>
    <w:rsid w:val="006D11A4"/>
    <w:rsid w:val="006D54FB"/>
    <w:rsid w:val="006D594C"/>
    <w:rsid w:val="006F1B47"/>
    <w:rsid w:val="007018FA"/>
    <w:rsid w:val="00703014"/>
    <w:rsid w:val="007268A2"/>
    <w:rsid w:val="00732389"/>
    <w:rsid w:val="00742F3E"/>
    <w:rsid w:val="007447D3"/>
    <w:rsid w:val="00753831"/>
    <w:rsid w:val="00757CA7"/>
    <w:rsid w:val="007678C3"/>
    <w:rsid w:val="007746E6"/>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E6E1A"/>
    <w:rsid w:val="007F0CFA"/>
    <w:rsid w:val="007F15AF"/>
    <w:rsid w:val="007F16CE"/>
    <w:rsid w:val="00800668"/>
    <w:rsid w:val="00801E7A"/>
    <w:rsid w:val="00804AB5"/>
    <w:rsid w:val="00806C90"/>
    <w:rsid w:val="00807B2E"/>
    <w:rsid w:val="00807F7B"/>
    <w:rsid w:val="00810106"/>
    <w:rsid w:val="0081084D"/>
    <w:rsid w:val="008239C8"/>
    <w:rsid w:val="00827990"/>
    <w:rsid w:val="00827B7B"/>
    <w:rsid w:val="00831BDA"/>
    <w:rsid w:val="008357A4"/>
    <w:rsid w:val="00836852"/>
    <w:rsid w:val="00844EE6"/>
    <w:rsid w:val="0084644F"/>
    <w:rsid w:val="0085441E"/>
    <w:rsid w:val="00857E53"/>
    <w:rsid w:val="00857F67"/>
    <w:rsid w:val="008617A2"/>
    <w:rsid w:val="00862F20"/>
    <w:rsid w:val="00864FB2"/>
    <w:rsid w:val="00870004"/>
    <w:rsid w:val="00870719"/>
    <w:rsid w:val="00871BAF"/>
    <w:rsid w:val="0087568C"/>
    <w:rsid w:val="008758FB"/>
    <w:rsid w:val="00877998"/>
    <w:rsid w:val="00882752"/>
    <w:rsid w:val="00886DDD"/>
    <w:rsid w:val="00895805"/>
    <w:rsid w:val="008A0CAF"/>
    <w:rsid w:val="008B6C08"/>
    <w:rsid w:val="008C21BD"/>
    <w:rsid w:val="008C5E21"/>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3E23"/>
    <w:rsid w:val="0092430C"/>
    <w:rsid w:val="0092437E"/>
    <w:rsid w:val="00932AFC"/>
    <w:rsid w:val="009363E4"/>
    <w:rsid w:val="00941EF9"/>
    <w:rsid w:val="0096067F"/>
    <w:rsid w:val="00960712"/>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B3CCF"/>
    <w:rsid w:val="009C097B"/>
    <w:rsid w:val="009C0C04"/>
    <w:rsid w:val="009C1FE5"/>
    <w:rsid w:val="009C487B"/>
    <w:rsid w:val="009C6A1E"/>
    <w:rsid w:val="009C7751"/>
    <w:rsid w:val="009D1E54"/>
    <w:rsid w:val="009D3594"/>
    <w:rsid w:val="009D7399"/>
    <w:rsid w:val="009E5E17"/>
    <w:rsid w:val="009F2B77"/>
    <w:rsid w:val="009F3C02"/>
    <w:rsid w:val="009F4EB7"/>
    <w:rsid w:val="009F5D83"/>
    <w:rsid w:val="00A00E4B"/>
    <w:rsid w:val="00A0479B"/>
    <w:rsid w:val="00A1159B"/>
    <w:rsid w:val="00A12D46"/>
    <w:rsid w:val="00A16992"/>
    <w:rsid w:val="00A17631"/>
    <w:rsid w:val="00A21011"/>
    <w:rsid w:val="00A2205B"/>
    <w:rsid w:val="00A27ACE"/>
    <w:rsid w:val="00A34B8A"/>
    <w:rsid w:val="00A354B9"/>
    <w:rsid w:val="00A37862"/>
    <w:rsid w:val="00A402B9"/>
    <w:rsid w:val="00A45D98"/>
    <w:rsid w:val="00A47AD2"/>
    <w:rsid w:val="00A47EF3"/>
    <w:rsid w:val="00A50A3D"/>
    <w:rsid w:val="00A52686"/>
    <w:rsid w:val="00A5473C"/>
    <w:rsid w:val="00A54AB4"/>
    <w:rsid w:val="00A61BB9"/>
    <w:rsid w:val="00A64870"/>
    <w:rsid w:val="00A64B03"/>
    <w:rsid w:val="00A66652"/>
    <w:rsid w:val="00A83C80"/>
    <w:rsid w:val="00A83F95"/>
    <w:rsid w:val="00A930E3"/>
    <w:rsid w:val="00AA3A11"/>
    <w:rsid w:val="00AA4E7D"/>
    <w:rsid w:val="00AB028C"/>
    <w:rsid w:val="00AB46A5"/>
    <w:rsid w:val="00AB6AE1"/>
    <w:rsid w:val="00AC2CE1"/>
    <w:rsid w:val="00AC3941"/>
    <w:rsid w:val="00AC522F"/>
    <w:rsid w:val="00AD21F5"/>
    <w:rsid w:val="00AD7946"/>
    <w:rsid w:val="00AE2444"/>
    <w:rsid w:val="00AE3D09"/>
    <w:rsid w:val="00AE47E5"/>
    <w:rsid w:val="00AF381A"/>
    <w:rsid w:val="00B03666"/>
    <w:rsid w:val="00B10E3D"/>
    <w:rsid w:val="00B138CD"/>
    <w:rsid w:val="00B16840"/>
    <w:rsid w:val="00B22414"/>
    <w:rsid w:val="00B23315"/>
    <w:rsid w:val="00B237DA"/>
    <w:rsid w:val="00B23879"/>
    <w:rsid w:val="00B25712"/>
    <w:rsid w:val="00B26E18"/>
    <w:rsid w:val="00B325E4"/>
    <w:rsid w:val="00B40014"/>
    <w:rsid w:val="00B409B9"/>
    <w:rsid w:val="00B41C58"/>
    <w:rsid w:val="00B42D04"/>
    <w:rsid w:val="00B44908"/>
    <w:rsid w:val="00B51852"/>
    <w:rsid w:val="00B533E3"/>
    <w:rsid w:val="00B53756"/>
    <w:rsid w:val="00B56521"/>
    <w:rsid w:val="00B62ABF"/>
    <w:rsid w:val="00B655E3"/>
    <w:rsid w:val="00B67883"/>
    <w:rsid w:val="00B7406F"/>
    <w:rsid w:val="00B773A2"/>
    <w:rsid w:val="00B85C58"/>
    <w:rsid w:val="00B87BA9"/>
    <w:rsid w:val="00B93474"/>
    <w:rsid w:val="00BA11E6"/>
    <w:rsid w:val="00BA1C7A"/>
    <w:rsid w:val="00BA277C"/>
    <w:rsid w:val="00BA542A"/>
    <w:rsid w:val="00BA71DD"/>
    <w:rsid w:val="00BC045F"/>
    <w:rsid w:val="00BC66C1"/>
    <w:rsid w:val="00BD0A86"/>
    <w:rsid w:val="00BD14CC"/>
    <w:rsid w:val="00BE0804"/>
    <w:rsid w:val="00BE0E78"/>
    <w:rsid w:val="00BE1C8E"/>
    <w:rsid w:val="00BE5ABA"/>
    <w:rsid w:val="00C00062"/>
    <w:rsid w:val="00C04C9F"/>
    <w:rsid w:val="00C0640D"/>
    <w:rsid w:val="00C11BAC"/>
    <w:rsid w:val="00C15CE0"/>
    <w:rsid w:val="00C24D11"/>
    <w:rsid w:val="00C31976"/>
    <w:rsid w:val="00C33FDB"/>
    <w:rsid w:val="00C34200"/>
    <w:rsid w:val="00C35DE7"/>
    <w:rsid w:val="00C37487"/>
    <w:rsid w:val="00C4346D"/>
    <w:rsid w:val="00C518C4"/>
    <w:rsid w:val="00C561D0"/>
    <w:rsid w:val="00C62D71"/>
    <w:rsid w:val="00C71BA8"/>
    <w:rsid w:val="00C777B9"/>
    <w:rsid w:val="00C80347"/>
    <w:rsid w:val="00C8255F"/>
    <w:rsid w:val="00C90414"/>
    <w:rsid w:val="00C94584"/>
    <w:rsid w:val="00CA1155"/>
    <w:rsid w:val="00CA22E7"/>
    <w:rsid w:val="00CA2BBC"/>
    <w:rsid w:val="00CA2F3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6AC2"/>
    <w:rsid w:val="00CE794B"/>
    <w:rsid w:val="00CF6175"/>
    <w:rsid w:val="00D03A39"/>
    <w:rsid w:val="00D06D86"/>
    <w:rsid w:val="00D071E2"/>
    <w:rsid w:val="00D12EF4"/>
    <w:rsid w:val="00D15E08"/>
    <w:rsid w:val="00D172DC"/>
    <w:rsid w:val="00D20C55"/>
    <w:rsid w:val="00D22265"/>
    <w:rsid w:val="00D235C1"/>
    <w:rsid w:val="00D25A36"/>
    <w:rsid w:val="00D25B6C"/>
    <w:rsid w:val="00D26A45"/>
    <w:rsid w:val="00D27D8C"/>
    <w:rsid w:val="00D32CF1"/>
    <w:rsid w:val="00D34E63"/>
    <w:rsid w:val="00D36B1D"/>
    <w:rsid w:val="00D415DB"/>
    <w:rsid w:val="00D42C68"/>
    <w:rsid w:val="00D51A95"/>
    <w:rsid w:val="00D55585"/>
    <w:rsid w:val="00D55AD8"/>
    <w:rsid w:val="00D60052"/>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A6CD7"/>
    <w:rsid w:val="00DB12C7"/>
    <w:rsid w:val="00DB12F6"/>
    <w:rsid w:val="00DB375C"/>
    <w:rsid w:val="00DB5835"/>
    <w:rsid w:val="00DC3074"/>
    <w:rsid w:val="00DC6EEB"/>
    <w:rsid w:val="00DC7A90"/>
    <w:rsid w:val="00DD1464"/>
    <w:rsid w:val="00DD2EE5"/>
    <w:rsid w:val="00DD35A0"/>
    <w:rsid w:val="00DD4029"/>
    <w:rsid w:val="00DE1DA8"/>
    <w:rsid w:val="00DE33F7"/>
    <w:rsid w:val="00DE4AA9"/>
    <w:rsid w:val="00DE4CFF"/>
    <w:rsid w:val="00DF3AD1"/>
    <w:rsid w:val="00DF540F"/>
    <w:rsid w:val="00DF5FF1"/>
    <w:rsid w:val="00E00617"/>
    <w:rsid w:val="00E01070"/>
    <w:rsid w:val="00E0127D"/>
    <w:rsid w:val="00E041D1"/>
    <w:rsid w:val="00E13F3A"/>
    <w:rsid w:val="00E14485"/>
    <w:rsid w:val="00E179E5"/>
    <w:rsid w:val="00E244AC"/>
    <w:rsid w:val="00E248AC"/>
    <w:rsid w:val="00E3466F"/>
    <w:rsid w:val="00E370B4"/>
    <w:rsid w:val="00E37412"/>
    <w:rsid w:val="00E37675"/>
    <w:rsid w:val="00E4051C"/>
    <w:rsid w:val="00E42AC1"/>
    <w:rsid w:val="00E44654"/>
    <w:rsid w:val="00E514C3"/>
    <w:rsid w:val="00E528D3"/>
    <w:rsid w:val="00E532BD"/>
    <w:rsid w:val="00E53F9E"/>
    <w:rsid w:val="00E54FA7"/>
    <w:rsid w:val="00E66684"/>
    <w:rsid w:val="00E83A44"/>
    <w:rsid w:val="00E8449D"/>
    <w:rsid w:val="00E879FC"/>
    <w:rsid w:val="00E9137E"/>
    <w:rsid w:val="00E952EF"/>
    <w:rsid w:val="00E96F50"/>
    <w:rsid w:val="00E9740A"/>
    <w:rsid w:val="00E97A16"/>
    <w:rsid w:val="00EA7F6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EF2BF1"/>
    <w:rsid w:val="00EF5BFA"/>
    <w:rsid w:val="00EF605D"/>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81C2C"/>
    <w:rsid w:val="00F82406"/>
    <w:rsid w:val="00F907C1"/>
    <w:rsid w:val="00FA1B66"/>
    <w:rsid w:val="00FA446C"/>
    <w:rsid w:val="00FB0D5A"/>
    <w:rsid w:val="00FB2907"/>
    <w:rsid w:val="00FB2E84"/>
    <w:rsid w:val="00FB2EB3"/>
    <w:rsid w:val="00FB670D"/>
    <w:rsid w:val="00FB7754"/>
    <w:rsid w:val="00FC517B"/>
    <w:rsid w:val="00FC52B3"/>
    <w:rsid w:val="00FC77BC"/>
    <w:rsid w:val="00FD03AF"/>
    <w:rsid w:val="00FD6B83"/>
    <w:rsid w:val="00FF36B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5408"/>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ationaleatingdisorders.org/que-causa-un-trastorno-alimentic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acion.com/ciencia/salud/mas-de-la-mitad-de-escolares-y-colegiales-ticos-estan-descontentos-con-su-cuerpo/LJUSAF5SHJANFMZAETSZU4AL2I/story/" TargetMode="External"/><Relationship Id="rId2" Type="http://schemas.openxmlformats.org/officeDocument/2006/relationships/numbering" Target="numbering.xml"/><Relationship Id="rId16" Type="http://schemas.openxmlformats.org/officeDocument/2006/relationships/hyperlink" Target="https://vinv.ucr.ac.cr/es/noticias/estudio-revela-riesgo-de-anorexia-nerviosa-en-adolescentes-tic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ru21.pe/lima/preocupante-hay-500-casos-bulimia-anorexia-peru-179481" TargetMode="External"/><Relationship Id="rId10" Type="http://schemas.openxmlformats.org/officeDocument/2006/relationships/image" Target="media/image3.png"/><Relationship Id="rId19" Type="http://schemas.openxmlformats.org/officeDocument/2006/relationships/hyperlink" Target="https://www.onmeda.es/test/trastornos_alimenticios_tes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vs.minsa.gob.pe/local/MINSA/414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13</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14</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15</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16</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17</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5</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4</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6</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7</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8</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9</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10</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11</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12</b:RefOrder>
  </b:Source>
</b:Sources>
</file>

<file path=customXml/itemProps1.xml><?xml version="1.0" encoding="utf-8"?>
<ds:datastoreItem xmlns:ds="http://schemas.openxmlformats.org/officeDocument/2006/customXml" ds:itemID="{8EE22DF6-D3A2-48EA-9FB0-9E5AE6CC5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35</Pages>
  <Words>7351</Words>
  <Characters>41904</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49157</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82</cp:revision>
  <cp:lastPrinted>2013-11-20T23:54:00Z</cp:lastPrinted>
  <dcterms:created xsi:type="dcterms:W3CDTF">2018-05-18T19:59:00Z</dcterms:created>
  <dcterms:modified xsi:type="dcterms:W3CDTF">2018-06-18T05:38:00Z</dcterms:modified>
</cp:coreProperties>
</file>