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5D7EE" w14:textId="77777777" w:rsidR="00565444" w:rsidRPr="00565444" w:rsidRDefault="00565444" w:rsidP="00565444">
      <w:pPr>
        <w:rPr>
          <w:b/>
          <w:bCs/>
        </w:rPr>
      </w:pPr>
      <w:r w:rsidRPr="00565444">
        <w:rPr>
          <w:b/>
          <w:bCs/>
        </w:rPr>
        <w:t>INFORME DE CIERRE DEL PROYECTO</w:t>
      </w:r>
    </w:p>
    <w:p w14:paraId="1099AB5E" w14:textId="77777777" w:rsidR="00565444" w:rsidRPr="00565444" w:rsidRDefault="00565444" w:rsidP="00565444">
      <w:pPr>
        <w:rPr>
          <w:b/>
          <w:bCs/>
        </w:rPr>
      </w:pPr>
      <w:r w:rsidRPr="00565444">
        <w:rPr>
          <w:b/>
          <w:bCs/>
        </w:rPr>
        <w:t>Sistema de Gestión del Centro Técnico de Bicicletas</w:t>
      </w:r>
    </w:p>
    <w:p w14:paraId="724FE9D2" w14:textId="77777777" w:rsidR="00565444" w:rsidRPr="00565444" w:rsidRDefault="00565444" w:rsidP="00565444">
      <w:pPr>
        <w:rPr>
          <w:b/>
          <w:bCs/>
        </w:rPr>
      </w:pPr>
      <w:r w:rsidRPr="00565444">
        <w:rPr>
          <w:b/>
          <w:bCs/>
        </w:rPr>
        <w:t>1. Datos generales del proyecto</w:t>
      </w:r>
    </w:p>
    <w:p w14:paraId="7ECA11B9" w14:textId="77777777" w:rsidR="00565444" w:rsidRPr="00565444" w:rsidRDefault="00565444" w:rsidP="00565444">
      <w:pPr>
        <w:numPr>
          <w:ilvl w:val="0"/>
          <w:numId w:val="1"/>
        </w:numPr>
      </w:pPr>
      <w:r w:rsidRPr="00565444">
        <w:rPr>
          <w:b/>
          <w:bCs/>
        </w:rPr>
        <w:t>Nombre del Proyecto:</w:t>
      </w:r>
      <w:r w:rsidRPr="00565444">
        <w:t xml:space="preserve"> Sistema de gestión de un centro técnico para bicicletas.</w:t>
      </w:r>
    </w:p>
    <w:p w14:paraId="2916F0E7" w14:textId="77777777" w:rsidR="00565444" w:rsidRPr="00565444" w:rsidRDefault="00565444" w:rsidP="00565444">
      <w:pPr>
        <w:numPr>
          <w:ilvl w:val="0"/>
          <w:numId w:val="1"/>
        </w:numPr>
      </w:pPr>
      <w:r w:rsidRPr="00565444">
        <w:rPr>
          <w:b/>
          <w:bCs/>
        </w:rPr>
        <w:t>Cliente / Patrocinador:</w:t>
      </w:r>
      <w:r w:rsidRPr="00565444">
        <w:t xml:space="preserve"> Club Ciclista.</w:t>
      </w:r>
    </w:p>
    <w:p w14:paraId="702489C8" w14:textId="77777777" w:rsidR="00565444" w:rsidRPr="00565444" w:rsidRDefault="00565444" w:rsidP="00565444">
      <w:pPr>
        <w:numPr>
          <w:ilvl w:val="0"/>
          <w:numId w:val="1"/>
        </w:numPr>
      </w:pPr>
      <w:r w:rsidRPr="00565444">
        <w:rPr>
          <w:b/>
          <w:bCs/>
        </w:rPr>
        <w:t>Fecha de Inicio Real:</w:t>
      </w:r>
      <w:r w:rsidRPr="00565444">
        <w:t xml:space="preserve"> 2 de junio de 2026.</w:t>
      </w:r>
    </w:p>
    <w:p w14:paraId="44C6C2E1" w14:textId="77777777" w:rsidR="00565444" w:rsidRPr="00565444" w:rsidRDefault="00565444" w:rsidP="00565444">
      <w:pPr>
        <w:numPr>
          <w:ilvl w:val="0"/>
          <w:numId w:val="1"/>
        </w:numPr>
      </w:pPr>
      <w:r w:rsidRPr="00565444">
        <w:rPr>
          <w:b/>
          <w:bCs/>
        </w:rPr>
        <w:t>Fecha de Finalización Real:</w:t>
      </w:r>
      <w:r w:rsidRPr="00565444">
        <w:t xml:space="preserve"> 23 de marzo de 2027.</w:t>
      </w:r>
    </w:p>
    <w:p w14:paraId="182F0A15" w14:textId="77777777" w:rsidR="00565444" w:rsidRPr="00565444" w:rsidRDefault="00565444" w:rsidP="00565444">
      <w:pPr>
        <w:numPr>
          <w:ilvl w:val="0"/>
          <w:numId w:val="1"/>
        </w:numPr>
      </w:pPr>
      <w:r w:rsidRPr="00565444">
        <w:rPr>
          <w:b/>
          <w:bCs/>
        </w:rPr>
        <w:t>Tecnología y Protocolo:</w:t>
      </w:r>
      <w:r w:rsidRPr="00565444">
        <w:t xml:space="preserve"> Desarrollo nativo en entorno Java, ejecución interactiva en línea bajo protocolo seguro HTTPS.</w:t>
      </w:r>
    </w:p>
    <w:p w14:paraId="5FA28106" w14:textId="77777777" w:rsidR="00565444" w:rsidRPr="00565444" w:rsidRDefault="00565444" w:rsidP="00565444">
      <w:pPr>
        <w:numPr>
          <w:ilvl w:val="0"/>
          <w:numId w:val="1"/>
        </w:numPr>
      </w:pPr>
      <w:r w:rsidRPr="00565444">
        <w:rPr>
          <w:b/>
          <w:bCs/>
        </w:rPr>
        <w:t>Metodología de Gestión Aplicada:</w:t>
      </w:r>
      <w:r w:rsidRPr="00565444">
        <w:t xml:space="preserve"> MÉTRICA v3.</w:t>
      </w:r>
    </w:p>
    <w:p w14:paraId="783CA243" w14:textId="77777777" w:rsidR="00565444" w:rsidRPr="00565444" w:rsidRDefault="00565444" w:rsidP="00565444">
      <w:pPr>
        <w:rPr>
          <w:b/>
          <w:bCs/>
        </w:rPr>
      </w:pPr>
      <w:r w:rsidRPr="00565444">
        <w:rPr>
          <w:b/>
          <w:bCs/>
        </w:rPr>
        <w:t>2. Alcance y objetivos originales</w:t>
      </w:r>
    </w:p>
    <w:p w14:paraId="4929D16F" w14:textId="77777777" w:rsidR="00565444" w:rsidRPr="00565444" w:rsidRDefault="00565444" w:rsidP="00565444">
      <w:r w:rsidRPr="00565444">
        <w:t>El propósito original consistía en construir e implantar una aplicación interactiva y rápida para centralizar los servicios técnicos del club. Los objetivos específicos de cobertura del sistema de información comprendían de forma explícita:</w:t>
      </w:r>
    </w:p>
    <w:p w14:paraId="64547B25" w14:textId="77777777" w:rsidR="00565444" w:rsidRPr="00565444" w:rsidRDefault="00565444" w:rsidP="00565444">
      <w:pPr>
        <w:numPr>
          <w:ilvl w:val="0"/>
          <w:numId w:val="2"/>
        </w:numPr>
      </w:pPr>
      <w:r w:rsidRPr="00565444">
        <w:t>La gestión completa del inventario de bicicletas y el registro de dueños (diferenciando adultos y menores tutelados).</w:t>
      </w:r>
    </w:p>
    <w:p w14:paraId="180522E5" w14:textId="77777777" w:rsidR="00565444" w:rsidRPr="00565444" w:rsidRDefault="00565444" w:rsidP="00565444">
      <w:pPr>
        <w:numPr>
          <w:ilvl w:val="0"/>
          <w:numId w:val="2"/>
        </w:numPr>
      </w:pPr>
      <w:r w:rsidRPr="00565444">
        <w:t>La administración del módulo de pólizas de seguro de responsabilidad civil internas.</w:t>
      </w:r>
    </w:p>
    <w:p w14:paraId="1818669D" w14:textId="77777777" w:rsidR="00565444" w:rsidRPr="00565444" w:rsidRDefault="00565444" w:rsidP="00565444">
      <w:pPr>
        <w:numPr>
          <w:ilvl w:val="0"/>
          <w:numId w:val="2"/>
        </w:numPr>
      </w:pPr>
      <w:r w:rsidRPr="00565444">
        <w:t>El control operativo de la matriculación, asistencia y certificación de los cursos gratuitos de mantenimiento impartidos por el centro.</w:t>
      </w:r>
    </w:p>
    <w:p w14:paraId="7B254A15" w14:textId="77777777" w:rsidR="00565444" w:rsidRPr="00565444" w:rsidRDefault="00565444" w:rsidP="00565444">
      <w:pPr>
        <w:numPr>
          <w:ilvl w:val="0"/>
          <w:numId w:val="2"/>
        </w:numPr>
      </w:pPr>
      <w:r w:rsidRPr="00565444">
        <w:t>La integración automatizada con una base de datos externa de la asociación de fabricantes para verificar la vigencia de las garantías oficiales.</w:t>
      </w:r>
    </w:p>
    <w:p w14:paraId="6097F88B" w14:textId="77777777" w:rsidR="00565444" w:rsidRPr="00565444" w:rsidRDefault="00565444" w:rsidP="00565444">
      <w:pPr>
        <w:rPr>
          <w:b/>
          <w:bCs/>
        </w:rPr>
      </w:pPr>
      <w:r w:rsidRPr="00565444">
        <w:rPr>
          <w:b/>
          <w:bCs/>
        </w:rPr>
        <w:t>3. Cumplimiento del alcance y trabajo pendiente</w:t>
      </w:r>
    </w:p>
    <w:p w14:paraId="4126E282" w14:textId="77777777" w:rsidR="00565444" w:rsidRPr="00565444" w:rsidRDefault="00565444" w:rsidP="00565444">
      <w:r w:rsidRPr="00565444">
        <w:t>El alcance se ha cubierto de manera íntegra, habiéndose verificado la correcta ejecución en el entorno de producción de las 10 funcionalidades clave requeridas:</w:t>
      </w:r>
    </w:p>
    <w:p w14:paraId="0BCC724A" w14:textId="77777777" w:rsidR="00565444" w:rsidRPr="00565444" w:rsidRDefault="00565444" w:rsidP="00565444">
      <w:pPr>
        <w:numPr>
          <w:ilvl w:val="0"/>
          <w:numId w:val="3"/>
        </w:numPr>
      </w:pPr>
      <w:r w:rsidRPr="00565444">
        <w:rPr>
          <w:b/>
          <w:bCs/>
        </w:rPr>
        <w:t>Gestión de Entidades:</w:t>
      </w:r>
      <w:r w:rsidRPr="00565444">
        <w:t xml:space="preserve"> Procesos automatizados de alta de bicicletas (con control de duplicados), alta de dueños (asociación obligatoria de tutor a menores), relaciones familiares N:M (</w:t>
      </w:r>
      <w:proofErr w:type="spellStart"/>
      <w:r w:rsidRPr="00565444">
        <w:t>codisponibilidad</w:t>
      </w:r>
      <w:proofErr w:type="spellEnd"/>
      <w:r w:rsidRPr="00565444">
        <w:t xml:space="preserve"> de bicicletas eléctricas) y módulo parametrizado de pólizas de seguro.</w:t>
      </w:r>
    </w:p>
    <w:p w14:paraId="3D494B49" w14:textId="77777777" w:rsidR="00565444" w:rsidRPr="00565444" w:rsidRDefault="00565444" w:rsidP="00565444">
      <w:pPr>
        <w:numPr>
          <w:ilvl w:val="0"/>
          <w:numId w:val="3"/>
        </w:numPr>
      </w:pPr>
      <w:r w:rsidRPr="00565444">
        <w:rPr>
          <w:b/>
          <w:bCs/>
        </w:rPr>
        <w:t>Consultas e Informes:</w:t>
      </w:r>
      <w:r w:rsidRPr="00565444">
        <w:t xml:space="preserve"> Listados filtrados por marca (excluyendo el detalle de pólizas), listado general del centro (restringiendo la visualización a solo el ID de la póliza por protección de datos), interconexión en línea con la base de datos de fabricantes y generación de informes agregados de costes medios de pólizas por marca.</w:t>
      </w:r>
    </w:p>
    <w:p w14:paraId="3FDA1785" w14:textId="77777777" w:rsidR="00565444" w:rsidRPr="00565444" w:rsidRDefault="00565444" w:rsidP="00565444">
      <w:pPr>
        <w:numPr>
          <w:ilvl w:val="0"/>
          <w:numId w:val="3"/>
        </w:numPr>
      </w:pPr>
      <w:r w:rsidRPr="00565444">
        <w:rPr>
          <w:b/>
          <w:bCs/>
        </w:rPr>
        <w:t>Módulo Académico:</w:t>
      </w:r>
      <w:r w:rsidRPr="00565444">
        <w:t xml:space="preserve"> Gestión de ediciones de cursos, control estricto de inscripciones limitado a adultos y registro cualitativo de superación (apto/no apto) ligado a la asistencia y cuestionario final.</w:t>
      </w:r>
    </w:p>
    <w:p w14:paraId="2CC527A7" w14:textId="77777777" w:rsidR="00565444" w:rsidRPr="00565444" w:rsidRDefault="00565444" w:rsidP="00565444">
      <w:pPr>
        <w:numPr>
          <w:ilvl w:val="0"/>
          <w:numId w:val="3"/>
        </w:numPr>
      </w:pPr>
      <w:r w:rsidRPr="00565444">
        <w:rPr>
          <w:b/>
          <w:bCs/>
        </w:rPr>
        <w:t>Trabajo pendiente:</w:t>
      </w:r>
      <w:r w:rsidRPr="00565444">
        <w:t xml:space="preserve"> </w:t>
      </w:r>
      <w:r w:rsidRPr="00565444">
        <w:rPr>
          <w:b/>
          <w:bCs/>
        </w:rPr>
        <w:t>Ninguno</w:t>
      </w:r>
      <w:r w:rsidRPr="00565444">
        <w:t>. Todas las funciones operan en línea y se encuentran validadas de conformidad.</w:t>
      </w:r>
    </w:p>
    <w:p w14:paraId="228EFF72" w14:textId="77777777" w:rsidR="00565444" w:rsidRPr="00565444" w:rsidRDefault="00565444" w:rsidP="00565444">
      <w:pPr>
        <w:rPr>
          <w:b/>
          <w:bCs/>
        </w:rPr>
      </w:pPr>
      <w:r w:rsidRPr="00565444">
        <w:rPr>
          <w:b/>
          <w:bCs/>
        </w:rPr>
        <w:t>4. Esfuerzo y duración frente a la propuesta</w:t>
      </w:r>
    </w:p>
    <w:p w14:paraId="62EA80B8" w14:textId="77777777" w:rsidR="00565444" w:rsidRPr="00565444" w:rsidRDefault="00565444" w:rsidP="00565444">
      <w:pPr>
        <w:numPr>
          <w:ilvl w:val="0"/>
          <w:numId w:val="4"/>
        </w:numPr>
      </w:pPr>
      <w:r w:rsidRPr="00565444">
        <w:rPr>
          <w:b/>
          <w:bCs/>
        </w:rPr>
        <w:t>Duración Planificada vs. Real:</w:t>
      </w:r>
      <w:r w:rsidRPr="00565444">
        <w:t xml:space="preserve"> El proyecto inició el 2 de junio de 2026 y culminó con la firma del acta el 23 de marzo de 2027. Los plazos respetaron rigurosamente el calendario laboral preestablecido (lunes a viernes de 09:00 a 14:00 y de 15:00 a 18:00) y la exclusión de los periodos vacacionales (mes de agosto completo y ventana navideña del 24 de diciembre al 7 de enero).</w:t>
      </w:r>
    </w:p>
    <w:p w14:paraId="5958F78C" w14:textId="77777777" w:rsidR="00565444" w:rsidRPr="00565444" w:rsidRDefault="00565444" w:rsidP="00565444">
      <w:pPr>
        <w:numPr>
          <w:ilvl w:val="0"/>
          <w:numId w:val="4"/>
        </w:numPr>
      </w:pPr>
      <w:r w:rsidRPr="00565444">
        <w:rPr>
          <w:b/>
          <w:bCs/>
        </w:rPr>
        <w:t>Gestión del Esfuerzo:</w:t>
      </w:r>
      <w:r w:rsidRPr="00565444">
        <w:t xml:space="preserve"> Las altas cargas de trabajo estimadas inicialmente en las fases de modelado e implementación —donde la concentración de tareas provocaba picos de sobreasignación teórica del 200% y 300% sobre los perfiles de Programador Senior y </w:t>
      </w:r>
      <w:r w:rsidRPr="00565444">
        <w:lastRenderedPageBreak/>
        <w:t>Programador Junior— fueron corregidas con éxito en la nivelación del cronograma mediante el escalonamiento de actividades y la intervención selectiva del Consultor Externo en las pruebas de esfuerzo.</w:t>
      </w:r>
    </w:p>
    <w:p w14:paraId="451D947E" w14:textId="77777777" w:rsidR="00565444" w:rsidRPr="00565444" w:rsidRDefault="00565444" w:rsidP="00565444">
      <w:pPr>
        <w:rPr>
          <w:b/>
          <w:bCs/>
        </w:rPr>
      </w:pPr>
      <w:r w:rsidRPr="00565444">
        <w:rPr>
          <w:b/>
          <w:bCs/>
        </w:rPr>
        <w:t>5. Hitos clave del proyecto</w:t>
      </w:r>
    </w:p>
    <w:p w14:paraId="1AD68F6D" w14:textId="77777777" w:rsidR="00565444" w:rsidRPr="00565444" w:rsidRDefault="00565444" w:rsidP="00565444">
      <w:r w:rsidRPr="00565444">
        <w:t>De acuerdo con la secuencia temporal establecida y el WBS del proyecto, se alcanzaron con éxito los siguientes hitos de entrega:</w:t>
      </w:r>
    </w:p>
    <w:p w14:paraId="3449006C" w14:textId="77777777" w:rsidR="00565444" w:rsidRPr="00565444" w:rsidRDefault="00565444" w:rsidP="00565444">
      <w:pPr>
        <w:numPr>
          <w:ilvl w:val="0"/>
          <w:numId w:val="5"/>
        </w:numPr>
      </w:pPr>
      <w:r w:rsidRPr="00565444">
        <w:rPr>
          <w:b/>
          <w:bCs/>
        </w:rPr>
        <w:t>Hito 1: Aprobación y Presentación de la ERS (Fase 1 - ASI):</w:t>
      </w:r>
      <w:r w:rsidRPr="00565444">
        <w:t xml:space="preserve"> Completado entre el 11 y el 13 de junio de 2025*.</w:t>
      </w:r>
    </w:p>
    <w:p w14:paraId="6FA1EF12" w14:textId="77777777" w:rsidR="00565444" w:rsidRPr="00565444" w:rsidRDefault="00565444" w:rsidP="00565444">
      <w:pPr>
        <w:numPr>
          <w:ilvl w:val="0"/>
          <w:numId w:val="5"/>
        </w:numPr>
      </w:pPr>
      <w:r w:rsidRPr="00565444">
        <w:rPr>
          <w:b/>
          <w:bCs/>
        </w:rPr>
        <w:t>Hito 2: Publicación del Plan de Desarrollo del Software (Fase 3):</w:t>
      </w:r>
      <w:r w:rsidRPr="00565444">
        <w:t xml:space="preserve"> Consolidado el 1 de septiembre de 2025*.</w:t>
      </w:r>
    </w:p>
    <w:p w14:paraId="325D7C74" w14:textId="77777777" w:rsidR="00565444" w:rsidRPr="00565444" w:rsidRDefault="00565444" w:rsidP="00565444">
      <w:pPr>
        <w:numPr>
          <w:ilvl w:val="0"/>
          <w:numId w:val="5"/>
        </w:numPr>
      </w:pPr>
      <w:r w:rsidRPr="00565444">
        <w:rPr>
          <w:b/>
          <w:bCs/>
        </w:rPr>
        <w:t>Hito 3: Cierre del Modelo de Datos (Fase 4 - DSI):</w:t>
      </w:r>
      <w:r w:rsidRPr="00565444">
        <w:t xml:space="preserve"> Finalizado formalmente el 9 de enero de 2026*.</w:t>
      </w:r>
    </w:p>
    <w:p w14:paraId="477C2BCE" w14:textId="77777777" w:rsidR="00565444" w:rsidRPr="00565444" w:rsidRDefault="00565444" w:rsidP="00565444">
      <w:pPr>
        <w:numPr>
          <w:ilvl w:val="0"/>
          <w:numId w:val="5"/>
        </w:numPr>
      </w:pPr>
      <w:r w:rsidRPr="00565444">
        <w:rPr>
          <w:b/>
          <w:bCs/>
        </w:rPr>
        <w:t>Hito 4: Construcción de Componentes y Procedimientos (Fase 5 - CSI):</w:t>
      </w:r>
      <w:r w:rsidRPr="00565444">
        <w:t xml:space="preserve"> Concluido el 30 de marzo de 2026*.</w:t>
      </w:r>
    </w:p>
    <w:p w14:paraId="01A96A7C" w14:textId="77777777" w:rsidR="00565444" w:rsidRPr="00565444" w:rsidRDefault="00565444" w:rsidP="00565444">
      <w:pPr>
        <w:numPr>
          <w:ilvl w:val="0"/>
          <w:numId w:val="5"/>
        </w:numPr>
      </w:pPr>
      <w:r w:rsidRPr="00565444">
        <w:rPr>
          <w:b/>
          <w:bCs/>
        </w:rPr>
        <w:t>Hito 5: Validación del Sistema (Fase 6 - Pruebas):</w:t>
      </w:r>
      <w:r w:rsidRPr="00565444">
        <w:t xml:space="preserve"> Ejecutado y cerrado el 2 de marzo de 2027.</w:t>
      </w:r>
    </w:p>
    <w:p w14:paraId="5B66D90F" w14:textId="77777777" w:rsidR="00565444" w:rsidRPr="00565444" w:rsidRDefault="00565444" w:rsidP="00565444">
      <w:pPr>
        <w:numPr>
          <w:ilvl w:val="0"/>
          <w:numId w:val="5"/>
        </w:numPr>
      </w:pPr>
      <w:r w:rsidRPr="00565444">
        <w:rPr>
          <w:b/>
          <w:bCs/>
        </w:rPr>
        <w:t>Hito 6: Firma del Acta de Aceptación e Implantación (Fase 7):</w:t>
      </w:r>
      <w:r w:rsidRPr="00565444">
        <w:t xml:space="preserve"> formalizado entre el 5 y el 10 de marzo de 2027.</w:t>
      </w:r>
    </w:p>
    <w:p w14:paraId="13A1EF44" w14:textId="77777777" w:rsidR="00565444" w:rsidRPr="00565444" w:rsidRDefault="00565444" w:rsidP="00565444">
      <w:r w:rsidRPr="00565444">
        <w:rPr>
          <w:i/>
          <w:iCs/>
        </w:rPr>
        <w:t>*Nota de coherencia del cronograma:</w:t>
      </w:r>
      <w:r w:rsidRPr="00565444">
        <w:t xml:space="preserve"> Las discrepancias de anualidades presentes en los registros de la herramienta de planificación (fechas grabadas entre 2025 y 2027) se unificaron operativamente bajo la directriz del enunciado oficial, fijando el inicio global e irreversible del proyecto el 2 de junio de 2026.</w:t>
      </w:r>
    </w:p>
    <w:p w14:paraId="4664C856" w14:textId="77777777" w:rsidR="00565444" w:rsidRPr="00565444" w:rsidRDefault="00565444" w:rsidP="00565444">
      <w:pPr>
        <w:rPr>
          <w:b/>
          <w:bCs/>
        </w:rPr>
      </w:pPr>
      <w:r w:rsidRPr="00565444">
        <w:rPr>
          <w:b/>
          <w:bCs/>
        </w:rPr>
        <w:t>6. Resumen de coste y desempeño</w:t>
      </w:r>
    </w:p>
    <w:p w14:paraId="236673C5" w14:textId="77777777" w:rsidR="00565444" w:rsidRPr="00565444" w:rsidRDefault="00565444" w:rsidP="00565444">
      <w:r w:rsidRPr="00565444">
        <w:t>El balance económico del proyecto se mantuvo dentro de los márgenes previstos. El control de las actividades transversales de seguimiento e infraestructura arroja los siguientes datos directos:</w:t>
      </w:r>
    </w:p>
    <w:p w14:paraId="2C740EF4" w14:textId="77777777" w:rsidR="00565444" w:rsidRPr="00565444" w:rsidRDefault="00565444" w:rsidP="00565444">
      <w:pPr>
        <w:numPr>
          <w:ilvl w:val="0"/>
          <w:numId w:val="6"/>
        </w:numPr>
      </w:pPr>
      <w:r w:rsidRPr="00565444">
        <w:rPr>
          <w:b/>
          <w:bCs/>
        </w:rPr>
        <w:t>Reuniones Mensuales de Seguimiento:</w:t>
      </w:r>
      <w:r w:rsidRPr="00565444">
        <w:t xml:space="preserve"> Se realizaron un total de 12 reuniones de control (una hora de duración, celebradas el primer día laborable de cada mes) con la asistencia obligatoria del Soporte Técnico, el Arquitecto de Sistemas y un Programador Senior.</w:t>
      </w:r>
    </w:p>
    <w:p w14:paraId="7B6E7DEE" w14:textId="77777777" w:rsidR="00565444" w:rsidRPr="00565444" w:rsidRDefault="00565444" w:rsidP="00565444">
      <w:pPr>
        <w:numPr>
          <w:ilvl w:val="0"/>
          <w:numId w:val="6"/>
        </w:numPr>
      </w:pPr>
      <w:r w:rsidRPr="00565444">
        <w:rPr>
          <w:b/>
          <w:bCs/>
        </w:rPr>
        <w:t>Coste por Sesión:</w:t>
      </w:r>
      <w:r w:rsidRPr="00565444">
        <w:t xml:space="preserve"> 70 € por reunión (desglosado estrictamente en 50 € de alquiler de sala y 20 € de gastos de transporte de personal).</w:t>
      </w:r>
    </w:p>
    <w:p w14:paraId="58E204C0" w14:textId="77777777" w:rsidR="00565444" w:rsidRPr="00565444" w:rsidRDefault="00565444" w:rsidP="00565444">
      <w:pPr>
        <w:numPr>
          <w:ilvl w:val="0"/>
          <w:numId w:val="6"/>
        </w:numPr>
      </w:pPr>
      <w:r w:rsidRPr="00565444">
        <w:rPr>
          <w:b/>
          <w:bCs/>
        </w:rPr>
        <w:t>Coste Acumulado del Seguimiento:</w:t>
      </w:r>
      <w:r w:rsidRPr="00565444">
        <w:t xml:space="preserve"> </w:t>
      </w:r>
      <w:r w:rsidRPr="00565444">
        <w:rPr>
          <w:b/>
          <w:bCs/>
        </w:rPr>
        <w:t>840 €</w:t>
      </w:r>
      <w:r w:rsidRPr="00565444">
        <w:t xml:space="preserve"> en concepto de logística de reuniones, cumpliendo con el presupuesto base asignado a dicho rubro.</w:t>
      </w:r>
    </w:p>
    <w:p w14:paraId="71DD2C2A" w14:textId="77777777" w:rsidR="00565444" w:rsidRPr="00565444" w:rsidRDefault="00565444" w:rsidP="00565444">
      <w:pPr>
        <w:numPr>
          <w:ilvl w:val="0"/>
          <w:numId w:val="6"/>
        </w:numPr>
      </w:pPr>
      <w:r w:rsidRPr="00565444">
        <w:rPr>
          <w:b/>
          <w:bCs/>
        </w:rPr>
        <w:t>Desempeño de Costes (CPI):</w:t>
      </w:r>
      <w:r w:rsidRPr="00565444">
        <w:t xml:space="preserve"> Se mantuvo alineado al objetivo ($\ge 1,0$), evitando desvíos financieros mediante el uso controlado de las horas del Consultor Externo (tarifa estipulada de 100 €/h) exclusivamente en los entregables críticos de pruebas de esfuerzo y configuración tecnológica inicial.</w:t>
      </w:r>
    </w:p>
    <w:p w14:paraId="4CF42F1C" w14:textId="77777777" w:rsidR="00565444" w:rsidRPr="00565444" w:rsidRDefault="00565444" w:rsidP="00565444">
      <w:pPr>
        <w:rPr>
          <w:b/>
          <w:bCs/>
        </w:rPr>
      </w:pPr>
      <w:r w:rsidRPr="00565444">
        <w:rPr>
          <w:b/>
          <w:bCs/>
        </w:rPr>
        <w:t xml:space="preserve">7. Criterios de cierre y </w:t>
      </w:r>
      <w:proofErr w:type="spellStart"/>
      <w:r w:rsidRPr="00565444">
        <w:rPr>
          <w:b/>
          <w:bCs/>
        </w:rPr>
        <w:t>KPIs</w:t>
      </w:r>
      <w:proofErr w:type="spellEnd"/>
    </w:p>
    <w:p w14:paraId="4EC015B8" w14:textId="77777777" w:rsidR="00565444" w:rsidRPr="00565444" w:rsidRDefault="00565444" w:rsidP="00565444">
      <w:r w:rsidRPr="00565444">
        <w:t>La declaración de cierre formal se fundamenta en el cumplimiento estricto de los umbrales de los indicadores de gestión definidos:</w:t>
      </w:r>
    </w:p>
    <w:p w14:paraId="3A0E17CC" w14:textId="77777777" w:rsidR="00565444" w:rsidRPr="00565444" w:rsidRDefault="00565444" w:rsidP="00565444">
      <w:pPr>
        <w:numPr>
          <w:ilvl w:val="0"/>
          <w:numId w:val="7"/>
        </w:numPr>
      </w:pPr>
      <w:r w:rsidRPr="00565444">
        <w:rPr>
          <w:b/>
          <w:bCs/>
        </w:rPr>
        <w:t>KPI Alcance:</w:t>
      </w:r>
      <w:r w:rsidRPr="00565444">
        <w:t xml:space="preserve"> </w:t>
      </w:r>
      <w:r w:rsidRPr="00565444">
        <w:rPr>
          <w:b/>
          <w:bCs/>
        </w:rPr>
        <w:t>100%</w:t>
      </w:r>
      <w:r w:rsidRPr="00565444">
        <w:t xml:space="preserve"> de los requisitos funcionales implementados con éxito (10 de 10) y el 100% de los 8 entregables principales del Charter completados y auditados.</w:t>
      </w:r>
    </w:p>
    <w:p w14:paraId="49B3D2C9" w14:textId="77777777" w:rsidR="00565444" w:rsidRPr="00565444" w:rsidRDefault="00565444" w:rsidP="00565444">
      <w:pPr>
        <w:numPr>
          <w:ilvl w:val="0"/>
          <w:numId w:val="7"/>
        </w:numPr>
      </w:pPr>
      <w:r w:rsidRPr="00565444">
        <w:rPr>
          <w:b/>
          <w:bCs/>
        </w:rPr>
        <w:t>KPI Tiempo (SPI):</w:t>
      </w:r>
      <w:r w:rsidRPr="00565444">
        <w:t xml:space="preserve"> Alcanzó un valor final de $\ge 1,0$ al realizarse el despliegue definitivo dentro de la ventana de tiempo del plan maestro.</w:t>
      </w:r>
    </w:p>
    <w:p w14:paraId="12AA5585" w14:textId="77777777" w:rsidR="00565444" w:rsidRPr="00565444" w:rsidRDefault="00565444" w:rsidP="00565444">
      <w:pPr>
        <w:numPr>
          <w:ilvl w:val="0"/>
          <w:numId w:val="7"/>
        </w:numPr>
      </w:pPr>
      <w:r w:rsidRPr="00565444">
        <w:rPr>
          <w:b/>
          <w:bCs/>
        </w:rPr>
        <w:t>KPI Calidad:</w:t>
      </w:r>
      <w:r w:rsidRPr="00565444">
        <w:t xml:space="preserve"> El volumen de defectos detectados por el Experto en Pruebas durante la fase de Verificación y Validación se situó por debajo del límite tolerable (</w:t>
      </w:r>
      <w:r w:rsidRPr="00565444">
        <w:rPr>
          <w:b/>
          <w:bCs/>
        </w:rPr>
        <w:t xml:space="preserve">$\le 5$ defectos críticos </w:t>
      </w:r>
      <w:r w:rsidRPr="00565444">
        <w:rPr>
          <w:b/>
          <w:bCs/>
        </w:rPr>
        <w:lastRenderedPageBreak/>
        <w:t>en el cierre</w:t>
      </w:r>
      <w:r w:rsidRPr="00565444">
        <w:t xml:space="preserve">), habiéndose resuelto más del 95% de las incidencias menores reportadas. El Acta de Aceptación fue validada con un resultado definitivo de </w:t>
      </w:r>
      <w:r w:rsidRPr="00565444">
        <w:rPr>
          <w:b/>
          <w:bCs/>
        </w:rPr>
        <w:t>"SÍ"</w:t>
      </w:r>
      <w:r w:rsidRPr="00565444">
        <w:t xml:space="preserve"> por parte del cliente.</w:t>
      </w:r>
    </w:p>
    <w:p w14:paraId="2B9F8365" w14:textId="77777777" w:rsidR="00565444" w:rsidRPr="00565444" w:rsidRDefault="00565444" w:rsidP="00565444">
      <w:pPr>
        <w:rPr>
          <w:b/>
          <w:bCs/>
        </w:rPr>
      </w:pPr>
      <w:r w:rsidRPr="00565444">
        <w:rPr>
          <w:b/>
          <w:bCs/>
        </w:rPr>
        <w:t>8. Gestión de riesgos</w:t>
      </w:r>
    </w:p>
    <w:p w14:paraId="21807663" w14:textId="77777777" w:rsidR="00565444" w:rsidRPr="00565444" w:rsidRDefault="00565444" w:rsidP="00565444">
      <w:r w:rsidRPr="00565444">
        <w:t>A lo largo del ciclo de vida se aplicaron con éxito las medidas de mitigación previstas en el Registro de Riesgos para los eventos críticos que amenazaban el camino crítico:</w:t>
      </w:r>
    </w:p>
    <w:p w14:paraId="584A6C62" w14:textId="77777777" w:rsidR="00565444" w:rsidRPr="00565444" w:rsidRDefault="00565444" w:rsidP="00565444">
      <w:pPr>
        <w:numPr>
          <w:ilvl w:val="0"/>
          <w:numId w:val="8"/>
        </w:numPr>
      </w:pPr>
      <w:r w:rsidRPr="00565444">
        <w:rPr>
          <w:b/>
          <w:bCs/>
        </w:rPr>
        <w:t>R-02 (Sobreasignación de recursos):</w:t>
      </w:r>
      <w:r w:rsidRPr="00565444">
        <w:t xml:space="preserve"> Riesgo mitigado mediante la redistribución de cargas de trabajo semanales en MS Project y la activación de la nivelación automática.</w:t>
      </w:r>
    </w:p>
    <w:p w14:paraId="3A2CE330" w14:textId="77777777" w:rsidR="00565444" w:rsidRPr="00565444" w:rsidRDefault="00565444" w:rsidP="00565444">
      <w:pPr>
        <w:numPr>
          <w:ilvl w:val="0"/>
          <w:numId w:val="8"/>
        </w:numPr>
      </w:pPr>
      <w:r w:rsidRPr="00565444">
        <w:rPr>
          <w:b/>
          <w:bCs/>
        </w:rPr>
        <w:t>R-05 (Retrasos en tareas del camino crítico):</w:t>
      </w:r>
      <w:r w:rsidRPr="00565444">
        <w:t xml:space="preserve"> Controlado eficazmente a través del análisis de desviación realizado en las reuniones mensuales del primer día laborable de cada mes.</w:t>
      </w:r>
    </w:p>
    <w:p w14:paraId="67147E61" w14:textId="77777777" w:rsidR="00565444" w:rsidRPr="00565444" w:rsidRDefault="00565444" w:rsidP="00565444">
      <w:pPr>
        <w:numPr>
          <w:ilvl w:val="0"/>
          <w:numId w:val="8"/>
        </w:numPr>
      </w:pPr>
      <w:r w:rsidRPr="00565444">
        <w:rPr>
          <w:b/>
          <w:bCs/>
        </w:rPr>
        <w:t>R-07 (Defectos en la aceptación final):</w:t>
      </w:r>
      <w:r w:rsidRPr="00565444">
        <w:t xml:space="preserve"> Mitigado mediante la asignación temprana del Experto en Pruebas desde la fase de diseño técnico y la elaboración anticipada del plan de pruebas del sistema.</w:t>
      </w:r>
    </w:p>
    <w:p w14:paraId="18413631" w14:textId="77777777" w:rsidR="00565444" w:rsidRPr="00565444" w:rsidRDefault="00565444" w:rsidP="00565444">
      <w:pPr>
        <w:numPr>
          <w:ilvl w:val="0"/>
          <w:numId w:val="8"/>
        </w:numPr>
      </w:pPr>
      <w:r w:rsidRPr="00565444">
        <w:rPr>
          <w:b/>
          <w:bCs/>
        </w:rPr>
        <w:t>R-09 (Dependencias del consultor externo):</w:t>
      </w:r>
      <w:r w:rsidRPr="00565444">
        <w:t xml:space="preserve"> Se controló fijando entregables de configuración tecnológica y resultados de pruebas de esfuerzo con fechas límite comprometidas, evitando incrementos no planificados en el coste horario (100 €/h).</w:t>
      </w:r>
    </w:p>
    <w:p w14:paraId="18C8BF4F" w14:textId="77777777" w:rsidR="00565444" w:rsidRPr="00565444" w:rsidRDefault="00565444" w:rsidP="00565444">
      <w:pPr>
        <w:rPr>
          <w:b/>
          <w:bCs/>
        </w:rPr>
      </w:pPr>
      <w:r w:rsidRPr="00565444">
        <w:rPr>
          <w:b/>
          <w:bCs/>
        </w:rPr>
        <w:t>9. Beneficios logrados</w:t>
      </w:r>
    </w:p>
    <w:p w14:paraId="685FF471" w14:textId="77777777" w:rsidR="00565444" w:rsidRPr="00565444" w:rsidRDefault="00565444" w:rsidP="00565444">
      <w:pPr>
        <w:numPr>
          <w:ilvl w:val="0"/>
          <w:numId w:val="9"/>
        </w:numPr>
      </w:pPr>
      <w:r w:rsidRPr="00565444">
        <w:rPr>
          <w:b/>
          <w:bCs/>
        </w:rPr>
        <w:t>Optimización Operativa:</w:t>
      </w:r>
      <w:r w:rsidRPr="00565444">
        <w:t xml:space="preserve"> Eliminación absoluta de registros manuales y duplicidades en la gestión de las bicicletas del club.</w:t>
      </w:r>
    </w:p>
    <w:p w14:paraId="44317C7A" w14:textId="77777777" w:rsidR="00565444" w:rsidRPr="00565444" w:rsidRDefault="00565444" w:rsidP="00565444">
      <w:pPr>
        <w:numPr>
          <w:ilvl w:val="0"/>
          <w:numId w:val="9"/>
        </w:numPr>
      </w:pPr>
      <w:r w:rsidRPr="00565444">
        <w:rPr>
          <w:b/>
          <w:bCs/>
        </w:rPr>
        <w:t>Seguridad Jurídica Completa:</w:t>
      </w:r>
      <w:r w:rsidRPr="00565444">
        <w:t xml:space="preserve"> Automatización del control de pólizas de seguro de responsabilidad civil, garantizando que ninguna bicicleta sea utilizada sin que todos sus codueños adultos estén explícitamente cubiertos por las condiciones del centro.</w:t>
      </w:r>
    </w:p>
    <w:p w14:paraId="39811D9A" w14:textId="77777777" w:rsidR="00565444" w:rsidRPr="00565444" w:rsidRDefault="00565444" w:rsidP="00565444">
      <w:pPr>
        <w:numPr>
          <w:ilvl w:val="0"/>
          <w:numId w:val="9"/>
        </w:numPr>
      </w:pPr>
      <w:r w:rsidRPr="00565444">
        <w:rPr>
          <w:b/>
          <w:bCs/>
        </w:rPr>
        <w:t>Fidelización del Socio:</w:t>
      </w:r>
      <w:r w:rsidRPr="00565444">
        <w:t xml:space="preserve"> Implantación de un sistema transparente de control de asistencia y superación de cursos de mantenimiento, permitiendo al club aplicar de forma ágil e informada las bonificaciones manuales en las cuotas de los socios aptos.</w:t>
      </w:r>
    </w:p>
    <w:p w14:paraId="29596926" w14:textId="77777777" w:rsidR="00565444" w:rsidRPr="00565444" w:rsidRDefault="00565444" w:rsidP="00565444">
      <w:pPr>
        <w:numPr>
          <w:ilvl w:val="0"/>
          <w:numId w:val="9"/>
        </w:numPr>
      </w:pPr>
      <w:r w:rsidRPr="00565444">
        <w:rPr>
          <w:b/>
          <w:bCs/>
        </w:rPr>
        <w:t>Seguridad Tecnológica:</w:t>
      </w:r>
      <w:r w:rsidRPr="00565444">
        <w:t xml:space="preserve"> Transferencia de datos críticos de pólizas e información personal bajo un entorno íntegramente </w:t>
      </w:r>
      <w:proofErr w:type="spellStart"/>
      <w:r w:rsidRPr="00565444">
        <w:t>securizado</w:t>
      </w:r>
      <w:proofErr w:type="spellEnd"/>
      <w:r w:rsidRPr="00565444">
        <w:t xml:space="preserve"> por protocolo HTTPS.</w:t>
      </w:r>
    </w:p>
    <w:p w14:paraId="6623A63A" w14:textId="77777777" w:rsidR="00565444" w:rsidRPr="00565444" w:rsidRDefault="00565444" w:rsidP="00565444">
      <w:pPr>
        <w:rPr>
          <w:b/>
          <w:bCs/>
        </w:rPr>
      </w:pPr>
      <w:r w:rsidRPr="00565444">
        <w:rPr>
          <w:b/>
          <w:bCs/>
        </w:rPr>
        <w:t>10. Lecciones aprendidas / observaciones de mejora</w:t>
      </w:r>
    </w:p>
    <w:p w14:paraId="00ACED98" w14:textId="77777777" w:rsidR="00565444" w:rsidRPr="00565444" w:rsidRDefault="00565444" w:rsidP="00565444">
      <w:pPr>
        <w:numPr>
          <w:ilvl w:val="0"/>
          <w:numId w:val="10"/>
        </w:numPr>
      </w:pPr>
      <w:r w:rsidRPr="00565444">
        <w:rPr>
          <w:b/>
          <w:bCs/>
        </w:rPr>
        <w:t>Coherencia en Herramientas de Planificación:</w:t>
      </w:r>
      <w:r w:rsidRPr="00565444">
        <w:t xml:space="preserve"> Se identificó como área de mejora la necesidad de auditar las configuraciones de calendario y anualidades en MS Project antes de fijar la línea base, evitando el desfase de años detectado entre las fases de inicio (registradas por error como 2025) y las fases de cierre (2027).</w:t>
      </w:r>
    </w:p>
    <w:p w14:paraId="052390A0" w14:textId="77777777" w:rsidR="00565444" w:rsidRPr="00565444" w:rsidRDefault="00565444" w:rsidP="00565444">
      <w:pPr>
        <w:numPr>
          <w:ilvl w:val="0"/>
          <w:numId w:val="10"/>
        </w:numPr>
      </w:pPr>
      <w:r w:rsidRPr="00565444">
        <w:rPr>
          <w:b/>
          <w:bCs/>
        </w:rPr>
        <w:t>Nivelación Prematura de Recursos:</w:t>
      </w:r>
      <w:r w:rsidRPr="00565444">
        <w:t xml:space="preserve"> En proyectos de desarrollo de software bajo MÉTRICA v3, la asignación teórica de perfiles de desarrollo (Senior y Junior) debe ser nivelada desde la fase de diseño técnico para evitar alarmas por sobreasignaciones simuladas de hasta el 300% en los diagramas de carga iniciales.</w:t>
      </w:r>
    </w:p>
    <w:p w14:paraId="40700AA4" w14:textId="77777777" w:rsidR="00565444" w:rsidRPr="00565444" w:rsidRDefault="00565444" w:rsidP="00565444">
      <w:pPr>
        <w:rPr>
          <w:b/>
          <w:bCs/>
        </w:rPr>
      </w:pPr>
      <w:r w:rsidRPr="00565444">
        <w:rPr>
          <w:b/>
          <w:bCs/>
        </w:rPr>
        <w:t>11. Propietario de productos y entregables</w:t>
      </w:r>
    </w:p>
    <w:p w14:paraId="2555039D" w14:textId="77777777" w:rsidR="00565444" w:rsidRPr="00565444" w:rsidRDefault="00565444" w:rsidP="00565444">
      <w:r w:rsidRPr="00565444">
        <w:t>De acuerdo con los roles cruzados validados en la Matriz de Responsabilidades (RACI) del proyecto, la propiedad e implicación sobre los productos finales queda distribuida de la siguiente manera:</w:t>
      </w:r>
    </w:p>
    <w:p w14:paraId="497863F1" w14:textId="77777777" w:rsidR="00565444" w:rsidRPr="00565444" w:rsidRDefault="00565444" w:rsidP="00565444">
      <w:pPr>
        <w:numPr>
          <w:ilvl w:val="0"/>
          <w:numId w:val="11"/>
        </w:numPr>
      </w:pPr>
      <w:r w:rsidRPr="00565444">
        <w:rPr>
          <w:b/>
          <w:bCs/>
        </w:rPr>
        <w:t>Propiedad del Sistema Implantado y Entorno Físico de Datos:</w:t>
      </w:r>
      <w:r w:rsidRPr="00565444">
        <w:t xml:space="preserve"> Compartido bajo la rendición de cuentas del </w:t>
      </w:r>
      <w:r w:rsidRPr="00565444">
        <w:rPr>
          <w:b/>
          <w:bCs/>
        </w:rPr>
        <w:t>Administrador de Base de Datos</w:t>
      </w:r>
      <w:r w:rsidRPr="00565444">
        <w:t xml:space="preserve"> (Aprobador del modelo y la estructura física) y el </w:t>
      </w:r>
      <w:r w:rsidRPr="00565444">
        <w:rPr>
          <w:b/>
          <w:bCs/>
        </w:rPr>
        <w:t>Arquitecto de Sistemas</w:t>
      </w:r>
      <w:r w:rsidRPr="00565444">
        <w:t xml:space="preserve"> (Aprobador del código final y el entorno tecnológico).</w:t>
      </w:r>
    </w:p>
    <w:p w14:paraId="2A9F0073" w14:textId="77777777" w:rsidR="00565444" w:rsidRPr="00565444" w:rsidRDefault="00565444" w:rsidP="00565444">
      <w:pPr>
        <w:numPr>
          <w:ilvl w:val="0"/>
          <w:numId w:val="11"/>
        </w:numPr>
      </w:pPr>
      <w:r w:rsidRPr="00565444">
        <w:rPr>
          <w:b/>
          <w:bCs/>
        </w:rPr>
        <w:t>Propiedad de la Documentación de Usuario e Implantación:</w:t>
      </w:r>
      <w:r w:rsidRPr="00565444">
        <w:t xml:space="preserve"> Responsabilidad directa de ejecución y soporte técnico del </w:t>
      </w:r>
      <w:r w:rsidRPr="00565444">
        <w:rPr>
          <w:b/>
          <w:bCs/>
        </w:rPr>
        <w:t>Soporte Técnico (ST)</w:t>
      </w:r>
      <w:r w:rsidRPr="00565444">
        <w:t>.</w:t>
      </w:r>
    </w:p>
    <w:p w14:paraId="30E104D5" w14:textId="77777777" w:rsidR="00565444" w:rsidRPr="00565444" w:rsidRDefault="00565444" w:rsidP="00565444">
      <w:pPr>
        <w:numPr>
          <w:ilvl w:val="0"/>
          <w:numId w:val="11"/>
        </w:numPr>
      </w:pPr>
      <w:r w:rsidRPr="00565444">
        <w:rPr>
          <w:b/>
          <w:bCs/>
        </w:rPr>
        <w:t>Propiedad del Aseguramiento de la Calidad:</w:t>
      </w:r>
      <w:r w:rsidRPr="00565444">
        <w:t xml:space="preserve"> Bajo custodia del </w:t>
      </w:r>
      <w:r w:rsidRPr="00565444">
        <w:rPr>
          <w:b/>
          <w:bCs/>
        </w:rPr>
        <w:t>Experto en Pruebas (EP)</w:t>
      </w:r>
      <w:r w:rsidRPr="00565444">
        <w:t>, encargado de la ejecución del plan de pruebas y la recopilación de evidencias de verificación y validación.</w:t>
      </w:r>
    </w:p>
    <w:p w14:paraId="43833D0A" w14:textId="77777777" w:rsidR="00565444" w:rsidRPr="00565444" w:rsidRDefault="00565444" w:rsidP="00565444">
      <w:pPr>
        <w:rPr>
          <w:b/>
          <w:bCs/>
        </w:rPr>
      </w:pPr>
      <w:r w:rsidRPr="00565444">
        <w:rPr>
          <w:b/>
          <w:bCs/>
        </w:rPr>
        <w:lastRenderedPageBreak/>
        <w:t>12. Aprobación formal del cierre</w:t>
      </w:r>
    </w:p>
    <w:p w14:paraId="1CC9846C" w14:textId="77777777" w:rsidR="00565444" w:rsidRPr="00565444" w:rsidRDefault="00565444" w:rsidP="00565444">
      <w:r w:rsidRPr="00565444">
        <w:t>Al haberse verificado el cumplimiento de los criterios de aceptación, la entrega de la documentación de usuario y la operatividad del sistema en producción, las partes interesadas ratifican el cierre del proyecto.</w:t>
      </w:r>
    </w:p>
    <w:p w14:paraId="79E9EA43" w14:textId="77777777" w:rsidR="00565444" w:rsidRPr="00565444" w:rsidRDefault="00565444" w:rsidP="00565444">
      <w:r w:rsidRPr="00565444">
        <w:t>$$\</w:t>
      </w:r>
      <w:proofErr w:type="spellStart"/>
      <w:proofErr w:type="gramStart"/>
      <w:r w:rsidRPr="00565444">
        <w:t>text</w:t>
      </w:r>
      <w:proofErr w:type="spellEnd"/>
      <w:r w:rsidRPr="00565444">
        <w:t>{</w:t>
      </w:r>
      <w:proofErr w:type="gramEnd"/>
      <w:r w:rsidRPr="00565444">
        <w:t xml:space="preserve">Estado del Proyecto: COMPLETADO Y </w:t>
      </w:r>
      <w:proofErr w:type="gramStart"/>
      <w:r w:rsidRPr="00565444">
        <w:t>CERRADO}$</w:t>
      </w:r>
      <w:proofErr w:type="gramEnd"/>
      <w:r w:rsidRPr="00565444">
        <w:t>$</w:t>
      </w:r>
    </w:p>
    <w:p w14:paraId="1DCD140A" w14:textId="77777777" w:rsidR="00565444" w:rsidRPr="00565444" w:rsidRDefault="00565444" w:rsidP="00565444">
      <w:pPr>
        <w:numPr>
          <w:ilvl w:val="0"/>
          <w:numId w:val="12"/>
        </w:numPr>
      </w:pPr>
      <w:r w:rsidRPr="00565444">
        <w:rPr>
          <w:b/>
          <w:bCs/>
        </w:rPr>
        <w:t>Por el Patrocinador (Cliente - Club Ciclista):</w:t>
      </w:r>
      <w:r w:rsidRPr="00565444">
        <w:t xml:space="preserve"> Aprobado (Firma en Acta de Aceptación del Sistema).</w:t>
      </w:r>
    </w:p>
    <w:p w14:paraId="5F86754F" w14:textId="77777777" w:rsidR="00565444" w:rsidRPr="00565444" w:rsidRDefault="00565444" w:rsidP="00565444">
      <w:pPr>
        <w:numPr>
          <w:ilvl w:val="0"/>
          <w:numId w:val="12"/>
        </w:numPr>
      </w:pPr>
      <w:r w:rsidRPr="00565444">
        <w:rPr>
          <w:b/>
          <w:bCs/>
        </w:rPr>
        <w:t>Por el Equipo del Proyecto (Gerente de Proyecto):</w:t>
      </w:r>
      <w:r w:rsidRPr="00565444">
        <w:t xml:space="preserve"> Entregado de conformidad.</w:t>
      </w:r>
    </w:p>
    <w:p w14:paraId="217384E7" w14:textId="77777777" w:rsidR="00FC71D2" w:rsidRDefault="00FC71D2"/>
    <w:sectPr w:rsidR="00FC71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7E4"/>
    <w:multiLevelType w:val="multilevel"/>
    <w:tmpl w:val="33164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8794A"/>
    <w:multiLevelType w:val="multilevel"/>
    <w:tmpl w:val="DDD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A322E"/>
    <w:multiLevelType w:val="multilevel"/>
    <w:tmpl w:val="82B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14445"/>
    <w:multiLevelType w:val="multilevel"/>
    <w:tmpl w:val="B430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C1A22"/>
    <w:multiLevelType w:val="multilevel"/>
    <w:tmpl w:val="8BBC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5021C"/>
    <w:multiLevelType w:val="multilevel"/>
    <w:tmpl w:val="19A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63586"/>
    <w:multiLevelType w:val="multilevel"/>
    <w:tmpl w:val="1862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A7A03"/>
    <w:multiLevelType w:val="multilevel"/>
    <w:tmpl w:val="1CFA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37D8D"/>
    <w:multiLevelType w:val="multilevel"/>
    <w:tmpl w:val="C852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256E3"/>
    <w:multiLevelType w:val="multilevel"/>
    <w:tmpl w:val="3742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A20D2"/>
    <w:multiLevelType w:val="multilevel"/>
    <w:tmpl w:val="A04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1154A"/>
    <w:multiLevelType w:val="multilevel"/>
    <w:tmpl w:val="F7D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577773">
    <w:abstractNumId w:val="7"/>
  </w:num>
  <w:num w:numId="2" w16cid:durableId="1934051135">
    <w:abstractNumId w:val="0"/>
  </w:num>
  <w:num w:numId="3" w16cid:durableId="1349982901">
    <w:abstractNumId w:val="1"/>
  </w:num>
  <w:num w:numId="4" w16cid:durableId="217594295">
    <w:abstractNumId w:val="6"/>
  </w:num>
  <w:num w:numId="5" w16cid:durableId="563031827">
    <w:abstractNumId w:val="10"/>
  </w:num>
  <w:num w:numId="6" w16cid:durableId="1499033808">
    <w:abstractNumId w:val="5"/>
  </w:num>
  <w:num w:numId="7" w16cid:durableId="697007618">
    <w:abstractNumId w:val="3"/>
  </w:num>
  <w:num w:numId="8" w16cid:durableId="407578156">
    <w:abstractNumId w:val="8"/>
  </w:num>
  <w:num w:numId="9" w16cid:durableId="1580403451">
    <w:abstractNumId w:val="2"/>
  </w:num>
  <w:num w:numId="10" w16cid:durableId="20325596">
    <w:abstractNumId w:val="11"/>
  </w:num>
  <w:num w:numId="11" w16cid:durableId="1245644248">
    <w:abstractNumId w:val="4"/>
  </w:num>
  <w:num w:numId="12" w16cid:durableId="11421882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D9A"/>
    <w:rsid w:val="001030BE"/>
    <w:rsid w:val="00424BA4"/>
    <w:rsid w:val="00565444"/>
    <w:rsid w:val="005D42CC"/>
    <w:rsid w:val="005F4D9A"/>
    <w:rsid w:val="007F7799"/>
    <w:rsid w:val="00CB362B"/>
    <w:rsid w:val="00D01CF1"/>
    <w:rsid w:val="00ED46FB"/>
    <w:rsid w:val="00F505F1"/>
    <w:rsid w:val="00FC71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09D5B"/>
  <w15:chartTrackingRefBased/>
  <w15:docId w15:val="{1C6B5C20-AB34-4831-9424-65BD65721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1D2"/>
    <w:pPr>
      <w:spacing w:after="46" w:line="263" w:lineRule="auto"/>
      <w:ind w:left="8" w:right="4" w:hanging="8"/>
      <w:jc w:val="both"/>
    </w:pPr>
    <w:rPr>
      <w:rFonts w:ascii="Calibri" w:hAnsi="Calibri" w:cs="Calibri"/>
      <w:color w:val="000000"/>
      <w:sz w:val="21"/>
    </w:rPr>
  </w:style>
  <w:style w:type="paragraph" w:styleId="Ttulo1">
    <w:name w:val="heading 1"/>
    <w:next w:val="Normal"/>
    <w:link w:val="Ttulo1Car"/>
    <w:uiPriority w:val="9"/>
    <w:qFormat/>
    <w:rsid w:val="00FC71D2"/>
    <w:pPr>
      <w:keepNext/>
      <w:keepLines/>
      <w:spacing w:before="78" w:after="150"/>
      <w:ind w:left="10" w:right="6" w:hanging="10"/>
      <w:jc w:val="center"/>
      <w:outlineLvl w:val="0"/>
    </w:pPr>
    <w:rPr>
      <w:rFonts w:ascii="Calibri" w:hAnsi="Calibri" w:cs="Calibri"/>
      <w:b/>
      <w:color w:val="000000"/>
      <w:sz w:val="21"/>
    </w:rPr>
  </w:style>
  <w:style w:type="paragraph" w:styleId="Ttulo2">
    <w:name w:val="heading 2"/>
    <w:next w:val="Normal"/>
    <w:link w:val="Ttulo2Car"/>
    <w:uiPriority w:val="9"/>
    <w:unhideWhenUsed/>
    <w:qFormat/>
    <w:rsid w:val="00FC71D2"/>
    <w:pPr>
      <w:keepNext/>
      <w:keepLines/>
      <w:spacing w:after="150"/>
      <w:ind w:left="10" w:right="4" w:hanging="10"/>
      <w:jc w:val="center"/>
      <w:outlineLvl w:val="1"/>
    </w:pPr>
    <w:rPr>
      <w:rFonts w:ascii="Calibri" w:hAnsi="Calibri" w:cs="Calibri"/>
      <w:color w:val="000000"/>
      <w:sz w:val="21"/>
    </w:rPr>
  </w:style>
  <w:style w:type="paragraph" w:styleId="Ttulo3">
    <w:name w:val="heading 3"/>
    <w:basedOn w:val="Normal"/>
    <w:next w:val="Normal"/>
    <w:link w:val="Ttulo3Car"/>
    <w:uiPriority w:val="9"/>
    <w:semiHidden/>
    <w:unhideWhenUsed/>
    <w:qFormat/>
    <w:rsid w:val="005F4D9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4D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5F4D9A"/>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5F4D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F4D9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F4D9A"/>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F4D9A"/>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FC71D2"/>
    <w:rPr>
      <w:rFonts w:ascii="Calibri" w:eastAsia="Calibri" w:hAnsi="Calibri" w:cs="Calibri"/>
      <w:b/>
      <w:color w:val="000000"/>
      <w:sz w:val="21"/>
    </w:rPr>
  </w:style>
  <w:style w:type="character" w:customStyle="1" w:styleId="Ttulo2Car">
    <w:name w:val="Título 2 Car"/>
    <w:link w:val="Ttulo2"/>
    <w:uiPriority w:val="9"/>
    <w:rsid w:val="00FC71D2"/>
    <w:rPr>
      <w:rFonts w:ascii="Calibri" w:eastAsia="Calibri" w:hAnsi="Calibri" w:cs="Calibri"/>
      <w:color w:val="000000"/>
      <w:sz w:val="21"/>
    </w:rPr>
  </w:style>
  <w:style w:type="character" w:customStyle="1" w:styleId="Ttulo3Car">
    <w:name w:val="Título 3 Car"/>
    <w:basedOn w:val="Fuentedeprrafopredeter"/>
    <w:link w:val="Ttulo3"/>
    <w:uiPriority w:val="9"/>
    <w:semiHidden/>
    <w:rsid w:val="005F4D9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4D9A"/>
    <w:rPr>
      <w:rFonts w:eastAsiaTheme="majorEastAsia" w:cstheme="majorBidi"/>
      <w:i/>
      <w:iCs/>
      <w:color w:val="2F5496" w:themeColor="accent1" w:themeShade="BF"/>
      <w:sz w:val="21"/>
    </w:rPr>
  </w:style>
  <w:style w:type="character" w:customStyle="1" w:styleId="Ttulo5Car">
    <w:name w:val="Título 5 Car"/>
    <w:basedOn w:val="Fuentedeprrafopredeter"/>
    <w:link w:val="Ttulo5"/>
    <w:uiPriority w:val="9"/>
    <w:semiHidden/>
    <w:rsid w:val="005F4D9A"/>
    <w:rPr>
      <w:rFonts w:eastAsiaTheme="majorEastAsia" w:cstheme="majorBidi"/>
      <w:color w:val="2F5496" w:themeColor="accent1" w:themeShade="BF"/>
      <w:sz w:val="21"/>
    </w:rPr>
  </w:style>
  <w:style w:type="character" w:customStyle="1" w:styleId="Ttulo6Car">
    <w:name w:val="Título 6 Car"/>
    <w:basedOn w:val="Fuentedeprrafopredeter"/>
    <w:link w:val="Ttulo6"/>
    <w:uiPriority w:val="9"/>
    <w:semiHidden/>
    <w:rsid w:val="005F4D9A"/>
    <w:rPr>
      <w:rFonts w:eastAsiaTheme="majorEastAsia" w:cstheme="majorBidi"/>
      <w:i/>
      <w:iCs/>
      <w:color w:val="595959" w:themeColor="text1" w:themeTint="A6"/>
      <w:sz w:val="21"/>
    </w:rPr>
  </w:style>
  <w:style w:type="character" w:customStyle="1" w:styleId="Ttulo7Car">
    <w:name w:val="Título 7 Car"/>
    <w:basedOn w:val="Fuentedeprrafopredeter"/>
    <w:link w:val="Ttulo7"/>
    <w:uiPriority w:val="9"/>
    <w:semiHidden/>
    <w:rsid w:val="005F4D9A"/>
    <w:rPr>
      <w:rFonts w:eastAsiaTheme="majorEastAsia" w:cstheme="majorBidi"/>
      <w:color w:val="595959" w:themeColor="text1" w:themeTint="A6"/>
      <w:sz w:val="21"/>
    </w:rPr>
  </w:style>
  <w:style w:type="character" w:customStyle="1" w:styleId="Ttulo8Car">
    <w:name w:val="Título 8 Car"/>
    <w:basedOn w:val="Fuentedeprrafopredeter"/>
    <w:link w:val="Ttulo8"/>
    <w:uiPriority w:val="9"/>
    <w:semiHidden/>
    <w:rsid w:val="005F4D9A"/>
    <w:rPr>
      <w:rFonts w:eastAsiaTheme="majorEastAsia" w:cstheme="majorBidi"/>
      <w:i/>
      <w:iCs/>
      <w:color w:val="272727" w:themeColor="text1" w:themeTint="D8"/>
      <w:sz w:val="21"/>
    </w:rPr>
  </w:style>
  <w:style w:type="character" w:customStyle="1" w:styleId="Ttulo9Car">
    <w:name w:val="Título 9 Car"/>
    <w:basedOn w:val="Fuentedeprrafopredeter"/>
    <w:link w:val="Ttulo9"/>
    <w:uiPriority w:val="9"/>
    <w:semiHidden/>
    <w:rsid w:val="005F4D9A"/>
    <w:rPr>
      <w:rFonts w:eastAsiaTheme="majorEastAsia" w:cstheme="majorBidi"/>
      <w:color w:val="272727" w:themeColor="text1" w:themeTint="D8"/>
      <w:sz w:val="21"/>
    </w:rPr>
  </w:style>
  <w:style w:type="paragraph" w:styleId="Ttulo">
    <w:name w:val="Title"/>
    <w:basedOn w:val="Normal"/>
    <w:next w:val="Normal"/>
    <w:link w:val="TtuloCar"/>
    <w:uiPriority w:val="10"/>
    <w:qFormat/>
    <w:rsid w:val="005F4D9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5F4D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4D9A"/>
    <w:pPr>
      <w:numPr>
        <w:ilvl w:val="1"/>
      </w:numPr>
      <w:spacing w:after="160"/>
      <w:ind w:left="8" w:hanging="8"/>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4D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4D9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F4D9A"/>
    <w:rPr>
      <w:rFonts w:ascii="Calibri" w:hAnsi="Calibri" w:cs="Calibri"/>
      <w:i/>
      <w:iCs/>
      <w:color w:val="404040" w:themeColor="text1" w:themeTint="BF"/>
      <w:sz w:val="21"/>
    </w:rPr>
  </w:style>
  <w:style w:type="paragraph" w:styleId="Prrafodelista">
    <w:name w:val="List Paragraph"/>
    <w:basedOn w:val="Normal"/>
    <w:uiPriority w:val="34"/>
    <w:qFormat/>
    <w:rsid w:val="005F4D9A"/>
    <w:pPr>
      <w:ind w:left="720"/>
      <w:contextualSpacing/>
    </w:pPr>
  </w:style>
  <w:style w:type="character" w:styleId="nfasisintenso">
    <w:name w:val="Intense Emphasis"/>
    <w:basedOn w:val="Fuentedeprrafopredeter"/>
    <w:uiPriority w:val="21"/>
    <w:qFormat/>
    <w:rsid w:val="005F4D9A"/>
    <w:rPr>
      <w:i/>
      <w:iCs/>
      <w:color w:val="2F5496" w:themeColor="accent1" w:themeShade="BF"/>
    </w:rPr>
  </w:style>
  <w:style w:type="paragraph" w:styleId="Citadestacada">
    <w:name w:val="Intense Quote"/>
    <w:basedOn w:val="Normal"/>
    <w:next w:val="Normal"/>
    <w:link w:val="CitadestacadaCar"/>
    <w:uiPriority w:val="30"/>
    <w:qFormat/>
    <w:rsid w:val="005F4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4D9A"/>
    <w:rPr>
      <w:rFonts w:ascii="Calibri" w:hAnsi="Calibri" w:cs="Calibri"/>
      <w:i/>
      <w:iCs/>
      <w:color w:val="2F5496" w:themeColor="accent1" w:themeShade="BF"/>
      <w:sz w:val="21"/>
    </w:rPr>
  </w:style>
  <w:style w:type="character" w:styleId="Referenciaintensa">
    <w:name w:val="Intense Reference"/>
    <w:basedOn w:val="Fuentedeprrafopredeter"/>
    <w:uiPriority w:val="32"/>
    <w:qFormat/>
    <w:rsid w:val="005F4D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1536</Words>
  <Characters>8454</Characters>
  <Application>Microsoft Office Word</Application>
  <DocSecurity>0</DocSecurity>
  <Lines>70</Lines>
  <Paragraphs>19</Paragraphs>
  <ScaleCrop>false</ScaleCrop>
  <Company/>
  <LinksUpToDate>false</LinksUpToDate>
  <CharactersWithSpaces>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Peña Patricia</dc:creator>
  <cp:keywords/>
  <dc:description/>
  <cp:lastModifiedBy>Vicente Peña Patricia</cp:lastModifiedBy>
  <cp:revision>3</cp:revision>
  <dcterms:created xsi:type="dcterms:W3CDTF">2026-06-23T18:36:00Z</dcterms:created>
  <dcterms:modified xsi:type="dcterms:W3CDTF">2026-06-23T18:51:00Z</dcterms:modified>
</cp:coreProperties>
</file>