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Anexo de trazabilidad del uso de inteligencia artificial</w:t>
      </w:r>
    </w:p>
    <w:p>
      <w:pPr>
        <w:spacing w:after="360"/>
        <w:jc w:val="center"/>
      </w:pPr>
      <w:r>
        <w:rPr>
          <w:rFonts w:ascii="Calibri" w:hAnsi="Calibri" w:eastAsia="Calibri"/>
          <w:color w:val="444444"/>
          <w:sz w:val="22"/>
        </w:rPr>
        <w:t>PredictIT · Trabajo Final de Ingeniería · Patricio Pettini · B00072710-T1</w:t>
      </w:r>
    </w:p>
    <w:p>
      <w:pPr>
        <w:spacing w:after="360"/>
      </w:pPr>
      <w:r>
        <w:rPr>
          <w:rFonts w:ascii="Calibri" w:hAnsi="Calibri" w:eastAsia="Calibri"/>
          <w:color w:val="444444"/>
          <w:sz w:val="20"/>
        </w:rPr>
        <w:t>Este anexo se genera con docs/trazabilidad/_generar-anexo.py a partir de AI-USAGE-LOG.md y PROMPTS-CRITICOS.md. Los dos archivos de texto son la fuente: se editan a mano durante el desarrollo y este documento se reconstruye entero cada vez, así no quedan las dos versiones diciendo cosas distintas.</w:t>
      </w:r>
    </w:p>
    <w:p>
      <w:pPr>
        <w:pStyle w:val="Heading1"/>
        <w:pBdr>
          <w:bottom w:val="single" w:sz="6" w:space="6" w:color="2F5496"/>
        </w:pBdr>
      </w:pPr>
      <w:r>
        <w:rPr>
          <w:rFonts w:ascii="Calibri" w:hAnsi="Calibri" w:eastAsia="Calibri"/>
        </w:rPr>
        <w:t>Anexo A · Registro de uso de inteligencia artificial</w:t>
      </w:r>
    </w:p>
    <w:p>
      <w:r>
        <w:rPr>
          <w:b/>
        </w:rPr>
        <w:t>Proyecto:</w:t>
      </w:r>
      <w:r>
        <w:t xml:space="preserve"> PredictIT — Sistema de mantenimiento predictivo de equipos informáticos</w:t>
      </w:r>
    </w:p>
    <w:p>
      <w:r>
        <w:rPr>
          <w:b/>
        </w:rPr>
        <w:t>Autor:</w:t>
      </w:r>
      <w:r>
        <w:t xml:space="preserve"> Pettini, Patricio Ezequiel — Legajo B00072710-T1</w:t>
      </w:r>
    </w:p>
    <w:p>
      <w:r>
        <w:rPr>
          <w:b/>
        </w:rPr>
        <w:t>Trabajo Final de Ingeniería — UAI, Facultad de Tecnología Informática</w:t>
      </w:r>
    </w:p>
    <w:p>
      <w:pPr>
        <w:pStyle w:val="Heading2"/>
        <w:pBdr>
          <w:bottom w:val="single" w:sz="6" w:space="6" w:color="2F5496"/>
        </w:pBdr>
        <w:spacing w:before="440"/>
      </w:pPr>
      <w:r>
        <w:rPr>
          <w:rFonts w:ascii="Calibri" w:hAnsi="Calibri" w:eastAsia="Calibri"/>
          <w:color w:val="2F5496"/>
        </w:rPr>
        <w:t>Propósito y alcance</w:t>
      </w:r>
    </w:p>
    <w:p>
      <w:r>
        <w:t>Este anexo registra qué herramientas de inteligencia artificial se utilizaron durante el desarrollo del sistema, para qué tareas concretas, y qué se modificó sobre lo que esas herramientas propusieron.</w:t>
      </w:r>
    </w:p>
    <w:p>
      <w:r>
        <w:t xml:space="preserve">El registro cubre la </w:t>
      </w:r>
      <w:r>
        <w:rPr>
          <w:b/>
        </w:rPr>
        <w:t>fase de construcción del sistema</w:t>
      </w:r>
      <w:r>
        <w:t xml:space="preserve">, desde el inicio del desarrollo. Las decisiones de arquitectura que surgieron de una consulta asistida se documentan además en </w:t>
      </w:r>
      <w:r>
        <w:rPr>
          <w:rFonts w:ascii="Consolas" w:hAnsi="Consolas" w:eastAsia="Consolas"/>
          <w:sz w:val="21"/>
        </w:rPr>
        <w:t>docs/adr/</w:t>
      </w:r>
      <w:r>
        <w:t xml:space="preserve"> y el detalle de las consultas en </w:t>
      </w:r>
      <w:r>
        <w:rPr>
          <w:rFonts w:ascii="Consolas" w:hAnsi="Consolas" w:eastAsia="Consolas"/>
          <w:sz w:val="21"/>
        </w:rPr>
        <w:t>docs/trazabilidad/PROMPTS-CRITICOS.md</w:t>
      </w:r>
      <w:r>
        <w:t>.</w:t>
      </w:r>
    </w:p>
    <w:p>
      <w:r>
        <w:t xml:space="preserve">Se registra </w:t>
      </w:r>
      <w:r>
        <w:rPr>
          <w:b/>
        </w:rPr>
        <w:t>lo que efectivamente ocurrió</w:t>
      </w:r>
      <w:r>
        <w:t>. Cuando una propuesta de la herramienta resultó incorrecta y hubo que corregirla, queda asentado: ése es justamente el dato que hace útil el anexo.</w:t>
      </w:r>
    </w:p>
    <w:p>
      <w:pPr>
        <w:pStyle w:val="Heading2"/>
        <w:pBdr>
          <w:bottom w:val="single" w:sz="6" w:space="6" w:color="2F5496"/>
        </w:pBdr>
        <w:spacing w:before="440"/>
      </w:pPr>
      <w:r>
        <w:rPr>
          <w:rFonts w:ascii="Calibri" w:hAnsi="Calibri" w:eastAsia="Calibri"/>
          <w:color w:val="2F5496"/>
        </w:rPr>
        <w:t>Herramientas utilizadas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Herramienta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Modelo / versión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Uso en el proyecto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Claude Code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Claude Opus 5</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Análisis del documento y del proyecto de referencia, diseño del esquema de base, andamiaje de la solución, redacción de código y de documentación técnica.</w:t>
            </w:r>
          </w:p>
        </w:tc>
      </w:tr>
    </w:tbl>
    <w:p>
      <w:pPr>
        <w:spacing w:after="80"/>
      </w:pPr>
    </w:p>
    <w:p>
      <w:pPr>
        <w:spacing w:before="120" w:after="200"/>
        <w:ind w:left="397"/>
        <w:pBdr>
          <w:left w:val="single" w:sz="18" w:space="10" w:color="2F5496"/>
        </w:pBdr>
      </w:pPr>
      <w:r>
        <w:rPr>
          <w:i/>
          <w:color w:val="444444"/>
        </w:rPr>
        <w:t>Si en el transcurso del trabajo se incorporan GitHub Copilot, ChatGPT u otras</w:t>
      </w:r>
    </w:p>
    <w:p>
      <w:pPr>
        <w:spacing w:before="120" w:after="200"/>
        <w:ind w:left="397"/>
        <w:pBdr>
          <w:left w:val="single" w:sz="18" w:space="10" w:color="2F5496"/>
        </w:pBdr>
      </w:pPr>
      <w:r>
        <w:rPr>
          <w:i/>
          <w:color w:val="444444"/>
        </w:rPr>
        <w:t>herramientas, se agregan acá con el mismo criterio.</w:t>
      </w:r>
    </w:p>
    <w:p>
      <w:pPr>
        <w:pStyle w:val="Heading2"/>
        <w:pBdr>
          <w:bottom w:val="single" w:sz="6" w:space="6" w:color="2F5496"/>
        </w:pBdr>
        <w:spacing w:before="440"/>
      </w:pPr>
      <w:r>
        <w:rPr>
          <w:rFonts w:ascii="Calibri" w:hAnsi="Calibri" w:eastAsia="Calibri"/>
          <w:color w:val="2F5496"/>
        </w:rPr>
        <w:t>Criterio de registro</w:t>
      </w:r>
    </w:p>
    <w:p>
      <w:r>
        <w:t xml:space="preserve">Se asienta una entrada por </w:t>
      </w:r>
      <w:r>
        <w:rPr>
          <w:b/>
        </w:rPr>
        <w:t>entrega o fase</w:t>
      </w:r>
      <w:r>
        <w:t>, indicando:</w:t>
      </w:r>
    </w:p>
    <w:p>
      <w:pPr>
        <w:spacing w:after="80"/>
        <w:ind w:left="510" w:hanging="510"/>
        <w:jc w:val="left"/>
      </w:pPr>
      <w:r>
        <w:t>1.</w:t>
        <w:tab/>
      </w:r>
      <w:r>
        <w:rPr>
          <w:b/>
        </w:rPr>
        <w:t>Tareas</w:t>
      </w:r>
      <w:r>
        <w:t xml:space="preserve"> para las que se usó la herramienta.</w:t>
      </w:r>
    </w:p>
    <w:p>
      <w:pPr>
        <w:spacing w:after="80"/>
        <w:ind w:left="510" w:hanging="510"/>
        <w:jc w:val="left"/>
      </w:pPr>
      <w:r>
        <w:t>2.</w:t>
        <w:tab/>
      </w:r>
      <w:r>
        <w:rPr>
          <w:b/>
        </w:rPr>
        <w:t>Qué se aceptó</w:t>
      </w:r>
      <w:r>
        <w:t xml:space="preserve"> de lo propuesto.</w:t>
      </w:r>
    </w:p>
    <w:p>
      <w:pPr>
        <w:spacing w:after="80"/>
        <w:ind w:left="510" w:hanging="510"/>
        <w:jc w:val="left"/>
      </w:pPr>
      <w:r>
        <w:t>3.</w:t>
        <w:tab/>
      </w:r>
      <w:r>
        <w:rPr>
          <w:b/>
        </w:rPr>
        <w:t>Qué se modificó o descartó</w:t>
      </w:r>
      <w:r>
        <w:t>, y por qué.</w:t>
      </w:r>
    </w:p>
    <w:p>
      <w:pPr>
        <w:spacing w:after="80"/>
        <w:ind w:left="510" w:hanging="510"/>
        <w:jc w:val="left"/>
      </w:pPr>
      <w:r>
        <w:t>4.</w:t>
        <w:tab/>
      </w:r>
      <w:r>
        <w:rPr>
          <w:b/>
        </w:rPr>
        <w:t>Cómo se validó técnicamente</w:t>
      </w:r>
      <w:r>
        <w:t xml:space="preserve"> el resultado.</w:t>
      </w:r>
    </w:p>
    <w:p>
      <w:r>
        <w:t>No se registran las interacciones triviales (completado de línea, renombres, formato). Sí se registra toda intervención que haya afectado el diseño, el modelo de datos, la seguridad o el comportamiento del sistema.</w:t>
      </w:r>
    </w:p>
    <w:p>
      <w:pPr>
        <w:pStyle w:val="Heading2"/>
        <w:pBdr>
          <w:bottom w:val="single" w:sz="6" w:space="6" w:color="2F5496"/>
        </w:pBdr>
        <w:spacing w:before="440"/>
      </w:pPr>
      <w:r>
        <w:rPr>
          <w:rFonts w:ascii="Calibri" w:hAnsi="Calibri" w:eastAsia="Calibri"/>
          <w:color w:val="2F5496"/>
        </w:rPr>
        <w:t>E-00 · Análisis previo y definición del alcance técnico</w:t>
      </w:r>
    </w:p>
    <w:p>
      <w:r>
        <w:rPr>
          <w:b/>
        </w:rPr>
        <w:t>Fecha:</w:t>
      </w:r>
      <w:r>
        <w:t xml:space="preserve"> 02/09/2026 · </w:t>
      </w:r>
      <w:r>
        <w:rPr>
          <w:b/>
        </w:rPr>
        <w:t>Herramienta:</w:t>
      </w:r>
      <w:r>
        <w:t xml:space="preserve"> Claude Code</w:t>
      </w:r>
    </w:p>
    <w:p>
      <w:pPr>
        <w:pStyle w:val="Heading3"/>
      </w:pPr>
      <w:r>
        <w:rPr>
          <w:rFonts w:ascii="Calibri" w:hAnsi="Calibri" w:eastAsia="Calibri"/>
        </w:rPr>
        <w:t>Tareas</w:t>
      </w:r>
    </w:p>
    <w:p>
      <w:pPr>
        <w:pStyle w:val="ListBullet"/>
      </w:pPr>
      <w:r>
        <w:t>Extracción y análisis del documento del TFI (157 páginas): requerimientos funcionales y no funcionales, casos de uso CU-001 a CU-013, casos de prueba CP-01 a CP-14, DER de negocio y de servicio, y las 16 pantallas propuestas.</w:t>
      </w:r>
    </w:p>
    <w:p>
      <w:pPr>
        <w:pStyle w:val="ListBullet"/>
      </w:pPr>
      <w:r>
        <w:t>Análisis del proyecto de referencia de 3.º año (</w:t>
      </w:r>
      <w:r>
        <w:rPr>
          <w:i/>
        </w:rPr>
        <w:t>Trabajo de Diploma</w:t>
      </w:r>
      <w:r>
        <w:t>) para identificar el modelo de capas y los patrones que aplica la cátedra.</w:t>
      </w:r>
    </w:p>
    <w:p>
      <w:pPr>
        <w:pStyle w:val="ListBullet"/>
      </w:pPr>
      <w:r>
        <w:t>Análisis de los manuales del proyecto de referencia para extraer la estructura exigida.</w:t>
      </w:r>
    </w:p>
    <w:p>
      <w:pPr>
        <w:pStyle w:val="Heading3"/>
      </w:pPr>
      <w:r>
        <w:rPr>
          <w:rFonts w:ascii="Calibri" w:hAnsi="Calibri" w:eastAsia="Calibri"/>
        </w:rPr>
        <w:t>Qué se aceptó</w:t>
      </w:r>
    </w:p>
    <w:p>
      <w:r>
        <w:t xml:space="preserve">El relevamiento de la estructura del proyecto de referencia: </w:t>
      </w:r>
      <w:r>
        <w:rPr>
          <w:rFonts w:ascii="Consolas" w:hAnsi="Consolas" w:eastAsia="Consolas"/>
          <w:sz w:val="21"/>
        </w:rPr>
        <w:t>IGenericDao&lt;T&gt;</w:t>
      </w:r>
      <w:r>
        <w:t xml:space="preserve">, </w:t>
      </w:r>
      <w:r>
        <w:rPr>
          <w:rFonts w:ascii="Consolas" w:hAnsi="Consolas" w:eastAsia="Consolas"/>
          <w:sz w:val="21"/>
        </w:rPr>
        <w:t>IObjectMapper&lt;T&gt;</w:t>
      </w:r>
      <w:r>
        <w:t xml:space="preserve">, </w:t>
      </w:r>
      <w:r>
        <w:rPr>
          <w:rFonts w:ascii="Consolas" w:hAnsi="Consolas" w:eastAsia="Consolas"/>
          <w:sz w:val="21"/>
        </w:rPr>
        <w:t>FactoryDao</w:t>
      </w:r>
      <w:r>
        <w:t xml:space="preserve"> / </w:t>
      </w:r>
      <w:r>
        <w:rPr>
          <w:rFonts w:ascii="Consolas" w:hAnsi="Consolas" w:eastAsia="Consolas"/>
          <w:sz w:val="21"/>
        </w:rPr>
        <w:t>FactoryBusiness</w:t>
      </w:r>
      <w:r>
        <w:t xml:space="preserve">, </w:t>
      </w:r>
      <w:r>
        <w:rPr>
          <w:rFonts w:ascii="Consolas" w:hAnsi="Consolas" w:eastAsia="Consolas"/>
          <w:sz w:val="21"/>
        </w:rPr>
        <w:t>IUnitOfWork</w:t>
      </w:r>
      <w:r>
        <w:t xml:space="preserve"> con </w:t>
      </w:r>
      <w:r>
        <w:rPr>
          <w:rFonts w:ascii="Consolas" w:hAnsi="Consolas" w:eastAsia="Consolas"/>
          <w:sz w:val="21"/>
        </w:rPr>
        <w:t>SqlTransactRepository</w:t>
      </w:r>
      <w:r>
        <w:t xml:space="preserve">, </w:t>
      </w:r>
      <w:r>
        <w:rPr>
          <w:rFonts w:ascii="Consolas" w:hAnsi="Consolas" w:eastAsia="Consolas"/>
          <w:sz w:val="21"/>
        </w:rPr>
        <w:t>SqlHelper</w:t>
      </w:r>
      <w:r>
        <w:t xml:space="preserve"> / </w:t>
      </w:r>
      <w:r>
        <w:rPr>
          <w:rFonts w:ascii="Consolas" w:hAnsi="Consolas" w:eastAsia="Consolas"/>
          <w:sz w:val="21"/>
        </w:rPr>
        <w:t>SqlHelperSeguridad</w:t>
      </w:r>
      <w:r>
        <w:t>, y el esquema de permisos Usuario / Familia / Patente con contraseñas PBKDF2. Se adoptó como base del sistema.</w:t>
      </w:r>
    </w:p>
    <w:p>
      <w:pPr>
        <w:pStyle w:val="Heading3"/>
      </w:pPr>
      <w:r>
        <w:rPr>
          <w:rFonts w:ascii="Calibri" w:hAnsi="Calibri" w:eastAsia="Calibri"/>
        </w:rPr>
        <w:t>Qué se modificó o descartó</w:t>
      </w:r>
    </w:p>
    <w:p>
      <w:pPr>
        <w:pStyle w:val="ListBullet"/>
      </w:pPr>
      <w:r>
        <w:rPr>
          <w:b/>
        </w:rPr>
        <w:t>El autor corrigió el documento fuente.</w:t>
      </w:r>
      <w:r>
        <w:t xml:space="preserve"> La herramienta había analizado una versión anterior y menos completa del TFI. El autor identificó el error y aportó la versión definitiva (v2.0, 10/07/2026), sobre la que se rehízo el análisis. Se verificó luego que el capítulo 10 coincidía en un 99,4 % entre ambas versiones y que la diferencia real era la sección 7.7.</w:t>
      </w:r>
    </w:p>
    <w:p>
      <w:pPr>
        <w:pStyle w:val="ListBullet"/>
      </w:pPr>
      <w:r>
        <w:rPr>
          <w:b/>
        </w:rPr>
        <w:t>El autor acotó el alcance de la documentación.</w:t>
      </w:r>
      <w:r>
        <w:t xml:space="preserve"> La herramienta propuso replicar la estructura documental completa del proyecto de referencia. El autor precisó que esa estructura no se exige, pero que </w:t>
      </w:r>
      <w:r>
        <w:rPr>
          <w:b/>
        </w:rPr>
        <w:t>los manuales sí</w:t>
      </w:r>
      <w:r>
        <w:t>, redirigiendo el análisis hacia esa carpeta.</w:t>
      </w:r>
    </w:p>
    <w:p>
      <w:pPr>
        <w:pStyle w:val="ListBullet"/>
      </w:pPr>
      <w:r>
        <w:rPr>
          <w:b/>
        </w:rPr>
        <w:t>Se descartó incorporar dígito verificador.</w:t>
      </w:r>
      <w:r>
        <w:t xml:space="preserve"> Se verificó contra el Manual de Programador de referencia que el proyecto anterior no lo implementaba y que no está entre los requerimientos de arquitectura del documento (Req. Arq. 001 a 005).</w:t>
      </w:r>
    </w:p>
    <w:p>
      <w:pPr>
        <w:pStyle w:val="Heading3"/>
      </w:pPr>
      <w:r>
        <w:rPr>
          <w:rFonts w:ascii="Calibri" w:hAnsi="Calibri" w:eastAsia="Calibri"/>
        </w:rPr>
        <w:t>Validación</w:t>
      </w:r>
    </w:p>
    <w:p>
      <w:r>
        <w:t>Comparación programática del capítulo 10 entre las dos versiones del documento (similitud 99,4 %), y lectura directa del código fuente del proyecto de referencia —no de su documentación— para confirmar los patrones efectivamente implementados.</w:t>
      </w:r>
    </w:p>
    <w:p>
      <w:pPr>
        <w:pStyle w:val="Heading2"/>
        <w:pBdr>
          <w:bottom w:val="single" w:sz="6" w:space="6" w:color="2F5496"/>
        </w:pBdr>
        <w:spacing w:before="440"/>
      </w:pPr>
      <w:r>
        <w:rPr>
          <w:rFonts w:ascii="Calibri" w:hAnsi="Calibri" w:eastAsia="Calibri"/>
          <w:color w:val="2F5496"/>
        </w:rPr>
        <w:t>E-01 · Decisiones de arquitectura</w:t>
      </w:r>
    </w:p>
    <w:p>
      <w:r>
        <w:rPr>
          <w:b/>
        </w:rPr>
        <w:t>Fecha:</w:t>
      </w:r>
      <w:r>
        <w:t xml:space="preserve"> 02/09/2026 · </w:t>
      </w:r>
      <w:r>
        <w:rPr>
          <w:b/>
        </w:rPr>
        <w:t>Herramienta:</w:t>
      </w:r>
      <w:r>
        <w:t xml:space="preserve"> Claude Code</w:t>
      </w:r>
    </w:p>
    <w:p>
      <w:r>
        <w:rPr>
          <w:b/>
        </w:rPr>
        <w:t>Detalle de las consultas:</w:t>
      </w:r>
      <w:r>
        <w:t xml:space="preserve"> </w:t>
      </w:r>
      <w:r>
        <w:rPr>
          <w:rFonts w:ascii="Consolas" w:hAnsi="Consolas" w:eastAsia="Consolas"/>
          <w:sz w:val="21"/>
        </w:rPr>
        <w:t>docs/trazabilidad/PROMPTS-CRITICOS.md</w:t>
      </w:r>
    </w:p>
    <w:p>
      <w:pPr>
        <w:pStyle w:val="Heading3"/>
      </w:pPr>
      <w:r>
        <w:rPr>
          <w:rFonts w:ascii="Calibri" w:hAnsi="Calibri" w:eastAsia="Calibri"/>
        </w:rPr>
        <w:t>Tareas</w:t>
      </w:r>
    </w:p>
    <w:p>
      <w:r>
        <w:t>Evaluación de alternativas para plataforma, motor y estrategia de acceso a datos, modelo multi-organización, integración con el servicio de IA y diseño del motor predictivo.</w:t>
      </w:r>
    </w:p>
    <w:p>
      <w:pPr>
        <w:pStyle w:val="Heading3"/>
      </w:pPr>
      <w:r>
        <w:rPr>
          <w:rFonts w:ascii="Calibri" w:hAnsi="Calibri" w:eastAsia="Calibri"/>
        </w:rPr>
        <w:t>Qué se aceptó</w:t>
      </w:r>
    </w:p>
    <w:p>
      <w:r>
        <w:t>El análisis comparativo de alternativas y la identificación de consecuencias negativas de cada opción, que se incorporaron a los ADR 0002 a 0008.</w:t>
      </w:r>
    </w:p>
    <w:p>
      <w:pPr>
        <w:pStyle w:val="Heading3"/>
      </w:pPr>
      <w:r>
        <w:rPr>
          <w:rFonts w:ascii="Calibri" w:hAnsi="Calibri" w:eastAsia="Calibri"/>
        </w:rPr>
        <w:t>Qué decidió el autor</w:t>
      </w:r>
    </w:p>
    <w:p>
      <w:r>
        <w:t>Las decisiones fueron del autor, en varios casos apartándose de lo que planteaba el documento o eligiendo la opción más costosa:</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Decisión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Tomada por</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ADR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 / ASP.NET Core en lugar del Java / Spring Boot que fija el documento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0002</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Dos bases físicas separadas, asumiendo la pérdida de integridad referencial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0003</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ADO.NET con DAO explícito en lugar de EF Core, asumiendo el código repetitivo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0004</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Multi-organización desde el modelo, ampliando el DER del documento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0005</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Alcance de la IA: asignación </w:t>
            </w:r>
            <w:r>
              <w:rPr>
                <w:rFonts w:ascii="Calibri" w:hAnsi="Calibri" w:eastAsia="Calibri"/>
                <w:b/>
                <w:sz w:val="20"/>
              </w:rPr>
              <w:t>y</w:t>
            </w:r>
            <w:r>
              <w:rPr>
                <w:rFonts w:ascii="Calibri" w:hAnsi="Calibri" w:eastAsia="Calibri"/>
                <w:sz w:val="20"/>
              </w:rPr>
              <w:t xml:space="preserve"> clasificación, descartando otras opciones propuestas</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0006</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Proveedor de IA conmutable, ante la falta de crédito de API</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Autor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0006</w:t>
            </w:r>
          </w:p>
        </w:tc>
      </w:tr>
    </w:tbl>
    <w:p>
      <w:pPr>
        <w:spacing w:after="80"/>
      </w:pPr>
    </w:p>
    <w:p>
      <w:r>
        <w:t>Se descartaron explícitamente dos ampliaciones de alcance que la herramienta había puesto sobre la mesa —explicación del riesgo en lenguaje natural generada por IA, y asistente conversacional sobre el parque— por quedar fuera de lo que el documento sostiene.</w:t>
      </w:r>
    </w:p>
    <w:p>
      <w:pPr>
        <w:pStyle w:val="Heading3"/>
      </w:pPr>
      <w:r>
        <w:rPr>
          <w:rFonts w:ascii="Calibri" w:hAnsi="Calibri" w:eastAsia="Calibri"/>
        </w:rPr>
        <w:t>Validación</w:t>
      </w:r>
    </w:p>
    <w:p>
      <w:r>
        <w:t xml:space="preserve">Cada decisión se documentó en formato ADR (Nygard) obligando a explicitar alternativas descartadas y consecuencias negativas. Las decisiones que contradicen el documento se registraron además en </w:t>
      </w:r>
      <w:r>
        <w:rPr>
          <w:rFonts w:ascii="Consolas" w:hAnsi="Consolas" w:eastAsia="Consolas"/>
          <w:sz w:val="21"/>
        </w:rPr>
        <w:t>docs/CAMBIOS-DOCUMENTO.md</w:t>
      </w:r>
      <w:r>
        <w:t xml:space="preserve"> con la sección exacta a modificar.</w:t>
      </w:r>
    </w:p>
    <w:p>
      <w:pPr>
        <w:pStyle w:val="Heading2"/>
        <w:pBdr>
          <w:bottom w:val="single" w:sz="6" w:space="6" w:color="2F5496"/>
        </w:pBdr>
        <w:spacing w:before="440"/>
      </w:pPr>
      <w:r>
        <w:rPr>
          <w:rFonts w:ascii="Calibri" w:hAnsi="Calibri" w:eastAsia="Calibri"/>
          <w:color w:val="2F5496"/>
        </w:rPr>
        <w:t>E-02 · Modelo de datos y entorno de desarrollo</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 xml:space="preserve">Esquemas de </w:t>
      </w:r>
      <w:r>
        <w:rPr>
          <w:rFonts w:ascii="Consolas" w:hAnsi="Consolas" w:eastAsia="Consolas"/>
          <w:sz w:val="21"/>
        </w:rPr>
        <w:t>PredictIT_Negocio</w:t>
      </w:r>
      <w:r>
        <w:t xml:space="preserve"> y </w:t>
      </w:r>
      <w:r>
        <w:rPr>
          <w:rFonts w:ascii="Consolas" w:hAnsi="Consolas" w:eastAsia="Consolas"/>
          <w:sz w:val="21"/>
        </w:rPr>
        <w:t>PredictIT_Servicio</w:t>
      </w:r>
      <w:r>
        <w:t>, datos iniciales, script de aplicación, contenedor de SQL Server, andamiaje de la solución .NET con sus seis proyectos, y pruebas de verificación del entorno.</w:t>
      </w:r>
    </w:p>
    <w:p>
      <w:pPr>
        <w:pStyle w:val="Heading3"/>
      </w:pPr>
      <w:r>
        <w:rPr>
          <w:rFonts w:ascii="Calibri" w:hAnsi="Calibri" w:eastAsia="Calibri"/>
        </w:rPr>
        <w:t>Qué se aceptó</w:t>
      </w:r>
    </w:p>
    <w:p>
      <w:r>
        <w:t>La estructura de tablas derivada del DER del documento, los índices orientados a las consultas del motor predictivo (</w:t>
      </w:r>
      <w:r>
        <w:rPr>
          <w:rFonts w:ascii="Consolas" w:hAnsi="Consolas" w:eastAsia="Consolas"/>
          <w:sz w:val="21"/>
        </w:rPr>
        <w:t>Incidencia</w:t>
      </w:r>
      <w:r>
        <w:t xml:space="preserve"> por equipo y fecha) y el trigger </w:t>
      </w:r>
      <w:r>
        <w:rPr>
          <w:rFonts w:ascii="Consolas" w:hAnsi="Consolas" w:eastAsia="Consolas"/>
          <w:sz w:val="21"/>
        </w:rPr>
        <w:t>INSTEAD OF UPDATE, DELETE</w:t>
      </w:r>
      <w:r>
        <w:t xml:space="preserve"> que hace inmutable la bitácora en la base y no en la aplicación.</w:t>
      </w:r>
    </w:p>
    <w:p>
      <w:pPr>
        <w:pStyle w:val="Heading3"/>
      </w:pPr>
      <w:r>
        <w:rPr>
          <w:rFonts w:ascii="Calibri" w:hAnsi="Calibri" w:eastAsia="Calibri"/>
        </w:rPr>
        <w:t>Qué se modificó o descartó</w:t>
      </w:r>
    </w:p>
    <w:p>
      <w:r>
        <w:rPr>
          <w:b/>
        </w:rPr>
        <w:t>Tres defectos del esquema propuesto se detectaron recién al ejecutarlo contra el motor real</w:t>
      </w:r>
      <w:r>
        <w:t>, no en la revisión:</w:t>
      </w:r>
    </w:p>
    <w:p>
      <w:pPr>
        <w:spacing w:after="80"/>
        <w:ind w:left="510" w:hanging="510"/>
        <w:jc w:val="left"/>
      </w:pPr>
      <w:r>
        <w:t>1.</w:t>
        <w:tab/>
      </w:r>
      <w:r>
        <w:rPr>
          <w:rFonts w:ascii="Consolas" w:hAnsi="Consolas" w:eastAsia="Consolas"/>
          <w:sz w:val="21"/>
        </w:rPr>
        <w:t>Organizacion.plan</w:t>
      </w:r>
      <w:r>
        <w:t xml:space="preserve"> y la tabla </w:t>
      </w:r>
      <w:r>
        <w:rPr>
          <w:rFonts w:ascii="Consolas" w:hAnsi="Consolas" w:eastAsia="Consolas"/>
          <w:sz w:val="21"/>
        </w:rPr>
        <w:t>Backup</w:t>
      </w:r>
      <w:r>
        <w:t xml:space="preserve"> usaban </w:t>
      </w:r>
      <w:r>
        <w:rPr>
          <w:b/>
        </w:rPr>
        <w:t>palabras reservadas de T-SQL</w:t>
      </w:r>
      <w:r>
        <w:t xml:space="preserve">. Renombrados a </w:t>
      </w:r>
      <w:r>
        <w:rPr>
          <w:rFonts w:ascii="Consolas" w:hAnsi="Consolas" w:eastAsia="Consolas"/>
          <w:sz w:val="21"/>
        </w:rPr>
        <w:t>plan_comercial</w:t>
      </w:r>
      <w:r>
        <w:t xml:space="preserve"> y </w:t>
      </w:r>
      <w:r>
        <w:rPr>
          <w:rFonts w:ascii="Consolas" w:hAnsi="Consolas" w:eastAsia="Consolas"/>
          <w:sz w:val="21"/>
        </w:rPr>
        <w:t>Respaldo</w:t>
      </w:r>
      <w:r>
        <w:t>.</w:t>
      </w:r>
    </w:p>
    <w:p>
      <w:pPr>
        <w:spacing w:after="80"/>
        <w:ind w:left="510" w:hanging="510"/>
        <w:jc w:val="left"/>
      </w:pPr>
      <w:r>
        <w:t>2.</w:t>
        <w:tab/>
      </w:r>
      <w:r>
        <w:t xml:space="preserve">Los </w:t>
      </w:r>
      <w:r>
        <w:rPr>
          <w:b/>
        </w:rPr>
        <w:t>índices filtrados</w:t>
      </w:r>
      <w:r>
        <w:t xml:space="preserve"> (</w:t>
      </w:r>
      <w:r>
        <w:rPr>
          <w:rFonts w:ascii="Consolas" w:hAnsi="Consolas" w:eastAsia="Consolas"/>
          <w:sz w:val="21"/>
        </w:rPr>
        <w:t>WHERE ... IS NOT NULL</w:t>
      </w:r>
      <w:r>
        <w:t xml:space="preserve">) fallaban porque </w:t>
      </w:r>
      <w:r>
        <w:rPr>
          <w:rFonts w:ascii="Consolas" w:hAnsi="Consolas" w:eastAsia="Consolas"/>
          <w:sz w:val="21"/>
        </w:rPr>
        <w:t>sqlcmd</w:t>
      </w:r>
      <w:r>
        <w:t xml:space="preserve"> deja </w:t>
      </w:r>
      <w:r>
        <w:rPr>
          <w:rFonts w:ascii="Consolas" w:hAnsi="Consolas" w:eastAsia="Consolas"/>
          <w:sz w:val="21"/>
        </w:rPr>
        <w:t>QUOTED_IDENTIFIER</w:t>
      </w:r>
      <w:r>
        <w:t xml:space="preserve"> en </w:t>
      </w:r>
      <w:r>
        <w:rPr>
          <w:rFonts w:ascii="Consolas" w:hAnsi="Consolas" w:eastAsia="Consolas"/>
          <w:sz w:val="21"/>
        </w:rPr>
        <w:t>OFF</w:t>
      </w:r>
      <w:r>
        <w:t>. Corregido en el script de aplicación.</w:t>
      </w:r>
    </w:p>
    <w:p>
      <w:pPr>
        <w:spacing w:after="80"/>
        <w:ind w:left="510" w:hanging="510"/>
        <w:jc w:val="left"/>
      </w:pPr>
      <w:r>
        <w:t>3.</w:t>
        <w:tab/>
      </w:r>
      <w:r>
        <w:rPr>
          <w:rFonts w:ascii="Consolas" w:hAnsi="Consolas" w:eastAsia="Consolas"/>
          <w:sz w:val="21"/>
        </w:rPr>
        <w:t>TipoEvento.criticidad</w:t>
      </w:r>
      <w:r>
        <w:t xml:space="preserve"> estaba declarado </w:t>
      </w:r>
      <w:r>
        <w:rPr>
          <w:rFonts w:ascii="Consolas" w:hAnsi="Consolas" w:eastAsia="Consolas"/>
          <w:sz w:val="21"/>
        </w:rPr>
        <w:t>VARCHAR(10)</w:t>
      </w:r>
      <w:r>
        <w:t xml:space="preserve"> y el valor </w:t>
      </w:r>
      <w:r>
        <w:rPr>
          <w:rFonts w:ascii="Consolas" w:hAnsi="Consolas" w:eastAsia="Consolas"/>
          <w:sz w:val="21"/>
        </w:rPr>
        <w:t>'ADVERTENCIA'</w:t>
      </w:r>
      <w:r>
        <w:t xml:space="preserve"> tiene 11 caracteres. Truncamiento silencioso evitado por el error de inserción.</w:t>
      </w:r>
    </w:p>
    <w:p>
      <w:r>
        <w:t>Es el punto que mejor ilustra por qué la validación por ejecución es obligatoria: los tres defectos eran invisibles a la lectura del script.</w:t>
      </w:r>
    </w:p>
    <w:p>
      <w:pPr>
        <w:pStyle w:val="ListBullet"/>
      </w:pPr>
      <w:r>
        <w:rPr>
          <w:b/>
        </w:rPr>
        <w:t>Intervención manual del autor en el entorno.</w:t>
      </w:r>
      <w:r>
        <w:t xml:space="preserve"> Docker Desktop fallaba al iniciar por sockets residuales de una sesión anterior. La corrección la ejecutó el autor directamente sobre su equipo.</w:t>
      </w:r>
    </w:p>
    <w:p>
      <w:pPr>
        <w:pStyle w:val="Heading3"/>
      </w:pPr>
      <w:r>
        <w:rPr>
          <w:rFonts w:ascii="Calibri" w:hAnsi="Calibri" w:eastAsia="Calibri"/>
        </w:rPr>
        <w:t>Validación</w:t>
      </w:r>
    </w:p>
    <w:p>
      <w:pPr>
        <w:pStyle w:val="ListBullet"/>
      </w:pPr>
      <w:r>
        <w:t>Los cuatro scripts se ejecutan contra SQL Server 2022 real, no se revisan a ojo. Son idempotentes y se corrieron varias veces.</w:t>
      </w:r>
    </w:p>
    <w:p>
      <w:pPr>
        <w:pStyle w:val="ListBullet"/>
      </w:pPr>
      <w:r>
        <w:rPr>
          <w:b/>
        </w:rPr>
        <w:t>26 pruebas automatizadas</w:t>
      </w:r>
      <w:r>
        <w:t xml:space="preserve"> verifican: existencia de las 20 tablas, carga de datos iniciales, que ninguna contraseña esté en texto plano, que el trigger de inmutabilidad de la bitácora efectivamente rechace un </w:t>
      </w:r>
      <w:r>
        <w:rPr>
          <w:rFonts w:ascii="Consolas" w:hAnsi="Consolas" w:eastAsia="Consolas"/>
          <w:sz w:val="21"/>
        </w:rPr>
        <w:t>UPDATE</w:t>
      </w:r>
      <w:r>
        <w:t>, y que el historial de demostración alcance el umbral que dispara la regla de recurrencia.</w:t>
      </w:r>
    </w:p>
    <w:p>
      <w:pPr>
        <w:pStyle w:val="ListBullet"/>
      </w:pPr>
      <w:r>
        <w:t>Consulta de verificación sobre la base cargada confirmando la distribución buscada de incidencias por equipo.</w:t>
      </w:r>
    </w:p>
    <w:p>
      <w:pPr>
        <w:pStyle w:val="Heading2"/>
        <w:pBdr>
          <w:bottom w:val="single" w:sz="6" w:space="6" w:color="2F5496"/>
        </w:pBdr>
        <w:spacing w:before="440"/>
      </w:pPr>
      <w:r>
        <w:rPr>
          <w:rFonts w:ascii="Calibri" w:hAnsi="Calibri" w:eastAsia="Calibri"/>
          <w:color w:val="2F5496"/>
        </w:rPr>
        <w:t>E-03 · Diseño de interfaz</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Definición del sistema de diseño —tipografía, paleta con criterio semántico, escala de espaciado— y construcción de pantallas.</w:t>
      </w:r>
    </w:p>
    <w:p>
      <w:pPr>
        <w:pStyle w:val="Heading3"/>
      </w:pPr>
      <w:r>
        <w:rPr>
          <w:rFonts w:ascii="Calibri" w:hAnsi="Calibri" w:eastAsia="Calibri"/>
        </w:rPr>
        <w:t>Qué se modificó o descartó</w:t>
      </w:r>
    </w:p>
    <w:p>
      <w:r>
        <w:rPr>
          <w:b/>
        </w:rPr>
        <w:t>El autor descartó el enfoque propuesto.</w:t>
      </w:r>
      <w:r>
        <w:t xml:space="preserve"> La herramienta había empezado a construir las 16 pantallas directamente en la sesión. El autor evaluó el resultado como insuficiente y redirigió el trabajo: en lugar de seguir produciendo pantallas, se elaboró una especificación de diseño completa para trabajar el diseño en una herramienta específica.</w:t>
      </w:r>
    </w:p>
    <w:p>
      <w:r>
        <w:t>Se conservaron las tres pantallas ya construidas únicamente como referencia del vocabulario visual, no como entregable.</w:t>
      </w:r>
    </w:p>
    <w:p>
      <w:pPr>
        <w:pStyle w:val="Heading3"/>
      </w:pPr>
      <w:r>
        <w:rPr>
          <w:rFonts w:ascii="Calibri" w:hAnsi="Calibri" w:eastAsia="Calibri"/>
        </w:rPr>
        <w:t>Validación</w:t>
      </w:r>
    </w:p>
    <w:p>
      <w:r>
        <w:t xml:space="preserve">La validación del diseño es la revisión del autor sobre el resultado, y la verificación de que las pantallas construidas se correspondan con los datos reales del sistema. Ambas se completaron en </w:t>
      </w:r>
      <w:r>
        <w:rPr>
          <w:b/>
        </w:rPr>
        <w:t>E-05</w:t>
      </w:r>
      <w:r>
        <w:t>: el diseño se aprobó y las pantallas implementadas se recorrieron contra los datos del sistema, no contra datos de ejemplo. La verificación encontró un desvío del propio diseño —el mensaje del plan afirmaba una conveniencia económica que la base contradice— y quedó asentado ahí.</w:t>
      </w:r>
    </w:p>
    <w:p>
      <w:pPr>
        <w:pStyle w:val="Heading2"/>
        <w:pBdr>
          <w:bottom w:val="single" w:sz="6" w:space="6" w:color="2F5496"/>
        </w:pBdr>
        <w:spacing w:before="440"/>
      </w:pPr>
      <w:r>
        <w:rPr>
          <w:rFonts w:ascii="Calibri" w:hAnsi="Calibri" w:eastAsia="Calibri"/>
          <w:color w:val="2F5496"/>
        </w:rPr>
        <w:t>E-04 · Implementación del backend (corte vertical)</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 xml:space="preserve">Construcción del corte vertical completo —autenticación, consulta de activos y situación del plan— atravesando las cinco capas: </w:t>
      </w:r>
      <w:r>
        <w:rPr>
          <w:rFonts w:ascii="Consolas" w:hAnsi="Consolas" w:eastAsia="Consolas"/>
          <w:sz w:val="21"/>
        </w:rPr>
        <w:t>Domain</w:t>
      </w:r>
      <w:r>
        <w:t xml:space="preserve">, </w:t>
      </w:r>
      <w:r>
        <w:rPr>
          <w:rFonts w:ascii="Consolas" w:hAnsi="Consolas" w:eastAsia="Consolas"/>
          <w:sz w:val="21"/>
        </w:rPr>
        <w:t>DAO</w:t>
      </w:r>
      <w:r>
        <w:t xml:space="preserve">, </w:t>
      </w:r>
      <w:r>
        <w:rPr>
          <w:rFonts w:ascii="Consolas" w:hAnsi="Consolas" w:eastAsia="Consolas"/>
          <w:sz w:val="21"/>
        </w:rPr>
        <w:t>BLL</w:t>
      </w:r>
      <w:r>
        <w:t xml:space="preserve">, </w:t>
      </w:r>
      <w:r>
        <w:rPr>
          <w:rFonts w:ascii="Consolas" w:hAnsi="Consolas" w:eastAsia="Consolas"/>
          <w:sz w:val="21"/>
        </w:rPr>
        <w:t>Service</w:t>
      </w:r>
      <w:r>
        <w:t xml:space="preserve"> y </w:t>
      </w:r>
      <w:r>
        <w:rPr>
          <w:rFonts w:ascii="Consolas" w:hAnsi="Consolas" w:eastAsia="Consolas"/>
          <w:sz w:val="21"/>
        </w:rPr>
        <w:t>Api</w:t>
      </w:r>
      <w:r>
        <w:t>. Incluye el Composite de permisos, el aislamiento por organización en el DAO, el hash PBKDF2 y la suite de pruebas.</w:t>
      </w:r>
    </w:p>
    <w:p>
      <w:pPr>
        <w:pStyle w:val="Heading3"/>
      </w:pPr>
      <w:r>
        <w:rPr>
          <w:rFonts w:ascii="Calibri" w:hAnsi="Calibri" w:eastAsia="Calibri"/>
        </w:rPr>
        <w:t>Qué se aceptó</w:t>
      </w:r>
    </w:p>
    <w:p>
      <w:pPr>
        <w:pStyle w:val="ListBullet"/>
      </w:pPr>
      <w:r>
        <w:t>La estructura de capas y los patrones del proyecto de referencia (</w:t>
      </w:r>
      <w:r>
        <w:rPr>
          <w:rFonts w:ascii="Consolas" w:hAnsi="Consolas" w:eastAsia="Consolas"/>
          <w:sz w:val="21"/>
        </w:rPr>
        <w:t>IGenericDao&lt;T&gt;</w:t>
      </w:r>
      <w:r>
        <w:t>, Abstract Factory, Unit of Work, Composite), que ya estaban decididos en los ADR.</w:t>
      </w:r>
    </w:p>
    <w:p>
      <w:pPr>
        <w:pStyle w:val="ListBullet"/>
      </w:pPr>
      <w:r>
        <w:t>El esqueleto de los DAO y de los mapeadores, revisado consulta por consulta.</w:t>
      </w:r>
    </w:p>
    <w:p>
      <w:pPr>
        <w:pStyle w:val="Heading3"/>
      </w:pPr>
      <w:r>
        <w:rPr>
          <w:rFonts w:ascii="Calibri" w:hAnsi="Calibri" w:eastAsia="Calibri"/>
        </w:rPr>
        <w:t>Qué se modificó o descartó</w:t>
      </w:r>
    </w:p>
    <w:p>
      <w:r>
        <w:t xml:space="preserve">El registro más útil de este incremento son los defectos que la revisión del código </w:t>
      </w:r>
      <w:r>
        <w:rPr>
          <w:b/>
        </w:rPr>
        <w:t>no</w:t>
      </w:r>
      <w:r>
        <w:t xml:space="preserve"> detectó y que sólo aparecieron al ejecutar. Es la evidencia concreta del riesgo que introduce la velocidad del código asistido: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Defecto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detectó</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la lectura no alcanzaba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PLAN</w:t>
            </w:r>
            <w:r>
              <w:rPr>
                <w:rFonts w:ascii="Calibri" w:hAnsi="Calibri" w:eastAsia="Calibri"/>
                <w:sz w:val="20"/>
              </w:rPr>
              <w:t xml:space="preserve"> y </w:t>
            </w:r>
            <w:r>
              <w:rPr>
                <w:rFonts w:ascii="Consolas" w:hAnsi="Consolas" w:eastAsia="Consolas"/>
                <w:sz w:val="19"/>
              </w:rPr>
              <w:t>BACKUP</w:t>
            </w:r>
            <w:r>
              <w:rPr>
                <w:rFonts w:ascii="Calibri" w:hAnsi="Calibri" w:eastAsia="Calibri"/>
                <w:sz w:val="20"/>
              </w:rPr>
              <w:t xml:space="preserve"> son palabras reservadas de T-SQL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 ejecutar el script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SQL se lee correcto; falla el parser</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TipoEvento.criticidad VARCHAR(10)</w:t>
            </w:r>
            <w:r>
              <w:rPr>
                <w:rFonts w:ascii="Calibri" w:hAnsi="Calibri" w:eastAsia="Calibri"/>
                <w:sz w:val="20"/>
              </w:rPr>
              <w:t xml:space="preserve"> truncaba </w:t>
            </w:r>
            <w:r>
              <w:rPr>
                <w:rFonts w:ascii="Consolas" w:hAnsi="Consolas" w:eastAsia="Consolas"/>
                <w:sz w:val="19"/>
              </w:rPr>
              <w:t>'ADVERTENCIA'</w:t>
            </w:r>
            <w:r>
              <w:rPr>
                <w:rFonts w:ascii="Calibri" w:hAnsi="Calibri" w:eastAsia="Calibri"/>
                <w:sz w:val="20"/>
              </w:rPr>
              <w:t xml:space="preserve"> (11 caracteres)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Al ejecutar el seed</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Requiere contar caracteres contra el largo declarado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Índices filtrados rechazados por </w:t>
            </w:r>
            <w:r>
              <w:rPr>
                <w:rFonts w:ascii="Consolas" w:hAnsi="Consolas" w:eastAsia="Consolas"/>
                <w:sz w:val="19"/>
              </w:rPr>
              <w:t>QUOTED_IDENTIFIER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 ejecutar el script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Es una opción de sesión de </w:t>
            </w:r>
            <w:r>
              <w:rPr>
                <w:rFonts w:ascii="Consolas" w:hAnsi="Consolas" w:eastAsia="Consolas"/>
                <w:sz w:val="19"/>
              </w:rPr>
              <w:t>sqlcmd</w:t>
            </w:r>
            <w:r>
              <w:rPr>
                <w:rFonts w:ascii="Calibri" w:hAnsi="Calibri" w:eastAsia="Calibri"/>
                <w:sz w:val="20"/>
              </w:rPr>
              <w:t>, no del script</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Dependencia circular </w:t>
            </w:r>
            <w:r>
              <w:rPr>
                <w:rFonts w:ascii="Consolas" w:hAnsi="Consolas" w:eastAsia="Consolas"/>
                <w:sz w:val="19"/>
              </w:rPr>
              <w:t>IContextoSesion a ISeguridadService a IFactoryDao a IContextoSesion</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Al hacer el primer pedido </w:t>
            </w:r>
            <w:r>
              <w:rPr>
                <w:rFonts w:ascii="Calibri" w:hAnsi="Calibri" w:eastAsia="Calibri"/>
                <w:b/>
                <w:sz w:val="20"/>
              </w:rPr>
              <w:t>autenticado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El login funcionaba: el camino anónimo cortocircuita el ciclo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Paquetes NuGet de una versión incompatible se agregaban </w:t>
            </w:r>
            <w:r>
              <w:rPr>
                <w:rFonts w:ascii="Calibri" w:hAnsi="Calibri" w:eastAsia="Calibri"/>
                <w:b/>
                <w:sz w:val="20"/>
              </w:rPr>
              <w:t>en silencio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 compilar y al arrancar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dotnet add package</w:t>
            </w:r>
            <w:r>
              <w:rPr>
                <w:rFonts w:ascii="Calibri" w:hAnsi="Calibri" w:eastAsia="Calibri"/>
                <w:sz w:val="20"/>
              </w:rPr>
              <w:t xml:space="preserve"> no reportó error</w:t>
            </w:r>
          </w:p>
        </w:tc>
      </w:tr>
    </w:tbl>
    <w:p>
      <w:pPr>
        <w:spacing w:after="80"/>
      </w:pPr>
    </w:p>
    <w:p>
      <w:r>
        <w:t xml:space="preserve">La dependencia circular es el caso más relevante: el sistema compilaba, el login andaba, y el defecto sólo se manifestaba en el segundo pedido. Se resolvió separando </w:t>
      </w:r>
      <w:r>
        <w:rPr>
          <w:rFonts w:ascii="Consolas" w:hAnsi="Consolas" w:eastAsia="Consolas"/>
          <w:sz w:val="21"/>
        </w:rPr>
        <w:t>IFactoryDaoSeguridad</w:t>
      </w:r>
      <w:r>
        <w:t xml:space="preserve">, que no recibe contexto porque sus tablas no tienen </w:t>
      </w:r>
      <w:r>
        <w:rPr>
          <w:rFonts w:ascii="Consolas" w:hAnsi="Consolas" w:eastAsia="Consolas"/>
          <w:sz w:val="21"/>
        </w:rPr>
        <w:t>id_organizacion</w:t>
      </w:r>
      <w:r>
        <w:t>.</w:t>
      </w:r>
    </w:p>
    <w:p>
      <w:r>
        <w:t>También se reescribió código propuesto por la herramienta que funcionaba pero era ilegible: la resolución de la organización activa (un ternario anidado) y una caché de planes escrita con una construcción sin sentido (</w:t>
      </w:r>
      <w:r>
        <w:rPr>
          <w:rFonts w:ascii="Consolas" w:hAnsi="Consolas" w:eastAsia="Consolas"/>
          <w:sz w:val="21"/>
        </w:rPr>
        <w:t>is var _ ?</w:t>
      </w:r>
      <w:r>
        <w:t>).</w:t>
      </w:r>
    </w:p>
    <w:p>
      <w:pPr>
        <w:pStyle w:val="Heading3"/>
      </w:pPr>
      <w:r>
        <w:rPr>
          <w:rFonts w:ascii="Calibri" w:hAnsi="Calibri" w:eastAsia="Calibri"/>
        </w:rPr>
        <w:t>Validación</w:t>
      </w:r>
    </w:p>
    <w:p>
      <w:pPr>
        <w:pStyle w:val="ListBullet"/>
      </w:pPr>
      <w:r>
        <w:rPr>
          <w:b/>
        </w:rPr>
        <w:t>62 pruebas xUnit en verde</w:t>
      </w:r>
      <w:r>
        <w:t>, no sólo compilación: hash PBKDF2 contra los cuatro valores literales del seed, resolución de permisos anidados con familia dentro de familia, diamante y ciclo, y una prueba por operación para el aislamiento entre organizaciones.</w:t>
      </w:r>
    </w:p>
    <w:p>
      <w:pPr>
        <w:pStyle w:val="ListBullet"/>
      </w:pPr>
      <w:r>
        <w:t xml:space="preserve">Los scripts de base de datos se </w:t>
      </w:r>
      <w:r>
        <w:rPr>
          <w:b/>
        </w:rPr>
        <w:t>ejecutaron</w:t>
      </w:r>
      <w:r>
        <w:t xml:space="preserve"> contra SQL Server en contenedor. No se dieron por válidos por revisión.</w:t>
      </w:r>
    </w:p>
    <w:p>
      <w:pPr>
        <w:pStyle w:val="ListBullet"/>
      </w:pPr>
      <w:r>
        <w:t>La API se probó con pedidos HTTP reales, verificando los 401 y 403 esperados.</w:t>
      </w:r>
    </w:p>
    <w:p>
      <w:pPr>
        <w:pStyle w:val="Heading2"/>
        <w:pBdr>
          <w:bottom w:val="single" w:sz="6" w:space="6" w:color="2F5496"/>
        </w:pBdr>
        <w:spacing w:before="440"/>
      </w:pPr>
      <w:r>
        <w:rPr>
          <w:rFonts w:ascii="Calibri" w:hAnsi="Calibri" w:eastAsia="Calibri"/>
          <w:color w:val="2F5496"/>
        </w:rPr>
        <w:t>E-05 · Implementación del frontend</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Implementación en React 19 + TypeScript del diseño producido en E-03: cliente HTTP, manejo de sesión y patentes, layout, listado de activos con filtros, detalle de equipo y pantalla de organización con la situación del plan.</w:t>
      </w:r>
    </w:p>
    <w:p>
      <w:pPr>
        <w:pStyle w:val="Heading3"/>
      </w:pPr>
      <w:r>
        <w:rPr>
          <w:rFonts w:ascii="Calibri" w:hAnsi="Calibri" w:eastAsia="Calibri"/>
        </w:rPr>
        <w:t>Qué se aceptó</w:t>
      </w:r>
    </w:p>
    <w:p>
      <w:r>
        <w:t xml:space="preserve">La estructura de componentes y el cliente HTTP, con dos decisiones tomadas por el autor y no por la herramienta: el token va en </w:t>
      </w:r>
      <w:r>
        <w:rPr>
          <w:rFonts w:ascii="Consolas" w:hAnsi="Consolas" w:eastAsia="Consolas"/>
          <w:sz w:val="21"/>
        </w:rPr>
        <w:t>sessionStorage</w:t>
      </w:r>
      <w:r>
        <w:t xml:space="preserve"> y no en </w:t>
      </w:r>
      <w:r>
        <w:rPr>
          <w:rFonts w:ascii="Consolas" w:hAnsi="Consolas" w:eastAsia="Consolas"/>
          <w:sz w:val="21"/>
        </w:rPr>
        <w:t>localStorage</w:t>
      </w:r>
      <w:r>
        <w:t xml:space="preserve"> —en una PyME sin área de IT las máquinas se comparten— y la interfaz esconde lo que el usuario no puede hacer, pero la autorización la decide la API.</w:t>
      </w:r>
    </w:p>
    <w:p>
      <w:pPr>
        <w:pStyle w:val="Heading3"/>
      </w:pPr>
      <w:r>
        <w:rPr>
          <w:rFonts w:ascii="Calibri" w:hAnsi="Calibri" w:eastAsia="Calibri"/>
        </w:rPr>
        <w:t>Qué se modificó o descartó</w:t>
      </w:r>
    </w:p>
    <w:p>
      <w:r>
        <w:rPr>
          <w:b/>
        </w:rPr>
        <w:t>Se descartó una afirmación incorrecta de la herramienta sobre el propio modelo de negocio.</w:t>
      </w:r>
      <w:r>
        <w:t xml:space="preserve"> Al construir la pantalla del plan, la herramienta afirmó que con 52 equipos convenía el Plan Estándar. Verificado contra la base: el Plan Inicial cuesta $101.500 y el Estándar $102.900; el Estándar recién conviene a partir de 57 equipos. La corrección mejoró el sistema: la pantalla muestra la cuenta real, incluso cuando el resultado es que </w:t>
      </w:r>
      <w:r>
        <w:rPr>
          <w:b/>
        </w:rPr>
        <w:t>no</w:t>
      </w:r>
      <w:r>
        <w:t xml:space="preserve"> conviene cambiar al plan más caro. Un sistema que empuja al plan caro cuando la cuenta dice lo contrario es un problema de confianza, no un error de cálculo.</w:t>
      </w:r>
    </w:p>
    <w:p>
      <w:r>
        <w:t>Defectos propios encontrados en la verificación:</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Defecto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detectó</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 equipos registrados» en lugar del singular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Recorrido manual en el navegador</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El montaje disparaba </w:t>
            </w:r>
            <w:r>
              <w:rPr>
                <w:rFonts w:ascii="Calibri" w:hAnsi="Calibri" w:eastAsia="Calibri"/>
                <w:b/>
                <w:sz w:val="20"/>
              </w:rPr>
              <w:t>dos</w:t>
            </w:r>
            <w:r>
              <w:rPr>
                <w:rFonts w:ascii="Calibri" w:hAnsi="Calibri" w:eastAsia="Calibri"/>
                <w:sz w:val="20"/>
              </w:rPr>
              <w:t xml:space="preserve"> consultas idénticas (el filtro inicial y el debounce asentándose con el buscador vacío)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Al escribir la prueba del debounce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API arrancaba con una clave de firma más corta que los 32 bytes que exige HS256, y fallaba recién al emitir el primer token</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Al documentar la plantilla de configuración</w:t>
            </w:r>
          </w:p>
        </w:tc>
      </w:tr>
    </w:tbl>
    <w:p>
      <w:pPr>
        <w:spacing w:after="80"/>
      </w:pPr>
    </w:p>
    <w:p>
      <w:r>
        <w:t>El tercero es el más significativo: no era un defecto visible, era una validación faltante. Se agregó el chequeo al arrancar, de modo que una clave corta produce un error que dice cuál es el problema en lugar de una excepción de la librería.</w:t>
      </w:r>
    </w:p>
    <w:p>
      <w:r>
        <w:t xml:space="preserve">Se descartaron además dos pruebas que la herramienta había escrito y que </w:t>
      </w:r>
      <w:r>
        <w:rPr>
          <w:b/>
        </w:rPr>
        <w:t>no probaban nada</w:t>
      </w:r>
      <w:r>
        <w:t xml:space="preserve">: una usaba </w:t>
      </w:r>
      <w:r>
        <w:rPr>
          <w:rFonts w:ascii="Consolas" w:hAnsi="Consolas" w:eastAsia="Consolas"/>
          <w:sz w:val="21"/>
        </w:rPr>
        <w:t>vi.doMock</w:t>
      </w:r>
      <w:r>
        <w:t xml:space="preserve"> después de importar el módulo (por lo que la simulación nunca se aplicaba) y la otra afirmaba </w:t>
      </w:r>
      <w:r>
        <w:rPr>
          <w:rFonts w:ascii="Consolas" w:hAnsi="Consolas" w:eastAsia="Consolas"/>
          <w:sz w:val="21"/>
        </w:rPr>
        <w:t>&gt;= 0</w:t>
      </w:r>
      <w:r>
        <w:t>, que es verdadero siempre.</w:t>
      </w:r>
    </w:p>
    <w:p>
      <w:pPr>
        <w:pStyle w:val="Heading3"/>
      </w:pPr>
      <w:r>
        <w:rPr>
          <w:rFonts w:ascii="Calibri" w:hAnsi="Calibri" w:eastAsia="Calibri"/>
        </w:rPr>
        <w:t>Validación</w:t>
      </w:r>
    </w:p>
    <w:p>
      <w:pPr>
        <w:pStyle w:val="ListBullet"/>
      </w:pPr>
      <w:r>
        <w:rPr>
          <w:b/>
        </w:rPr>
        <w:t>24 pruebas Vitest en verde</w:t>
      </w:r>
      <w:r>
        <w:t>, incluidas las tres que cubren los defectos de arriba y las dos ramas del mensaje del plan (conviene / no conviene).</w:t>
      </w:r>
    </w:p>
    <w:p>
      <w:pPr>
        <w:pStyle w:val="ListBullet"/>
      </w:pPr>
      <w:r>
        <w:t>Recorrido manual de todos los flujos en el navegador, comparando cada pantalla contra el diseño de E-03.</w:t>
      </w:r>
    </w:p>
    <w:p>
      <w:pPr>
        <w:pStyle w:val="ListBullet"/>
      </w:pPr>
      <w:r>
        <w:rPr>
          <w:rFonts w:ascii="Consolas" w:hAnsi="Consolas" w:eastAsia="Consolas"/>
          <w:sz w:val="21"/>
        </w:rPr>
        <w:t>npm run build</w:t>
      </w:r>
      <w:r>
        <w:t xml:space="preserve"> limpio y </w:t>
      </w:r>
      <w:r>
        <w:rPr>
          <w:b/>
        </w:rPr>
        <w:t>0 vulnerabilidades</w:t>
      </w:r>
      <w:r>
        <w:t xml:space="preserve"> reportadas por </w:t>
      </w:r>
      <w:r>
        <w:rPr>
          <w:rFonts w:ascii="Consolas" w:hAnsi="Consolas" w:eastAsia="Consolas"/>
          <w:sz w:val="21"/>
        </w:rPr>
        <w:t>npm audit</w:t>
      </w:r>
      <w:r>
        <w:t>.</w:t>
      </w:r>
    </w:p>
    <w:p>
      <w:pPr>
        <w:pStyle w:val="ListBullet"/>
      </w:pPr>
      <w:r>
        <w:t xml:space="preserve">Una prueba del frontend falló por un defecto de la </w:t>
      </w:r>
      <w:r>
        <w:rPr>
          <w:b/>
        </w:rPr>
        <w:t>propia simulación</w:t>
      </w:r>
      <w:r>
        <w:t xml:space="preserve"> —devolvía una función nueva en cada render, lo que disparaba una consulta por render—. Queda asentado porque ilustra el riesgo inverso: una prueba mal escrita puede acusar al código correcto.</w:t>
      </w:r>
    </w:p>
    <w:p>
      <w:pPr>
        <w:pStyle w:val="Heading2"/>
        <w:pBdr>
          <w:bottom w:val="single" w:sz="6" w:space="6" w:color="2F5496"/>
        </w:pBdr>
        <w:spacing w:before="440"/>
      </w:pPr>
      <w:r>
        <w:rPr>
          <w:rFonts w:ascii="Calibri" w:hAnsi="Calibri" w:eastAsia="Calibri"/>
          <w:color w:val="2F5496"/>
        </w:rPr>
        <w:t>E-06 · Motor predictivo e integración de IA</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Motor de análisis predictivo con las cinco reglas del documento (RF-11, RF-12), proveedor de IA conmutable con disyuntor (ADR 0006 y 0009), y el flujo completo de incidencias: alta, triage del texto libre, asignación automática y asignación de respaldo. Backend y pantallas.</w:t>
      </w:r>
    </w:p>
    <w:p>
      <w:pPr>
        <w:pStyle w:val="Heading3"/>
      </w:pPr>
      <w:r>
        <w:rPr>
          <w:rFonts w:ascii="Calibri" w:hAnsi="Calibri" w:eastAsia="Calibri"/>
        </w:rPr>
        <w:t>Qué se aceptó</w:t>
      </w:r>
    </w:p>
    <w:p>
      <w:r>
        <w:t>La estructura general del motor —una estrategia por tipo de regla, score ponderado— que ya estaba decidida en el ADR 0007.</w:t>
      </w:r>
    </w:p>
    <w:p>
      <w:pPr>
        <w:pStyle w:val="Heading3"/>
      </w:pPr>
      <w:r>
        <w:rPr>
          <w:rFonts w:ascii="Calibri" w:hAnsi="Calibri" w:eastAsia="Calibri"/>
        </w:rPr>
        <w:t>Qué decidió el autor</w:t>
      </w:r>
    </w:p>
    <w:p>
      <w:r>
        <w:t>Cuatro decisiones que la herramienta no propuso y que cambian el comportamiento del sistema:</w:t>
      </w:r>
    </w:p>
    <w:p>
      <w:pPr>
        <w:spacing w:after="80"/>
        <w:ind w:left="510" w:hanging="510"/>
        <w:jc w:val="left"/>
      </w:pPr>
      <w:r>
        <w:t>1.</w:t>
        <w:tab/>
      </w:r>
      <w:r>
        <w:rPr>
          <w:b/>
        </w:rPr>
        <w:t>La fecha de referencia entra por parámetro; el motor no lee el reloj.</w:t>
      </w:r>
      <w:r>
        <w:t xml:space="preserve"> Sin esto no existe caso de prueba posible: el resultado cambiaría según el día en que se corran las pruebas. Es la decisión que hace verificable todo el capítulo.</w:t>
      </w:r>
    </w:p>
    <w:p>
      <w:pPr>
        <w:spacing w:after="80"/>
        <w:ind w:left="510" w:hanging="510"/>
        <w:jc w:val="left"/>
      </w:pPr>
      <w:r>
        <w:t>2.</w:t>
        <w:tab/>
      </w:r>
      <w:r>
        <w:rPr>
          <w:b/>
        </w:rPr>
        <w:t>Una regla que no se puede evaluar por falta de datos se excluye del promedio ponderado, en lugar de aportar cero.</w:t>
      </w:r>
      <w:r>
        <w:t xml:space="preserve"> Si aportara cero, el equipo con la ficha incompleta aparecería </w:t>
      </w:r>
      <w:r>
        <w:rPr>
          <w:i/>
        </w:rPr>
        <w:t>menos</w:t>
      </w:r>
      <w:r>
        <w:t xml:space="preserve"> riesgoso que el que está bien cargado, que es exactamente al revés de lo que corresponde.</w:t>
      </w:r>
    </w:p>
    <w:p>
      <w:pPr>
        <w:spacing w:after="80"/>
        <w:ind w:left="510" w:hanging="510"/>
        <w:jc w:val="left"/>
      </w:pPr>
      <w:r>
        <w:t>3.</w:t>
        <w:tab/>
      </w:r>
      <w:r>
        <w:rPr>
          <w:b/>
        </w:rPr>
        <w:t>La criticidad del equipo multiplica el score, no lo suma.</w:t>
      </w:r>
      <w:r>
        <w:t xml:space="preserve"> Sumando, un servidor nuevo y sano aparecería siempre en riesgo. Multiplicando, cero sigue siendo cero.</w:t>
      </w:r>
    </w:p>
    <w:p>
      <w:pPr>
        <w:spacing w:after="80"/>
        <w:ind w:left="510" w:hanging="510"/>
        <w:jc w:val="left"/>
      </w:pPr>
      <w:r>
        <w:t>4.</w:t>
        <w:tab/>
      </w:r>
      <w:r>
        <w:rPr>
          <w:b/>
        </w:rPr>
        <w:t>Un disyuntor por organización y no uno global.</w:t>
      </w:r>
      <w:r>
        <w:t xml:space="preserve"> Si el proveedor falla para un cliente —su clave venció, su cuenta se quedó sin crédito— el circuito no puede abrir para todos los demás. El ADR 0009 no distinguía este caso.</w:t>
      </w:r>
    </w:p>
    <w:p>
      <w:pPr>
        <w:pStyle w:val="Heading3"/>
      </w:pPr>
      <w:r>
        <w:rPr>
          <w:rFonts w:ascii="Calibri" w:hAnsi="Calibri" w:eastAsia="Calibri"/>
        </w:rPr>
        <w:t>Qué se modificó o descartó</w:t>
      </w:r>
    </w:p>
    <w:p>
      <w:r>
        <w:rPr>
          <w:b/>
        </w:rPr>
        <w:t>Se corrigió una falta de honestidad en la trazabilidad que la herramienta introdujo.</w:t>
      </w:r>
      <w:r>
        <w:t xml:space="preserve"> El proveedor determinístico resuelve por coincidencia de términos y puntaje, no con un modelo de lenguaje. La primera implementación registraba esas decisiones con origen </w:t>
      </w:r>
      <w:r>
        <w:rPr>
          <w:rFonts w:ascii="Consolas" w:hAnsi="Consolas" w:eastAsia="Consolas"/>
          <w:sz w:val="21"/>
        </w:rPr>
        <w:t>IA</w:t>
      </w:r>
      <w:r>
        <w:t xml:space="preserve">, porque era el único valor que la base admitía. Eso falsea justamente lo que el sistema tiene que poder demostrar en la defensa: qué decidió una IA y qué decidió una regla. Se agregó </w:t>
      </w:r>
      <w:r>
        <w:rPr>
          <w:rFonts w:ascii="Consolas" w:hAnsi="Consolas" w:eastAsia="Consolas"/>
          <w:sz w:val="21"/>
        </w:rPr>
        <w:t>HEURISTICA</w:t>
      </w:r>
      <w:r>
        <w:t xml:space="preserve"> como origen —en </w:t>
      </w:r>
      <w:r>
        <w:rPr>
          <w:rFonts w:ascii="Consolas" w:hAnsi="Consolas" w:eastAsia="Consolas"/>
          <w:sz w:val="21"/>
        </w:rPr>
        <w:t>RecomendacionAsignacion</w:t>
      </w:r>
      <w:r>
        <w:t xml:space="preserve"> y en </w:t>
      </w:r>
      <w:r>
        <w:rPr>
          <w:rFonts w:ascii="Consolas" w:hAnsi="Consolas" w:eastAsia="Consolas"/>
          <w:sz w:val="21"/>
        </w:rPr>
        <w:t>Incidencia.tipo_asignacion</w:t>
      </w:r>
      <w:r>
        <w:t>— con migración con guarda, y la pantalla distingue «Decidida por el proveedor de IA» de «Decidida por reglas automáticas».</w:t>
      </w:r>
    </w:p>
    <w:p>
      <w:r>
        <w:rPr>
          <w:b/>
        </w:rPr>
        <w:t>Se rechazó una confianza inflada.</w:t>
      </w:r>
      <w:r>
        <w:t xml:space="preserve"> La primera versión del proveedor simulado devolvía confianzas altas. Se bajaron a 0,20 y 0,55: es coincidencia de palabras, y decir lo contrario sería mentirle al técnico que después decide si acepta la sugerencia.</w:t>
      </w:r>
    </w:p>
    <w:p>
      <w:r>
        <w:t xml:space="preserve">Defectos que la revisión del código </w:t>
      </w:r>
      <w:r>
        <w:rPr>
          <w:b/>
        </w:rPr>
        <w:t>no</w:t>
      </w:r>
      <w:r>
        <w:t xml:space="preserve"> detectó y que sólo aparecieron al ejecutar o al recorrer las pantallas: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Defecto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Cómo se detectó</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 la lectura no alcanzaba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join de técnicos pasaba por </w:t>
            </w:r>
            <w:r>
              <w:rPr>
                <w:rFonts w:ascii="Consolas" w:hAnsi="Consolas" w:eastAsia="Consolas"/>
                <w:sz w:val="19"/>
              </w:rPr>
              <w:t>Usuario_Organizacion</w:t>
            </w:r>
            <w:r>
              <w:rPr>
                <w:rFonts w:ascii="Calibri" w:hAnsi="Calibri" w:eastAsia="Calibri"/>
                <w:sz w:val="20"/>
              </w:rPr>
              <w:t>, que sólo tiene filas del Partner: devolvía cero técnicos y ninguna incidencia se asignaba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Llamada HTTP real al catálogo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consulta se lee correcta; el problema es que la pertenencia a una organización se expresa de dos formas distintas en el modelo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UsuarioDao.PorOrganizacion</w:t>
            </w:r>
            <w:r>
              <w:rPr>
                <w:rFonts w:ascii="Calibri" w:hAnsi="Calibri" w:eastAsia="Calibri"/>
                <w:sz w:val="20"/>
              </w:rPr>
              <w:t xml:space="preserve"> tenía el mismo sesgo: el Partner quedaba afuera y su nombre salía vacío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Nombre en blanco en la respuesta del CP-14</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Requiere cruzar dos consultas escritas en momentos distintos</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RequierePatente</w:t>
            </w:r>
            <w:r>
              <w:rPr>
                <w:rFonts w:ascii="Calibri" w:hAnsi="Calibri" w:eastAsia="Calibri"/>
                <w:sz w:val="20"/>
              </w:rPr>
              <w:t xml:space="preserve"> exigía una sola patente; </w:t>
            </w:r>
            <w:r>
              <w:rPr>
                <w:rFonts w:ascii="Consolas" w:hAnsi="Consolas" w:eastAsia="Consolas"/>
                <w:sz w:val="19"/>
              </w:rPr>
              <w:t>INCIDENCIA_VER_TODAS</w:t>
            </w:r>
            <w:r>
              <w:rPr>
                <w:rFonts w:ascii="Calibri" w:hAnsi="Calibri" w:eastAsia="Calibri"/>
                <w:sz w:val="20"/>
              </w:rPr>
              <w:t xml:space="preserve"> y </w:t>
            </w:r>
            <w:r>
              <w:rPr>
                <w:rFonts w:ascii="Consolas" w:hAnsi="Consolas" w:eastAsia="Consolas"/>
                <w:sz w:val="19"/>
              </w:rPr>
              <w:t>VER_PROPIAS</w:t>
            </w:r>
            <w:r>
              <w:rPr>
                <w:rFonts w:ascii="Calibri" w:hAnsi="Calibri" w:eastAsia="Calibri"/>
                <w:sz w:val="20"/>
              </w:rPr>
              <w:t xml:space="preserve"> son distintas y ninguna implica a la otra</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403 al administrador</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El código se lee razonable: el error está en el modelo de permisos, no en la sintaxis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Asignar un técnico no movía el estado: todo quedaba en «Pendiente de asignación»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Recorrido en el navegador</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dato estaba bien guardado; lo que faltaba era una transición del ciclo de vida</w:t>
            </w:r>
          </w:p>
        </w:tc>
      </w:tr>
    </w:tbl>
    <w:p>
      <w:pPr>
        <w:spacing w:after="80"/>
      </w:pPr>
    </w:p>
    <w:p>
      <w:pPr>
        <w:pStyle w:val="Heading3"/>
      </w:pPr>
      <w:r>
        <w:rPr>
          <w:rFonts w:ascii="Calibri" w:hAnsi="Calibri" w:eastAsia="Calibri"/>
        </w:rPr>
        <w:t>Validación</w:t>
      </w:r>
    </w:p>
    <w:p>
      <w:pPr>
        <w:pStyle w:val="ListBullet"/>
      </w:pPr>
      <w:r>
        <w:rPr>
          <w:b/>
        </w:rPr>
        <w:t>131 pruebas en verde</w:t>
      </w:r>
      <w:r>
        <w:t xml:space="preserve"> (69 nuevas): 22 del motor con escenarios de fecha fija, 28 del disyuntor y los proveedores, y 19 de integración contra SQL Server.</w:t>
      </w:r>
    </w:p>
    <w:p>
      <w:pPr>
        <w:pStyle w:val="ListBullet"/>
      </w:pPr>
      <w:r>
        <w:rPr>
          <w:b/>
        </w:rPr>
        <w:t>CP-14 demostrado sobre el sistema corriendo</w:t>
      </w:r>
      <w:r>
        <w:t>, no sólo en pruebas unitarias: con el proveedor forzado a fallar, el circuito abre al quinto fallo, deja de llamar al servicio, y las incidencias quedan asignadas por respaldo y marcadas para revisión.</w:t>
      </w:r>
    </w:p>
    <w:p>
      <w:pPr>
        <w:pStyle w:val="ListBullet"/>
      </w:pPr>
      <w:r>
        <w:t xml:space="preserve">El motor evaluó los </w:t>
      </w:r>
      <w:r>
        <w:rPr>
          <w:b/>
        </w:rPr>
        <w:t>47 equipos reales de la base en 913 ms</w:t>
      </w:r>
      <w:r>
        <w:t>, generando 59 alertas, con el score de cada equipo desglosado regla por regla. La segunda corrida no duplicó ninguna alerta.</w:t>
      </w:r>
    </w:p>
    <w:p>
      <w:pPr>
        <w:pStyle w:val="ListBullet"/>
      </w:pPr>
      <w:r>
        <w:t>Se cargó una incidencia desde el formulario y el sistema la clasificó «Periféricos · prioridad Alta» y la asignó al técnico con especialidad «Impresión» nivel 3 que además tenía dos casos previos en ese mismo equipo.</w:t>
      </w:r>
    </w:p>
    <w:p>
      <w:r>
        <w:rPr>
          <w:b/>
        </w:rPr>
        <w:t>Una limitación que conviene decir y no disimular:</w:t>
      </w:r>
      <w:r>
        <w:t xml:space="preserve"> la demostración del CP-14 con el proveedor simulado no muestra el ahorro de latencia que justifica el disyuntor, porque el fallo simulado es instantáneo. Lo que la demostración sí prueba es la transición de estados y que se deja de llamar al proveedor. El ahorro de tiempo sólo se puede medir contra un servicio real que efectivamente tarde.</w:t>
      </w:r>
    </w:p>
    <w:p>
      <w:pPr>
        <w:pStyle w:val="Heading2"/>
        <w:pBdr>
          <w:bottom w:val="single" w:sz="6" w:space="6" w:color="2F5496"/>
        </w:pBdr>
        <w:spacing w:before="440"/>
      </w:pPr>
      <w:r>
        <w:rPr>
          <w:rFonts w:ascii="Calibri" w:hAnsi="Calibri" w:eastAsia="Calibri"/>
          <w:color w:val="2F5496"/>
        </w:rPr>
        <w:t>E-07 · Auditoría de arquitectura y cierre de requisitos</w:t>
      </w:r>
    </w:p>
    <w:p>
      <w:r>
        <w:rPr>
          <w:b/>
        </w:rPr>
        <w:t>Fecha:</w:t>
      </w:r>
      <w:r>
        <w:t xml:space="preserve"> 02/09/2026 · </w:t>
      </w:r>
      <w:r>
        <w:rPr>
          <w:b/>
        </w:rPr>
        <w:t>Herramienta:</w:t>
      </w:r>
      <w:r>
        <w:t xml:space="preserve"> Claude Code</w:t>
      </w:r>
    </w:p>
    <w:p>
      <w:pPr>
        <w:pStyle w:val="Heading3"/>
      </w:pPr>
      <w:r>
        <w:rPr>
          <w:rFonts w:ascii="Calibri" w:hAnsi="Calibri" w:eastAsia="Calibri"/>
        </w:rPr>
        <w:t>Tareas</w:t>
      </w:r>
    </w:p>
    <w:p>
      <w:r>
        <w:t xml:space="preserve">Verificación de los cinco Req. Arq. y los siete CU.Arq. del modelo de referencia de 3.º año contra el sistema construido, y corrección de lo que faltaba: multiidioma completo, cifrado reversible, </w:t>
      </w:r>
      <w:r>
        <w:rPr>
          <w:rFonts w:ascii="Consolas" w:hAnsi="Consolas" w:eastAsia="Consolas"/>
          <w:sz w:val="21"/>
        </w:rPr>
        <w:t>Patente.TipoAcceso</w:t>
      </w:r>
      <w:r>
        <w:t>, filtro de bitácora por usuario y pantalla de errores.</w:t>
      </w:r>
    </w:p>
    <w:p>
      <w:pPr>
        <w:pStyle w:val="Heading3"/>
      </w:pPr>
      <w:r>
        <w:rPr>
          <w:rFonts w:ascii="Calibri" w:hAnsi="Calibri" w:eastAsia="Calibri"/>
        </w:rPr>
        <w:t>Qué se aceptó</w:t>
      </w:r>
    </w:p>
    <w:p>
      <w:r>
        <w:t>La lectura del material de referencia y el armado de la tabla de estado por requisito, que sirvió para no discutir de memoria.</w:t>
      </w:r>
    </w:p>
    <w:p>
      <w:pPr>
        <w:pStyle w:val="Heading3"/>
      </w:pPr>
      <w:r>
        <w:rPr>
          <w:rFonts w:ascii="Calibri" w:hAnsi="Calibri" w:eastAsia="Calibri"/>
        </w:rPr>
        <w:t>Qué decidió el autor</w:t>
      </w:r>
    </w:p>
    <w:p>
      <w:r>
        <w:rPr>
          <w:b/>
        </w:rPr>
        <w:t>Que la auditoría se hiciera contra datos, no contra el código.</w:t>
      </w:r>
      <w:r>
        <w:t xml:space="preserve"> Es la decisión que dio resultado. Los dos hallazgos serios no eran errores sino </w:t>
      </w:r>
      <w:r>
        <w:rPr>
          <w:b/>
        </w:rPr>
        <w:t>ausencias</w:t>
      </w:r>
      <w:r>
        <w:t>, y una ausencia no se ve leyendo:</w:t>
      </w:r>
    </w:p>
    <w:p>
      <w:pPr>
        <w:spacing w:after="80"/>
        <w:ind w:left="510" w:hanging="510"/>
        <w:jc w:val="left"/>
      </w:pPr>
      <w:r>
        <w:t>1.</w:t>
        <w:tab/>
      </w:r>
      <w:r>
        <w:rPr>
          <w:b/>
        </w:rPr>
        <w:t>La bitácora no registraba ningún evento de negocio.</w:t>
      </w:r>
      <w:r>
        <w:t xml:space="preserve"> Tenía 37 inicios de sesión y ninguna alta de incidencia. Ocho de los nueve códigos que el sistema asentaba no existían en el catálogo, y el servicio los descarta en silencio por diseño —perder una línea de auditoría es malo, abortar el alta de un equipo por no poder escribirla es peor—. Cada llamada estaba correctamente escrita. Apareció al contar filas por tipo de evento.</w:t>
      </w:r>
    </w:p>
    <w:p>
      <w:pPr>
        <w:spacing w:after="80"/>
        <w:ind w:left="510" w:hanging="510"/>
        <w:jc w:val="left"/>
      </w:pPr>
      <w:r>
        <w:t>2.</w:t>
        <w:tab/>
      </w:r>
      <w:r>
        <w:rPr>
          <w:b/>
        </w:rPr>
        <w:t>El motor predictivo no se disparaba solo.</w:t>
      </w:r>
      <w:r>
        <w:t xml:space="preserve"> Lo reportó el autor mientras la herramienta trabajaba en otra cosa, y la evidencia disponible parecía contradecirlo: el motor pasaba sus pruebas y la API devolvía scores correctos. Buscar quién lo invocaba mostró que nadie, salvo el botón de la pantalla.</w:t>
      </w:r>
    </w:p>
    <w:p>
      <w:r>
        <w:rPr>
          <w:b/>
        </w:rPr>
        <w:t>Que un código nuevo mal escrito no pueda repetir el primer defecto.</w:t>
      </w:r>
      <w:r>
        <w:t xml:space="preserve"> No alcanzaba con completar el catálogo: se pasaron las llamadas a constantes —una constante mal escrita no compila— y se agregaron dos pruebas, una que verifica por reflexión que cada constante exista en la base y otra que rechaza literales sueltos en las llamadas a bitácora.</w:t>
      </w:r>
    </w:p>
    <w:p>
      <w:r>
        <w:rPr>
          <w:b/>
        </w:rPr>
        <w:t>Que el barrido predictivo no corra como superusuario.</w:t>
      </w:r>
      <w:r>
        <w:t xml:space="preserve"> Un proceso automático con todos los permisos es un proceso que puede hacer cualquier cosa el día que tenga un error. Lleva un contexto de sistema con la única patente que necesita, y sin usuario: la bitácora tiene que decir que lo hizo el sistema y no atribuírselo a una persona que no estaba.</w:t>
      </w:r>
    </w:p>
    <w:p>
      <w:r>
        <w:rPr>
          <w:b/>
        </w:rPr>
        <w:t>Que la clave de API se guarde cifrada por organización y no se pueda leer.</w:t>
      </w:r>
      <w:r>
        <w:t xml:space="preserve"> La propuesta inicial era más simple —dejarla en la variable de entorno, que ya funcionaba—. El problema no era técnico sino de producto: con la clave en el entorno, todas las organizaciones del plan Partner comparten la credencial de quien opera el servidor. Y no hay endpoint que la devuelva: una credencial que puede salir del servidor es una credencial que se puede filtrar por cualquiera de los caminos por los que sale.</w:t>
      </w:r>
    </w:p>
    <w:p>
      <w:r>
        <w:rPr>
          <w:b/>
        </w:rPr>
        <w:t>Que la pantalla de errores salga de la bitácora y no de una tabla nueva.</w:t>
      </w:r>
      <w:r>
        <w:t xml:space="preserve"> Un segundo registro de lo mismo se desincroniza del primero.</w:t>
      </w:r>
    </w:p>
    <w:p>
      <w:pPr>
        <w:pStyle w:val="Heading3"/>
      </w:pPr>
      <w:r>
        <w:rPr>
          <w:rFonts w:ascii="Calibri" w:hAnsi="Calibri" w:eastAsia="Calibri"/>
        </w:rPr>
        <w:t>Verificación</w:t>
      </w:r>
    </w:p>
    <w:p>
      <w:pPr>
        <w:pStyle w:val="ListBullet"/>
      </w:pPr>
      <w:r>
        <w:t>171 pruebas del backend y 24 del frontend, en verde.</w:t>
      </w:r>
    </w:p>
    <w:p>
      <w:pPr>
        <w:pStyle w:val="ListBullet"/>
      </w:pPr>
      <w:r>
        <w:t xml:space="preserve">La clave de API queda en la base como </w:t>
      </w:r>
      <w:r>
        <w:rPr>
          <w:rFonts w:ascii="Consolas" w:hAnsi="Consolas" w:eastAsia="Consolas"/>
          <w:sz w:val="21"/>
        </w:rPr>
        <w:t>AESGCM$v1$…</w:t>
      </w:r>
      <w:r>
        <w:t>, sin rastro en claro ni en la configuración ni en la bitácora.</w:t>
      </w:r>
    </w:p>
    <w:p>
      <w:pPr>
        <w:pStyle w:val="ListBullet"/>
      </w:pPr>
      <w:r>
        <w:t>La bitácora de un técnico pasa de 56 filas a 7 al filtrar por su usuario, y todas son de esa persona.</w:t>
      </w:r>
    </w:p>
    <w:p>
      <w:pPr>
        <w:pStyle w:val="ListBullet"/>
      </w:pPr>
      <w:r>
        <w:t>Un técnico recibe 403 en la pantalla de errores, en la configuración de IA y al intentar cargar una clave.</w:t>
      </w:r>
    </w:p>
    <w:p>
      <w:pPr>
        <w:pStyle w:val="ListBullet"/>
      </w:pPr>
      <w:r>
        <w:t>El barrido programado corrió sobre las dos organizaciones —49 equipos— y dejó su rastro en bitácora; una incidencia registrada disparó la reevaluación de su equipo.</w:t>
      </w:r>
    </w:p>
    <w:p>
      <w:pPr>
        <w:pStyle w:val="Heading2"/>
        <w:pBdr>
          <w:bottom w:val="single" w:sz="6" w:space="6" w:color="2F5496"/>
        </w:pBdr>
        <w:spacing w:before="440"/>
      </w:pPr>
      <w:r>
        <w:rPr>
          <w:rFonts w:ascii="Calibri" w:hAnsi="Calibri" w:eastAsia="Calibri"/>
          <w:color w:val="2F5496"/>
        </w:rPr>
        <w:t>E-08 · Cierre de los casos de uso faltantes y de la evaluación financiera</w:t>
      </w:r>
    </w:p>
    <w:p>
      <w:r>
        <w:rPr>
          <w:b/>
        </w:rPr>
        <w:t>Fecha:</w:t>
      </w:r>
      <w:r>
        <w:t xml:space="preserve"> 03/09/2026 · </w:t>
      </w:r>
      <w:r>
        <w:rPr>
          <w:b/>
        </w:rPr>
        <w:t>Herramienta:</w:t>
      </w:r>
      <w:r>
        <w:t xml:space="preserve"> Claude Code</w:t>
      </w:r>
    </w:p>
    <w:p>
      <w:pPr>
        <w:pStyle w:val="Heading3"/>
      </w:pPr>
      <w:r>
        <w:rPr>
          <w:rFonts w:ascii="Calibri" w:hAnsi="Calibri" w:eastAsia="Calibri"/>
        </w:rPr>
        <w:t>Tareas</w:t>
      </w:r>
    </w:p>
    <w:p>
      <w:r>
        <w:t>Ciclo de vida completo de la incidencia, cambio de estado del equipo, reportes exportables a PDF, historial del parque, cierre de sesión con rastro y restauración de respaldos. El frontend de todo eso. Valor terminal en el presupuesto financiero.</w:t>
      </w:r>
    </w:p>
    <w:p>
      <w:pPr>
        <w:pStyle w:val="Heading3"/>
      </w:pPr>
      <w:r>
        <w:rPr>
          <w:rFonts w:ascii="Calibri" w:hAnsi="Calibri" w:eastAsia="Calibri"/>
        </w:rPr>
        <w:t>Qué se aceptó</w:t>
      </w:r>
    </w:p>
    <w:p>
      <w:r>
        <w:t>La técnica de auditoría —buscar lo declarado y no usado— y la implementación mecánica una vez decidido el diseño.</w:t>
      </w:r>
    </w:p>
    <w:p>
      <w:pPr>
        <w:pStyle w:val="Heading3"/>
      </w:pPr>
      <w:r>
        <w:rPr>
          <w:rFonts w:ascii="Calibri" w:hAnsi="Calibri" w:eastAsia="Calibri"/>
        </w:rPr>
        <w:t>Qué decidió el autor</w:t>
      </w:r>
    </w:p>
    <w:p>
      <w:r>
        <w:rPr>
          <w:b/>
        </w:rPr>
        <w:t>El formato de los reportes.</w:t>
      </w:r>
      <w:r>
        <w:t xml:space="preserve"> La propuesta era CSV, por ser lo más barato y sin dependencias. El autor eligió PDF, y tenía razón para lo que se va a mostrar: un CSV no lleva encabezado ni los filtros impresos, y no se ve como un entregable.</w:t>
      </w:r>
    </w:p>
    <w:p>
      <w:r>
        <w:rPr>
          <w:b/>
        </w:rPr>
        <w:t>El horizonte de la evaluación financiera.</w:t>
      </w:r>
      <w:r>
        <w:t xml:space="preserve"> Primero pidió bajarlo a tres años, con un argumento sólido —en tecnología y con la IA incorporándose, la proyección del cuarto año no es creíble—, y después decidió mantener los cuatro con valor terminal. Las dos decisiones son suyas.</w:t>
      </w:r>
    </w:p>
    <w:p>
      <w:r>
        <w:rPr>
          <w:b/>
        </w:rPr>
        <w:t>Que el múltiplo del valor terminal fuera el piso del rango y no el que cierra el número.</w:t>
      </w:r>
      <w:r>
        <w:t xml:space="preserve"> A 1,5× el VAN queda en −48 millones y se vuelve positivo a 2,0×, que está dentro del rango de mercado. La tentación era mover el múltiplo hasta que diera positivo; el criterio fue tomar el piso, declarar el resultado negativo, y poner la sensibilidad al lado para que la conclusión no dependa de haber elegido bien un número que nadie puede conocer.</w:t>
      </w:r>
    </w:p>
    <w:p>
      <w:r>
        <w:rPr>
          <w:b/>
        </w:rPr>
        <w:t>Que la lectura del resultado se genere con fórmulas.</w:t>
      </w:r>
      <w:r>
        <w:t xml:space="preserve"> Un texto fijo que afirme «el VAN es positivo» sobrevive al cambio de hipótesis que lo vuelve falso, y es el primer error que un jurado encuentra.</w:t>
      </w:r>
    </w:p>
    <w:p>
      <w:pPr>
        <w:pStyle w:val="Heading3"/>
      </w:pPr>
      <w:r>
        <w:rPr>
          <w:rFonts w:ascii="Calibri" w:hAnsi="Calibri" w:eastAsia="Calibri"/>
        </w:rPr>
        <w:t>Defectos propios de esta etapa</w:t>
      </w:r>
    </w:p>
    <w:p>
      <w:r>
        <w:t>Cuatro, y los cuatro se encontraron ejecutando:</w:t>
      </w:r>
    </w:p>
    <w:p>
      <w:pPr>
        <w:spacing w:after="80"/>
        <w:ind w:left="510" w:hanging="510"/>
        <w:jc w:val="left"/>
      </w:pPr>
      <w:r>
        <w:t>1.</w:t>
        <w:tab/>
      </w:r>
      <w:r>
        <w:rPr>
          <w:b/>
        </w:rPr>
        <w:t>El interbloqueo del botón «Resuelta»</w:t>
      </w:r>
      <w:r>
        <w:t xml:space="preserve"> (PC-18). Diseño propio, dos lados correctos por separado, imposible de ver sin usar la pantalla.</w:t>
      </w:r>
    </w:p>
    <w:p>
      <w:pPr>
        <w:spacing w:after="80"/>
        <w:ind w:left="510" w:hanging="510"/>
        <w:jc w:val="left"/>
      </w:pPr>
      <w:r>
        <w:t>2.</w:t>
        <w:tab/>
      </w:r>
      <w:r>
        <w:rPr>
          <w:b/>
        </w:rPr>
        <w:t>`FF_TASA` con un desplazamiento contado a mano</w:t>
      </w:r>
      <w:r>
        <w:t xml:space="preserve"> sobre el orden de la lista de indicadores del flujo de fondos. Agregar dos indicadores lo dejó apuntando a otra fila y los VAN salieron </w:t>
      </w:r>
      <w:r>
        <w:rPr>
          <w:rFonts w:ascii="Consolas" w:hAnsi="Consolas" w:eastAsia="Consolas"/>
          <w:sz w:val="21"/>
        </w:rPr>
        <w:t>#VALUE!</w:t>
      </w:r>
      <w:r>
        <w:t>. Ahora la tasa va primera en la lista y agregar indicadores no mueve nada.</w:t>
      </w:r>
    </w:p>
    <w:p>
      <w:pPr>
        <w:spacing w:after="80"/>
        <w:ind w:left="510" w:hanging="510"/>
        <w:jc w:val="left"/>
      </w:pPr>
      <w:r>
        <w:t>3.</w:t>
        <w:tab/>
      </w:r>
      <w:r>
        <w:rPr>
          <w:b/>
        </w:rPr>
        <w:t>La tabla de sensibilidad calculaba el valor terminal como delta</w:t>
      </w:r>
      <w:r>
        <w:t xml:space="preserve"> contra el múltiplo vigente, así que en la columna del múltiplo actual la diferencia era cero y mostraba el VAN </w:t>
      </w:r>
      <w:r>
        <w:rPr>
          <w:i/>
        </w:rPr>
        <w:t>sin</w:t>
      </w:r>
      <w:r>
        <w:t xml:space="preserve"> valor terminal — es decir, el número equivocado justo en la columna que un lector compara contra el indicador de arriba.</w:t>
      </w:r>
    </w:p>
    <w:p>
      <w:pPr>
        <w:spacing w:after="80"/>
        <w:ind w:left="510" w:hanging="510"/>
        <w:jc w:val="left"/>
      </w:pPr>
      <w:r>
        <w:t>4.</w:t>
        <w:tab/>
      </w:r>
      <w:r>
        <w:rPr>
          <w:b/>
        </w:rPr>
        <w:t>`TEXT` con separadores decimales</w:t>
      </w:r>
      <w:r>
        <w:t xml:space="preserve"> se rompe según la configuración regional: la conclusión generada decía </w:t>
      </w:r>
      <w:r>
        <w:rPr>
          <w:rFonts w:ascii="Consolas" w:hAnsi="Consolas" w:eastAsia="Consolas"/>
          <w:sz w:val="21"/>
        </w:rPr>
        <w:t>-$ 47698378,610</w:t>
      </w:r>
      <w:r>
        <w:t xml:space="preserve"> y </w:t>
      </w:r>
      <w:r>
        <w:rPr>
          <w:rFonts w:ascii="Consolas" w:hAnsi="Consolas" w:eastAsia="Consolas"/>
          <w:sz w:val="21"/>
        </w:rPr>
        <w:t>05 %</w:t>
      </w:r>
      <w:r>
        <w:t>.</w:t>
      </w:r>
    </w:p>
    <w:p>
      <w:pPr>
        <w:pStyle w:val="Heading3"/>
      </w:pPr>
      <w:r>
        <w:rPr>
          <w:rFonts w:ascii="Calibri" w:hAnsi="Calibri" w:eastAsia="Calibri"/>
        </w:rPr>
        <w:t>Verificación</w:t>
      </w:r>
    </w:p>
    <w:p>
      <w:pPr>
        <w:pStyle w:val="ListBullet"/>
      </w:pPr>
      <w:r>
        <w:t>238 pruebas de backend y 31 de frontend, en verde. La cifra la controla la integración continua en cada push, así que no se escribe de memoria.</w:t>
      </w:r>
    </w:p>
    <w:p>
      <w:pPr>
        <w:pStyle w:val="ListBullet"/>
      </w:pPr>
      <w:r>
        <w:t>El ciclo completo de una incidencia recorrido dos veces: por la API, con sus cuatro rechazos —salto inválido, resolver sin diagnóstico, resolver sin solución, tocar una cerrada—, y después por la pantalla, resolviendo la incidencia #24 como el técnico asignado.</w:t>
      </w:r>
    </w:p>
    <w:p>
      <w:pPr>
        <w:pStyle w:val="ListBullet"/>
      </w:pPr>
      <w:r>
        <w:t>De los tres técnicos, sólo el asignado pudo atender la #24.</w:t>
      </w:r>
    </w:p>
    <w:p>
      <w:pPr>
        <w:pStyle w:val="ListBullet"/>
      </w:pPr>
      <w:r>
        <w:t>Los tres PDF generados y abiertos: el del parque, tres páginas con encabezado, filtros impresos, resumen y cabecera repetida.</w:t>
      </w:r>
    </w:p>
    <w:p>
      <w:pPr>
        <w:pStyle w:val="ListBullet"/>
      </w:pPr>
      <w:r>
        <w:t>De los cuatro perfiles, el solicitante recibe 403 en los reportes y los otros tres pueden, que es lo que dice el seed.</w:t>
      </w:r>
    </w:p>
    <w:p>
      <w:pPr>
        <w:pStyle w:val="ListBullet"/>
      </w:pPr>
      <w:r>
        <w:t>El libro de Excel recalculado con LibreOffice: sin un solo error de fórmula, y los indicadores leídos de las celdas y no estimados.</w:t>
      </w:r>
    </w:p>
    <w:p>
      <w:pPr>
        <w:pStyle w:val="Heading2"/>
        <w:pBdr>
          <w:bottom w:val="single" w:sz="6" w:space="6" w:color="2F5496"/>
        </w:pBdr>
        <w:spacing w:before="440"/>
      </w:pPr>
      <w:r>
        <w:rPr>
          <w:rFonts w:ascii="Calibri" w:hAnsi="Calibri" w:eastAsia="Calibri"/>
          <w:color w:val="2F5496"/>
        </w:rPr>
        <w:t>E-09 · Ampliación del alcance de la IA: guía de reparación</w:t>
      </w:r>
    </w:p>
    <w:p>
      <w:r>
        <w:rPr>
          <w:b/>
        </w:rPr>
        <w:t>Fecha:</w:t>
      </w:r>
      <w:r>
        <w:t xml:space="preserve"> 09/09/2026 · </w:t>
      </w:r>
      <w:r>
        <w:rPr>
          <w:b/>
        </w:rPr>
        <w:t>Herramienta:</w:t>
      </w:r>
      <w:r>
        <w:t xml:space="preserve"> Claude Code</w:t>
      </w:r>
    </w:p>
    <w:p>
      <w:pPr>
        <w:pStyle w:val="Heading3"/>
      </w:pPr>
      <w:r>
        <w:rPr>
          <w:rFonts w:ascii="Calibri" w:hAnsi="Calibri" w:eastAsia="Calibri"/>
        </w:rPr>
        <w:t>Tareas</w:t>
      </w:r>
    </w:p>
    <w:p>
      <w:r>
        <w:t>Tercera función del proveedor de IA, junto al triage y la asignación: una guía de diagnóstico y reparación paso a paso para una incidencia (RF-15, CU-018). Contrato, las dos implementaciones, el disyuntor, el método de negocio con su control de acceso, el endpoint, los tipos de evento de bitácora y las pruebas.</w:t>
      </w:r>
    </w:p>
    <w:p>
      <w:pPr>
        <w:pStyle w:val="Heading3"/>
      </w:pPr>
      <w:r>
        <w:rPr>
          <w:rFonts w:ascii="Calibri" w:hAnsi="Calibri" w:eastAsia="Calibri"/>
        </w:rPr>
        <w:t>Qué se aceptó</w:t>
      </w:r>
    </w:p>
    <w:p>
      <w:r>
        <w:t xml:space="preserve">La estructura del corte: la misma que ya tenían las otras dos operaciones —contrato en </w:t>
      </w:r>
      <w:r>
        <w:rPr>
          <w:rFonts w:ascii="Consolas" w:hAnsi="Consolas" w:eastAsia="Consolas"/>
          <w:sz w:val="21"/>
        </w:rPr>
        <w:t>IProveedorIA</w:t>
      </w:r>
      <w:r>
        <w:t>, implementación real y simulada, disyuntor por decorador—, que es lo que hace que la función nueva no invente un camino propio.</w:t>
      </w:r>
    </w:p>
    <w:p>
      <w:pPr>
        <w:pStyle w:val="Heading3"/>
      </w:pPr>
      <w:r>
        <w:rPr>
          <w:rFonts w:ascii="Calibri" w:hAnsi="Calibri" w:eastAsia="Calibri"/>
        </w:rPr>
        <w:t>Qué decidió el autor</w:t>
      </w:r>
    </w:p>
    <w:p>
      <w:pPr>
        <w:spacing w:after="80"/>
        <w:ind w:left="510" w:hanging="510"/>
        <w:jc w:val="left"/>
      </w:pPr>
      <w:r>
        <w:t>1.</w:t>
        <w:tab/>
      </w:r>
      <w:r>
        <w:rPr>
          <w:b/>
        </w:rPr>
        <w:t>Antes de pedir la función, pedir la verificación de si ya existía.</w:t>
      </w:r>
      <w:r>
        <w:t xml:space="preserve"> La consulta no fue «implementá la guía» sino «confirmá si esto está y después decido». No estaba: el proveedor tenía </w:t>
      </w:r>
      <w:r>
        <w:rPr>
          <w:rFonts w:ascii="Consolas" w:hAnsi="Consolas" w:eastAsia="Consolas"/>
          <w:sz w:val="21"/>
        </w:rPr>
        <w:t>ClasificarAsync</w:t>
      </w:r>
      <w:r>
        <w:t xml:space="preserve"> y </w:t>
      </w:r>
      <w:r>
        <w:rPr>
          <w:rFonts w:ascii="Consolas" w:hAnsi="Consolas" w:eastAsia="Consolas"/>
          <w:sz w:val="21"/>
        </w:rPr>
        <w:t>RecomendarTecnicoAsync</w:t>
      </w:r>
      <w:r>
        <w:t>, y los campos de diagnóstico y solución los escribía el técnico a mano. Recién con eso confirmado se decidió sumarla.</w:t>
      </w:r>
    </w:p>
    <w:p>
      <w:pPr>
        <w:spacing w:after="80"/>
        <w:ind w:left="510" w:hanging="510"/>
        <w:jc w:val="left"/>
      </w:pPr>
      <w:r>
        <w:t>2.</w:t>
        <w:tab/>
      </w:r>
      <w:r>
        <w:rPr>
          <w:b/>
        </w:rPr>
        <w:t>El sistema no toca el equipo del cliente.</w:t>
      </w:r>
      <w:r>
        <w:t xml:space="preserve"> Es el límite del alcance y se sostuvo: la guía la ejecuta una persona. Está escrito en el prompt del proveedor real para que no proponga acciones remotas. Sumar ejecución sería otro producto, con otra responsabilidad.</w:t>
      </w:r>
    </w:p>
    <w:p>
      <w:pPr>
        <w:spacing w:after="80"/>
        <w:ind w:left="510" w:hanging="510"/>
        <w:jc w:val="left"/>
      </w:pPr>
      <w:r>
        <w:t>3.</w:t>
        <w:tab/>
      </w:r>
      <w:r>
        <w:rPr>
          <w:b/>
        </w:rPr>
        <w:t>La guía no se persiste.</w:t>
      </w:r>
      <w:r>
        <w:t xml:space="preserve"> Depende del historial del equipo en el momento en que se pide. Guardarla invitaría a leer meses después una guía armada con otro historial y creerle. Queda el asiento en bitácora, que además es lo que alimenta el costo por consulta del presupuesto.</w:t>
      </w:r>
    </w:p>
    <w:p>
      <w:pPr>
        <w:spacing w:after="80"/>
        <w:ind w:left="510" w:hanging="510"/>
        <w:jc w:val="left"/>
      </w:pPr>
      <w:r>
        <w:t>4.</w:t>
        <w:tab/>
      </w:r>
      <w:r>
        <w:rPr>
          <w:b/>
        </w:rPr>
        <w:t>Se pide, no se genera sola.</w:t>
      </w:r>
      <w:r>
        <w:t xml:space="preserve"> Consultar al proveedor en cada alta sería pagar por todas las incidencias para que sirva en algunas.</w:t>
      </w:r>
    </w:p>
    <w:p>
      <w:pPr>
        <w:pStyle w:val="Heading3"/>
      </w:pPr>
      <w:r>
        <w:rPr>
          <w:rFonts w:ascii="Calibri" w:hAnsi="Calibri" w:eastAsia="Calibri"/>
        </w:rPr>
        <w:t>Qué se corrigió de lo producido</w:t>
      </w:r>
    </w:p>
    <w:p>
      <w:r>
        <w:t>La primera versión de las recetas del proveedor simulado tenía, en la categoría Periféricos, «reinstalar el controlador» después de «vaciar la cola de impresión» y sin declarar riesgo. La regla que el propio diseño se había puesto —los pasos con riesgo van al final— quedaba violada. Se declaró el riesgo real de ese paso —se pierden las preferencias guardadas del dispositivo— en lugar de aflojar la regla. Lo encontró la prueba que recorre las seis categorías, que se escribió justamente para eso.</w:t>
      </w:r>
    </w:p>
    <w:p>
      <w:pPr>
        <w:pStyle w:val="Heading2"/>
        <w:pBdr>
          <w:bottom w:val="single" w:sz="6" w:space="6" w:color="2F5496"/>
        </w:pBdr>
        <w:spacing w:before="440"/>
      </w:pPr>
      <w:r>
        <w:rPr>
          <w:rFonts w:ascii="Calibri" w:hAnsi="Calibri" w:eastAsia="Calibri"/>
          <w:color w:val="2F5496"/>
        </w:rPr>
        <w:t>E-10 · Dos módulos de gestión: el plan de mantenimiento y la facturación</w:t>
      </w:r>
    </w:p>
    <w:p>
      <w:r>
        <w:rPr>
          <w:b/>
        </w:rPr>
        <w:t>Fecha:</w:t>
      </w:r>
      <w:r>
        <w:t xml:space="preserve"> 10 y 11/09/2026 · </w:t>
      </w:r>
      <w:r>
        <w:rPr>
          <w:b/>
        </w:rPr>
        <w:t>Herramienta:</w:t>
      </w:r>
      <w:r>
        <w:t xml:space="preserve"> Claude Code</w:t>
      </w:r>
    </w:p>
    <w:p>
      <w:pPr>
        <w:pStyle w:val="Heading3"/>
      </w:pPr>
      <w:r>
        <w:rPr>
          <w:rFonts w:ascii="Calibri" w:hAnsi="Calibri" w:eastAsia="Calibri"/>
        </w:rPr>
        <w:t>Tareas</w:t>
      </w:r>
    </w:p>
    <w:p>
      <w:r>
        <w:t>Dos módulos completos, de la base a la pantalla: el plan de mantenimiento preventivo con su agenda (RF-16, CU-019 y CU-020) y la facturación del servicio (RF-17, CU-021). Cuatro tablas, dos DAO, dos business, dos controladores, tres pantallas, cincuenta y cinco pruebas, los datos de demostración y el volcado al documento.</w:t>
      </w:r>
    </w:p>
    <w:p>
      <w:pPr>
        <w:pStyle w:val="Heading3"/>
      </w:pPr>
      <w:r>
        <w:rPr>
          <w:rFonts w:ascii="Calibri" w:hAnsi="Calibri" w:eastAsia="Calibri"/>
        </w:rPr>
        <w:t>Qué se aceptó</w:t>
      </w:r>
    </w:p>
    <w:p>
      <w:r>
        <w:t xml:space="preserve">El reparto en capas y los patrones ya establecidos: los dos módulos entran por </w:t>
      </w:r>
      <w:r>
        <w:rPr>
          <w:rFonts w:ascii="Consolas" w:hAnsi="Consolas" w:eastAsia="Consolas"/>
          <w:sz w:val="21"/>
        </w:rPr>
        <w:t>FactoryDao</w:t>
      </w:r>
      <w:r>
        <w:t xml:space="preserve"> y </w:t>
      </w:r>
      <w:r>
        <w:rPr>
          <w:rFonts w:ascii="Consolas" w:hAnsi="Consolas" w:eastAsia="Consolas"/>
          <w:sz w:val="21"/>
        </w:rPr>
        <w:t>FactoryBusiness</w:t>
      </w:r>
      <w:r>
        <w:t>, el filtro por organización vive en el DAO, y las pantallas reusan los componentes y la capa de tokens que ya existían. No se inventó ninguna estructura nueva, que es lo que hace que el sistema siga leyéndose parejo.</w:t>
      </w:r>
    </w:p>
    <w:p>
      <w:pPr>
        <w:pStyle w:val="Heading3"/>
      </w:pPr>
      <w:r>
        <w:rPr>
          <w:rFonts w:ascii="Calibri" w:hAnsi="Calibri" w:eastAsia="Calibri"/>
        </w:rPr>
        <w:t>Qué decidió el autor</w:t>
      </w:r>
    </w:p>
    <w:p>
      <w:pPr>
        <w:spacing w:after="80"/>
        <w:ind w:left="510" w:hanging="510"/>
        <w:jc w:val="left"/>
      </w:pPr>
      <w:r>
        <w:t>1.</w:t>
        <w:tab/>
      </w:r>
      <w:r>
        <w:rPr>
          <w:b/>
        </w:rPr>
        <w:t>La pregunta fue si el sistema era demasiado simple, no «agregá módulos».</w:t>
      </w:r>
      <w:r>
        <w:t xml:space="preserve"> La duda era propia: el trabajo podía parecer pobre en gestión al lado de un sistema de ventas. Lo que se pidió fue contrastar ese juicio antes de sumar nada, porque agregar pantallas por volumen es la forma más rápida de que un trabajo parezca más grande y sea peor.</w:t>
      </w:r>
    </w:p>
    <w:p>
      <w:pPr>
        <w:spacing w:after="80"/>
        <w:ind w:left="510" w:hanging="510"/>
        <w:jc w:val="left"/>
      </w:pPr>
      <w:r>
        <w:t>2.</w:t>
        <w:tab/>
      </w:r>
      <w:r>
        <w:rPr>
          <w:b/>
        </w:rPr>
        <w:t>Los dos módulos se eligieron por los huecos que cerraban, no por tamaño.</w:t>
      </w:r>
      <w:r>
        <w:t xml:space="preserve"> El motor predictivo recomendaba «programar el mantenimiento preventivo» y el sistema no tenía con qué programarlo: la recomendación terminaba en un papel. Y el plan de negocio define un modelo de ingresos por abono más equipos administrados que el sistema calculaba y no registraba. Los dos huecos existían antes de la pregunta.</w:t>
      </w:r>
    </w:p>
    <w:p>
      <w:pPr>
        <w:spacing w:after="80"/>
        <w:ind w:left="510" w:hanging="510"/>
        <w:jc w:val="left"/>
      </w:pPr>
      <w:r>
        <w:t>3.</w:t>
        <w:tab/>
      </w:r>
      <w:r>
        <w:rPr>
          <w:b/>
        </w:rPr>
        <w:t>Con plan cargado, «vencido» lo define el plan y no el umbral de la regla.</w:t>
      </w:r>
      <w:r>
        <w:t xml:space="preserve"> Es el cambio de fondo del primer módulo y se decidió explícitamente: un equipo con el preventivo agendado para la semana que viene no es un equipo descuidado, aunque hayan pasado 250 días del anterior. El umbral queda para los equipos sin plan y para pesar el atraso.</w:t>
      </w:r>
    </w:p>
    <w:p>
      <w:pPr>
        <w:spacing w:after="80"/>
        <w:ind w:left="510" w:hanging="510"/>
        <w:jc w:val="left"/>
      </w:pPr>
      <w:r>
        <w:t>4.</w:t>
        <w:tab/>
      </w:r>
      <w:r>
        <w:rPr>
          <w:b/>
        </w:rPr>
        <w:t>El comprobante no pretende ser fiscal.</w:t>
      </w:r>
      <w:r>
        <w:t xml:space="preserve"> No hay CAE ni integración con AFIP, y por eso la entidad se llama </w:t>
      </w:r>
      <w:r>
        <w:rPr>
          <w:rFonts w:ascii="Consolas" w:hAnsi="Consolas" w:eastAsia="Consolas"/>
          <w:sz w:val="21"/>
        </w:rPr>
        <w:t>Comprobante</w:t>
      </w:r>
      <w:r>
        <w:t xml:space="preserve"> y no </w:t>
      </w:r>
      <w:r>
        <w:rPr>
          <w:rFonts w:ascii="Consolas" w:hAnsi="Consolas" w:eastAsia="Consolas"/>
          <w:sz w:val="21"/>
        </w:rPr>
        <w:t>Factura</w:t>
      </w:r>
      <w:r>
        <w:t>. Declararlo es preferible a un módulo que aparenta lo que no hace.</w:t>
      </w:r>
    </w:p>
    <w:p>
      <w:pPr>
        <w:spacing w:after="80"/>
        <w:ind w:left="510" w:hanging="510"/>
        <w:jc w:val="left"/>
      </w:pPr>
      <w:r>
        <w:t>5.</w:t>
        <w:tab/>
      </w:r>
      <w:r>
        <w:rPr>
          <w:b/>
        </w:rPr>
        <w:t>Las pruebas se escribieron antes del cambio de la regla, y se comprobó que fallaran.</w:t>
      </w:r>
      <w:r>
        <w:t xml:space="preserve"> Seis pruebas, dos en rojo sobre el código viejo. Una prueba que nunca se vio fallar no prueba nada.</w:t>
      </w:r>
    </w:p>
    <w:p>
      <w:pPr>
        <w:pStyle w:val="Heading3"/>
      </w:pPr>
      <w:r>
        <w:rPr>
          <w:rFonts w:ascii="Calibri" w:hAnsi="Calibri" w:eastAsia="Calibri"/>
        </w:rPr>
        <w:t>Qué se corrigió de lo producido</w:t>
      </w:r>
    </w:p>
    <w:p>
      <w:r>
        <w:rPr>
          <w:b/>
        </w:rPr>
        <w:t>Un defecto de diseño de base propio, encontrado usando el sistema.</w:t>
      </w:r>
      <w:r>
        <w:t xml:space="preserve"> La unicidad del correlativo del comprobante estaba escrita como </w:t>
      </w:r>
      <w:r>
        <w:rPr>
          <w:rFonts w:ascii="Consolas" w:hAnsi="Consolas" w:eastAsia="Consolas"/>
          <w:sz w:val="21"/>
        </w:rPr>
        <w:t>UNIQUE (id_organizacion, numero)</w:t>
      </w:r>
      <w:r>
        <w:t xml:space="preserve">, con </w:t>
      </w:r>
      <w:r>
        <w:rPr>
          <w:rFonts w:ascii="Consolas" w:hAnsi="Consolas" w:eastAsia="Consolas"/>
          <w:sz w:val="21"/>
        </w:rPr>
        <w:t>numero</w:t>
      </w:r>
      <w:r>
        <w:t xml:space="preserve"> nulo mientras el comprobante es borrador. SQL Server trata el </w:t>
      </w:r>
      <w:r>
        <w:rPr>
          <w:rFonts w:ascii="Consolas" w:hAnsi="Consolas" w:eastAsia="Consolas"/>
          <w:sz w:val="21"/>
        </w:rPr>
        <w:t>NULL</w:t>
      </w:r>
      <w:r>
        <w:t xml:space="preserve"> como un valor más en una restricción de unicidad, así que la organización admitía </w:t>
      </w:r>
      <w:r>
        <w:rPr>
          <w:b/>
        </w:rPr>
        <w:t>un solo borrador</w:t>
      </w:r>
      <w:r>
        <w:t xml:space="preserve"> y el segundo fallaba con un error del motor. Apareció al facturar dos meses seguidos a mano, no en las pruebas: los dobles no reproducen una restricción que vive en la base. Se corrigió con un índice único filtrado y quedó una prueba de integración que lo cubre.</w:t>
      </w:r>
    </w:p>
    <w:p>
      <w:r>
        <w:rPr>
          <w:b/>
        </w:rPr>
        <w:t>Una prueba intermitente que se persiguió en lugar de darla por ruido.</w:t>
      </w:r>
      <w:r>
        <w:t xml:space="preserve"> El CP-15 falló una vez y no volvió a fallar en quince corridas. El asiento de bitácora se hace dentro de un </w:t>
      </w:r>
      <w:r>
        <w:rPr>
          <w:rFonts w:ascii="Consolas" w:hAnsi="Consolas" w:eastAsia="Consolas"/>
          <w:sz w:val="21"/>
        </w:rPr>
        <w:t>catch</w:t>
      </w:r>
      <w:r>
        <w:t xml:space="preserve"> que se traga cualquier excepción —a propósito: no se aborta el alta de un equipo porque no se pudo escribir el log—, y sin reintento eso convierte un fallo pasajero de la base en un agujero de auditoría silencioso, justo en los momentos de más concurrencia, que son los que más se auditan. Se agregó el reintento con sus tres pruebas.</w:t>
      </w:r>
    </w:p>
    <w:p>
      <w:r>
        <w:rPr>
          <w:b/>
        </w:rPr>
        <w:t>Dos defectos de interfaz encontrados mirando las capturas.</w:t>
      </w:r>
      <w:r>
        <w:t xml:space="preserve"> El menú lateral marcaba «Mantenimientos» y «Agenda» a la vez, porque una ruta es prefijo de la otra; poner </w:t>
      </w:r>
      <w:r>
        <w:rPr>
          <w:rFonts w:ascii="Consolas" w:hAnsi="Consolas" w:eastAsia="Consolas"/>
          <w:sz w:val="21"/>
        </w:rPr>
        <w:t>end</w:t>
      </w:r>
      <w:r>
        <w:t xml:space="preserve"> en todos los ítems rompía el caso contrario —en la ficha de un equipo el menú dejaba de señalar dónde estaba uno—, así que se resolvió con la coincidencia más específica y cuatro pruebas. Y el alcance de un plan por tipo decía «Todos los Servidor»: los nombres de los tipos salen de un catálogo que carga el usuario, así que no se puede concordar con ellos.</w:t>
      </w:r>
    </w:p>
    <w:p>
      <w:pPr>
        <w:pStyle w:val="Heading3"/>
      </w:pPr>
      <w:r>
        <w:rPr>
          <w:rFonts w:ascii="Calibri" w:hAnsi="Calibri" w:eastAsia="Calibri"/>
        </w:rPr>
        <w:t>Verificación</w:t>
      </w:r>
    </w:p>
    <w:p>
      <w:r>
        <w:t>Las reglas del ciclo del comprobante contra dobles; el SQL contra la base real en cuatro pruebas de integración; y los dos módulos probados a mano sobre el sistema corriendo, que es donde aparecieron dos de los tres defectos de arriba. Las dos afirmaciones que importaban del motor predictivo se comprobaron sobre datos reales y no sólo con dobles: un equipo con el trabajo vencido pasa a decir la fecha agendada y los días de atraso, y otro con 250 días desde el último preventivo pero con el próximo agendado deja de figurar como vencido.</w:t>
      </w:r>
    </w:p>
    <w:p>
      <w:pPr>
        <w:pStyle w:val="Heading2"/>
        <w:pBdr>
          <w:bottom w:val="single" w:sz="6" w:space="6" w:color="2F5496"/>
        </w:pBdr>
        <w:spacing w:before="440"/>
      </w:pPr>
      <w:r>
        <w:rPr>
          <w:rFonts w:ascii="Calibri" w:hAnsi="Calibri" w:eastAsia="Calibri"/>
          <w:color w:val="2F5496"/>
        </w:rPr>
        <w:t>E-11 · El frontend se rehace contra el prototipo</w:t>
      </w:r>
    </w:p>
    <w:p>
      <w:r>
        <w:rPr>
          <w:b/>
        </w:rPr>
        <w:t>Fecha:</w:t>
      </w:r>
      <w:r>
        <w:t xml:space="preserve"> 15/09/2026 · </w:t>
      </w:r>
      <w:r>
        <w:rPr>
          <w:b/>
        </w:rPr>
        <w:t>Herramientas:</w:t>
      </w:r>
      <w:r>
        <w:t xml:space="preserve"> Claude Code y la skill</w:t>
      </w:r>
    </w:p>
    <w:p>
      <w:r>
        <w:rPr>
          <w:rFonts w:ascii="Consolas" w:hAnsi="Consolas" w:eastAsia="Consolas"/>
          <w:sz w:val="21"/>
        </w:rPr>
        <w:t>ui-ux-pro-max</w:t>
      </w:r>
      <w:r>
        <w:t xml:space="preserve"> (nextlevelbuilder, MIT), instalada fuera del repositorio</w:t>
      </w:r>
    </w:p>
    <w:p>
      <w:pPr>
        <w:pStyle w:val="Heading3"/>
      </w:pPr>
      <w:r>
        <w:rPr>
          <w:rFonts w:ascii="Calibri" w:hAnsi="Calibri" w:eastAsia="Calibri"/>
        </w:rPr>
        <w:t>Tareas</w:t>
      </w:r>
    </w:p>
    <w:p>
      <w:r>
        <w:t xml:space="preserve">Llevar la interfaz a </w:t>
      </w:r>
      <w:r>
        <w:rPr>
          <w:rFonts w:ascii="Consolas" w:hAnsi="Consolas" w:eastAsia="Consolas"/>
          <w:sz w:val="21"/>
        </w:rPr>
        <w:t>docs/design/prototipo-completo.html</w:t>
      </w:r>
      <w:r>
        <w:t>, en incrementos con su verificación: la capa de tokens, el armazón de la aplicación, los contadores de la navegación —que necesitaron endpoint propio— y las tablas y formularios.</w:t>
      </w:r>
    </w:p>
    <w:p>
      <w:pPr>
        <w:pStyle w:val="Heading3"/>
      </w:pPr>
      <w:r>
        <w:rPr>
          <w:rFonts w:ascii="Calibri" w:hAnsi="Calibri" w:eastAsia="Calibri"/>
        </w:rPr>
        <w:t>Sobre la segunda herramienta, que es lo nuevo de esta entrada</w:t>
      </w:r>
    </w:p>
    <w:p>
      <w:r>
        <w:rPr>
          <w:rFonts w:ascii="Consolas" w:hAnsi="Consolas" w:eastAsia="Consolas"/>
          <w:sz w:val="21"/>
        </w:rPr>
        <w:t>ui-ux-pro-max</w:t>
      </w:r>
      <w:r>
        <w:t xml:space="preserve"> es una base de datos consultable de criterios de diseño: 79 estilos, 192 paletas, 74 pares tipográficos y 119 reglas de UX con su fuente —Material Design, Apple HIG, WCAG— y su severidad. No genera el código del sistema: produce HTML con Tailwind, que este proyecto no usa.</w:t>
      </w:r>
    </w:p>
    <w:p>
      <w:r>
        <w:rPr>
          <w:b/>
        </w:rPr>
        <w:t>Se usó como lista de control y no como generador.</w:t>
      </w:r>
      <w:r>
        <w:t xml:space="preserve"> Se instaló en el perfil del usuario y no en el repositorio, así que no forma parte del entregable; queda asentada acá porque influyó en el resultado, que es lo que esta bitácora tiene que poder decir.</w:t>
      </w:r>
    </w:p>
    <w:p>
      <w:r>
        <w:t>Antes de instalarla se leyeron sus scripts, porque los ejecuta la herramienta asistente: usan sólo biblioteca estándar de Python, sin red ni subprocesos. De las siete skills que trae el repositorio se copió una sola; las otras seis —logotipos, banners, identidad corporativa— no tienen que ver con el sistema y una de ellas llama APIs de imágenes de terceros.</w:t>
      </w:r>
    </w:p>
    <w:p>
      <w:pPr>
        <w:pStyle w:val="Heading3"/>
      </w:pPr>
      <w:r>
        <w:rPr>
          <w:rFonts w:ascii="Calibri" w:hAnsi="Calibri" w:eastAsia="Calibri"/>
        </w:rPr>
        <w:t>Qué se aceptó</w:t>
      </w:r>
    </w:p>
    <w:p>
      <w:r>
        <w:t xml:space="preserve">De sus 48 reglas de severidad alta, la mayoría ya estaba cubierta y eso también es un resultado: esqueletos de carga con </w:t>
      </w:r>
      <w:r>
        <w:rPr>
          <w:rFonts w:ascii="Consolas" w:hAnsi="Consolas" w:eastAsia="Consolas"/>
          <w:sz w:val="21"/>
        </w:rPr>
        <w:t>role="status"</w:t>
      </w:r>
      <w:r>
        <w:t xml:space="preserve">, errores con </w:t>
      </w:r>
      <w:r>
        <w:rPr>
          <w:rFonts w:ascii="Consolas" w:hAnsi="Consolas" w:eastAsia="Consolas"/>
          <w:sz w:val="21"/>
        </w:rPr>
        <w:t>role="alert"</w:t>
      </w:r>
      <w:r>
        <w:t xml:space="preserve">, estados vacíos con su acción, contraste AA verificado por script, </w:t>
      </w:r>
      <w:r>
        <w:rPr>
          <w:rFonts w:ascii="Consolas" w:hAnsi="Consolas" w:eastAsia="Consolas"/>
          <w:sz w:val="21"/>
        </w:rPr>
        <w:t>prefers-reduced-motion</w:t>
      </w:r>
      <w:r>
        <w:t xml:space="preserve"> respetado, y el contenido generado por IA rotulado como tal.</w:t>
      </w:r>
    </w:p>
    <w:p>
      <w:r>
        <w:t xml:space="preserve">Una no lo estaba, y es la que justificó la herramienta: </w:t>
      </w:r>
      <w:r>
        <w:rPr>
          <w:b/>
        </w:rPr>
        <w:t>el campo rechazado por el servidor no estaba enlazado con el mensaje que lo explica</w:t>
      </w:r>
      <w:r>
        <w:t>. En pantalla se veía el borde rojo y el texto debajo, así que parecía resuelto; lo que faltaba —</w:t>
      </w:r>
      <w:r>
        <w:rPr>
          <w:rFonts w:ascii="Consolas" w:hAnsi="Consolas" w:eastAsia="Consolas"/>
          <w:sz w:val="21"/>
        </w:rPr>
        <w:t>aria-invalid</w:t>
      </w:r>
      <w:r>
        <w:t xml:space="preserve"> y </w:t>
      </w:r>
      <w:r>
        <w:rPr>
          <w:rFonts w:ascii="Consolas" w:hAnsi="Consolas" w:eastAsia="Consolas"/>
          <w:sz w:val="21"/>
        </w:rPr>
        <w:t>aria-describedby</w:t>
      </w:r>
      <w:r>
        <w:t>— no se ve. Quien usa un lector de pantalla llegaba al campo, lo oía como cualquier otro, y el motivo quedaba suelto sin dueño.</w:t>
      </w:r>
    </w:p>
    <w:p>
      <w:pPr>
        <w:pStyle w:val="Heading3"/>
      </w:pPr>
      <w:r>
        <w:rPr>
          <w:rFonts w:ascii="Calibri" w:hAnsi="Calibri" w:eastAsia="Calibri"/>
        </w:rPr>
        <w:t>Qué decidió el autor</w:t>
      </w:r>
    </w:p>
    <w:p>
      <w:r>
        <w:rPr>
          <w:b/>
        </w:rPr>
        <w:t>Dónde vive la herramienta.</w:t>
      </w:r>
      <w:r>
        <w:t xml:space="preserve"> Se instaló en el perfil y no en el repositorio: el entregable no se llena de archivos de terceros, y la trazabilidad se resuelve con esta entrada y no con 3,7 MB de CSV versionados.</w:t>
      </w:r>
    </w:p>
    <w:p>
      <w:r>
        <w:rPr>
          <w:b/>
        </w:rPr>
        <w:t>Qué del prototipo no se implementa.</w:t>
      </w:r>
      <w:r>
        <w:t xml:space="preserve"> La maqueta trae una barra superior para cambiar de rol, de tema y de densidad. Existe para poder mostrar las variantes en un HTML suelto; en el sistema el rol lo da la sesión y el tema y la densidad viven en Apariencia, así que esa barra no se construye.</w:t>
      </w:r>
    </w:p>
    <w:p>
      <w:r>
        <w:rPr>
          <w:b/>
        </w:rPr>
        <w:t>El prototipo no manda sobre el RNF-07.</w:t>
      </w:r>
      <w:r>
        <w:t xml:space="preserve"> Tres de sus pares de color no llegaban al piso de contraste de la WCAG AA. Se corrigieron moviendo sólo la luminosidad y dejando el tono, que es lo que el prototipo quería decir.</w:t>
      </w:r>
    </w:p>
    <w:p>
      <w:pPr>
        <w:pStyle w:val="Heading3"/>
      </w:pPr>
      <w:r>
        <w:rPr>
          <w:rFonts w:ascii="Calibri" w:hAnsi="Calibri" w:eastAsia="Calibri"/>
        </w:rPr>
        <w:t>Qué se corrigió de lo producido</w:t>
      </w:r>
    </w:p>
    <w:p>
      <w:pPr>
        <w:pStyle w:val="ListBullet"/>
      </w:pPr>
      <w:r>
        <w:t xml:space="preserve">El </w:t>
      </w:r>
      <w:r>
        <w:rPr>
          <w:rFonts w:ascii="Consolas" w:hAnsi="Consolas" w:eastAsia="Consolas"/>
          <w:sz w:val="21"/>
        </w:rPr>
        <w:t>--fuente-mono</w:t>
      </w:r>
      <w:r>
        <w:t xml:space="preserve"> de la capa de tokens apuntaba a Cascadia Mono mientras el </w:t>
      </w:r>
      <w:r>
        <w:rPr>
          <w:rFonts w:ascii="Consolas" w:hAnsi="Consolas" w:eastAsia="Consolas"/>
          <w:sz w:val="21"/>
        </w:rPr>
        <w:t>index.html</w:t>
      </w:r>
      <w:r>
        <w:t xml:space="preserve"> descargaba IBM Plex Mono. La fuente se bajaba en cada carga y el navegador dibujaba con otra.</w:t>
      </w:r>
    </w:p>
    <w:p>
      <w:pPr>
        <w:pStyle w:val="ListBullet"/>
      </w:pPr>
      <w:r>
        <w:rPr>
          <w:rFonts w:ascii="Consolas" w:hAnsi="Consolas" w:eastAsia="Consolas"/>
          <w:sz w:val="21"/>
        </w:rPr>
        <w:t>_a-pdf.py</w:t>
      </w:r>
      <w:r>
        <w:t xml:space="preserve"> buscaba los </w:t>
      </w:r>
      <w:r>
        <w:rPr>
          <w:rFonts w:ascii="Consolas" w:hAnsi="Consolas" w:eastAsia="Consolas"/>
          <w:sz w:val="21"/>
        </w:rPr>
        <w:t>.docx</w:t>
      </w:r>
      <w:r>
        <w:t xml:space="preserve"> de las entregas parciales en dos carpetas que dejaron de existir al ordenar las entregas dentro de </w:t>
      </w:r>
      <w:r>
        <w:rPr>
          <w:rFonts w:ascii="Consolas" w:hAnsi="Consolas" w:eastAsia="Consolas"/>
          <w:sz w:val="21"/>
        </w:rPr>
        <w:t>ENTREGABLES</w:t>
      </w:r>
      <w:r>
        <w:t>. Devolvía cero archivos sin avisar, y cuatro PDF se venían entregando viejos. Lo levantó el control de alineación, no la herramienta.</w:t>
      </w:r>
    </w:p>
    <w:p>
      <w:pPr>
        <w:pStyle w:val="ListBullet"/>
      </w:pPr>
      <w:r>
        <w:t xml:space="preserve">La primera versión de la prueba del contador de navegación comparaba el número del solicitante contra el del administrador. Pasaba sola y fallaba en la suite completa: dependía de cuántas incidencias tuviera el seed en ese momento. Se reescribió comparando el contador contra el listado que </w:t>
      </w:r>
      <w:r>
        <w:rPr>
          <w:b/>
        </w:rPr>
        <w:t>esa misma persona</w:t>
      </w:r>
      <w:r>
        <w:t xml:space="preserve"> ve, que es lo que la prueba quería afirmar.</w:t>
      </w:r>
    </w:p>
    <w:p>
      <w:pPr>
        <w:pStyle w:val="Heading3"/>
      </w:pPr>
      <w:r>
        <w:rPr>
          <w:rFonts w:ascii="Calibri" w:hAnsi="Calibri" w:eastAsia="Calibri"/>
        </w:rPr>
        <w:t>Verificación</w:t>
      </w:r>
    </w:p>
    <w:p>
      <w:r>
        <w:t xml:space="preserve">Cada incremento con su contraste verificado por </w:t>
      </w:r>
      <w:r>
        <w:rPr>
          <w:rFonts w:ascii="Consolas" w:hAnsi="Consolas" w:eastAsia="Consolas"/>
          <w:sz w:val="21"/>
        </w:rPr>
        <w:t>_contraste.py</w:t>
      </w:r>
      <w:r>
        <w:t xml:space="preserve">, sus pruebas en verde y los 18 controles de </w:t>
      </w:r>
      <w:r>
        <w:rPr>
          <w:rFonts w:ascii="Consolas" w:hAnsi="Consolas" w:eastAsia="Consolas"/>
          <w:sz w:val="21"/>
        </w:rPr>
        <w:t>_verificar-alineacion.py</w:t>
      </w:r>
      <w:r>
        <w:t>. Las guardas nuevas se comprobaron en rojo antes de darlas por buenas: se quitó el recorte por usuario del contador y se quitó el enlace entre campo y mensaje, y en los dos casos la prueba correspondiente falló.</w:t>
      </w:r>
    </w:p>
    <w:p>
      <w:pPr>
        <w:pStyle w:val="Heading2"/>
        <w:pBdr>
          <w:bottom w:val="single" w:sz="6" w:space="6" w:color="2F5496"/>
        </w:pBdr>
        <w:spacing w:before="440"/>
      </w:pPr>
      <w:r>
        <w:rPr>
          <w:rFonts w:ascii="Calibri" w:hAnsi="Calibri" w:eastAsia="Calibri"/>
          <w:color w:val="2F5496"/>
        </w:rPr>
        <w:t>Qué no se delegó</w:t>
      </w:r>
    </w:p>
    <w:p>
      <w:r>
        <w:t>Queda explícito, porque delimita el aporte propio del trabajo:</w:t>
      </w:r>
    </w:p>
    <w:p>
      <w:pPr>
        <w:pStyle w:val="ListBullet"/>
      </w:pPr>
      <w:r>
        <w:rPr>
          <w:b/>
        </w:rPr>
        <w:t>Las decisiones de arquitectura.</w:t>
      </w:r>
      <w:r>
        <w:t xml:space="preserve"> La herramienta aportó alternativas y consecuencias; la elección y su justificación son del autor y están firmadas en los ADR.</w:t>
      </w:r>
    </w:p>
    <w:p>
      <w:pPr>
        <w:pStyle w:val="ListBullet"/>
      </w:pPr>
      <w:r>
        <w:rPr>
          <w:b/>
        </w:rPr>
        <w:t>La definición del alcance.</w:t>
      </w:r>
      <w:r>
        <w:t xml:space="preserve"> Qué entra y qué no —en particular el alcance de la IA— lo definió el autor, descartando ampliaciones propuestas.</w:t>
      </w:r>
    </w:p>
    <w:p>
      <w:pPr>
        <w:pStyle w:val="ListBullet"/>
      </w:pPr>
      <w:r>
        <w:rPr>
          <w:b/>
        </w:rPr>
        <w:t>La validación.</w:t>
      </w:r>
      <w:r>
        <w:t xml:space="preserve"> Ninguna propuesta se dio por buena por parecer correcta: los scripts se ejecutan, las pruebas corren, y los defectos encontrados están asentados arriba.</w:t>
      </w:r>
    </w:p>
    <w:p>
      <w:pPr>
        <w:pStyle w:val="ListBullet"/>
      </w:pPr>
      <w:r>
        <w:rPr>
          <w:b/>
        </w:rPr>
        <w:t>El criterio sobre el resultado.</w:t>
      </w:r>
      <w:r>
        <w:t xml:space="preserve"> El caso del diseño de interfaz es el ejemplo: la salida de la herramienta se evaluó y se descartó.</w:t>
      </w:r>
    </w:p>
    <w:p>
      <w:r>
        <w:br w:type="page"/>
      </w:r>
    </w:p>
    <w:p>
      <w:pPr>
        <w:pStyle w:val="Heading1"/>
        <w:pBdr>
          <w:bottom w:val="single" w:sz="6" w:space="6" w:color="2F5496"/>
        </w:pBdr>
      </w:pPr>
      <w:r>
        <w:rPr>
          <w:rFonts w:ascii="Calibri" w:hAnsi="Calibri" w:eastAsia="Calibri"/>
        </w:rPr>
        <w:t>Anexo B · Prompts críticos y validación técnica</w:t>
      </w:r>
    </w:p>
    <w:p>
      <w:r>
        <w:t>Registro de las consultas asistidas por IA que afectaron decisiones de arquitectura o algoritmos del sistema, y del proceso por el cual cada propuesta se aceptó o se descartó.</w:t>
      </w:r>
    </w:p>
    <w:p>
      <w:r>
        <w:t xml:space="preserve">Complementa </w:t>
      </w:r>
      <w:r>
        <w:rPr>
          <w:rFonts w:ascii="Consolas" w:hAnsi="Consolas" w:eastAsia="Consolas"/>
          <w:sz w:val="21"/>
        </w:rPr>
        <w:t>AI-USAGE-LOG.md</w:t>
      </w:r>
      <w:r>
        <w:t>, que registra el uso general de herramientas. Acá va el detalle de las consultas que cambiaron el diseño.</w:t>
      </w:r>
    </w:p>
    <w:p>
      <w:pPr>
        <w:pStyle w:val="Heading2"/>
        <w:pBdr>
          <w:bottom w:val="single" w:sz="6" w:space="6" w:color="2F5496"/>
        </w:pBdr>
        <w:spacing w:before="440"/>
      </w:pPr>
      <w:r>
        <w:rPr>
          <w:rFonts w:ascii="Calibri" w:hAnsi="Calibri" w:eastAsia="Calibri"/>
          <w:color w:val="2F5496"/>
        </w:rPr>
        <w:t>Método de consulta</w:t>
      </w:r>
    </w:p>
    <w:p>
      <w:r>
        <w:t xml:space="preserve">Las consultas de arquitectura se estructuran con el </w:t>
      </w:r>
      <w:r>
        <w:rPr>
          <w:b/>
        </w:rPr>
        <w:t>modelo C4 de prompts</w:t>
      </w:r>
      <w:r>
        <w:t>:</w:t>
      </w:r>
    </w:p>
    <w:tbl>
      <w:tblPr>
        <w:tblW w:type="auto" w:w="0"/>
        <w:jc w:val="center"/>
        <w:tblLook w:firstColumn="1" w:firstRow="1" w:lastColumn="0" w:lastRow="0" w:noHBand="0" w:noVBand="1" w:val="04A0"/>
      </w:tblPr>
      <w:tblGrid>
        <w:gridCol w:w="4680"/>
        <w:gridCol w:w="4680"/>
      </w:tblGrid>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C1 · Contexto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Escenario, dominio y volumen esperado.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C2 · Constraints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Restricciones técnicas, infraestructura, tiempos, tecnologías predefinidas.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C3 · Criterio</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 xml:space="preserve">Atributos de calidad prioritarios para </w:t>
            </w:r>
            <w:r>
              <w:rPr>
                <w:rFonts w:ascii="Calibri" w:hAnsi="Calibri" w:eastAsia="Calibri"/>
                <w:i/>
                <w:sz w:val="20"/>
              </w:rPr>
              <w:t>esta</w:t>
            </w:r>
            <w:r>
              <w:rPr>
                <w:rFonts w:ascii="Calibri" w:hAnsi="Calibri" w:eastAsia="Calibri"/>
                <w:sz w:val="20"/>
              </w:rPr>
              <w:t xml:space="preserve"> decisión.</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C4 · Output</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Formato exacto de respuesta esperado.</w:t>
            </w:r>
          </w:p>
        </w:tc>
      </w:tr>
    </w:tbl>
    <w:p>
      <w:pPr>
        <w:spacing w:after="80"/>
      </w:pPr>
    </w:p>
    <w:p>
      <w:r>
        <w:t>Y se aplican tres patrones según el tipo de decisión:</w:t>
      </w:r>
    </w:p>
    <w:p>
      <w:pPr>
        <w:pStyle w:val="ListBullet"/>
      </w:pPr>
      <w:r>
        <w:rPr>
          <w:b/>
        </w:rPr>
        <w:t>Patrón A — Análisis de compromisos.</w:t>
      </w:r>
      <w:r>
        <w:t xml:space="preserve"> Nunca pedir una única solución: forzar la comparación de alternativas bajo atributos de calidad explícitos, con tabla matricial y recomendación justificada.</w:t>
      </w:r>
    </w:p>
    <w:p>
      <w:pPr>
        <w:pStyle w:val="ListBullet"/>
      </w:pPr>
      <w:r>
        <w:rPr>
          <w:b/>
        </w:rPr>
        <w:t>Patrón B — Abogado del diablo.</w:t>
      </w:r>
      <w:r>
        <w:t xml:space="preserve"> Antes de implementar, pedir la auditoría del diseño propio: puntos únicos de falla, cuellos de botella bajo carga incrementada y acoplamientos no deseados, con mitigación por patrones de resiliencia.</w:t>
      </w:r>
    </w:p>
    <w:p>
      <w:pPr>
        <w:pStyle w:val="ListBullet"/>
      </w:pPr>
      <w:r>
        <w:rPr>
          <w:b/>
        </w:rPr>
        <w:t>Patrón C — Registro de decisiones.</w:t>
      </w:r>
      <w:r>
        <w:t xml:space="preserve"> Formalizar la decisión resultante como ADR en formato Nygard.</w:t>
      </w:r>
    </w:p>
    <w:p>
      <w:pPr>
        <w:spacing w:before="120" w:after="200"/>
        <w:ind w:left="397"/>
        <w:pBdr>
          <w:left w:val="single" w:sz="18" w:space="10" w:color="2F5496"/>
        </w:pBdr>
      </w:pPr>
      <w:r>
        <w:rPr>
          <w:b/>
          <w:i/>
          <w:color w:val="444444"/>
        </w:rPr>
        <w:t>Sobre la forma de este registro.</w:t>
      </w:r>
      <w:r>
        <w:rPr>
          <w:i/>
          <w:color w:val="444444"/>
        </w:rPr>
        <w:t xml:space="preserve"> Las consultas se sostuvieron de manera</w:t>
      </w:r>
    </w:p>
    <w:p>
      <w:pPr>
        <w:spacing w:before="120" w:after="200"/>
        <w:ind w:left="397"/>
        <w:pBdr>
          <w:left w:val="single" w:sz="18" w:space="10" w:color="2F5496"/>
        </w:pBdr>
      </w:pPr>
      <w:r>
        <w:rPr>
          <w:i/>
          <w:color w:val="444444"/>
        </w:rPr>
        <w:t>conversacional. Acá se documentan en forma estandarizada C4 para que sean</w:t>
      </w:r>
    </w:p>
    <w:p>
      <w:pPr>
        <w:spacing w:before="120" w:after="200"/>
        <w:ind w:left="397"/>
        <w:pBdr>
          <w:left w:val="single" w:sz="18" w:space="10" w:color="2F5496"/>
        </w:pBdr>
      </w:pPr>
      <w:r>
        <w:rPr>
          <w:i/>
          <w:color w:val="444444"/>
        </w:rPr>
        <w:t>comparables y reproducibles; el contenido —contexto, restricciones, criterios,</w:t>
      </w:r>
    </w:p>
    <w:p>
      <w:pPr>
        <w:spacing w:before="120" w:after="200"/>
        <w:ind w:left="397"/>
        <w:pBdr>
          <w:left w:val="single" w:sz="18" w:space="10" w:color="2F5496"/>
        </w:pBdr>
      </w:pPr>
      <w:r>
        <w:rPr>
          <w:i/>
          <w:color w:val="444444"/>
        </w:rPr>
        <w:t>alternativas evaluadas y validación— es el que efectivamente se manejó. De aquí en</w:t>
      </w:r>
    </w:p>
    <w:p>
      <w:pPr>
        <w:spacing w:before="120" w:after="200"/>
        <w:ind w:left="397"/>
        <w:pBdr>
          <w:left w:val="single" w:sz="18" w:space="10" w:color="2F5496"/>
        </w:pBdr>
      </w:pPr>
      <w:r>
        <w:rPr>
          <w:i/>
          <w:color w:val="444444"/>
        </w:rPr>
        <w:t>adelante las consultas de arquitectura se emiten directamente en este formato.</w:t>
      </w:r>
    </w:p>
    <w:p>
      <w:pPr>
        <w:pStyle w:val="Heading2"/>
        <w:pBdr>
          <w:bottom w:val="single" w:sz="6" w:space="6" w:color="2F5496"/>
        </w:pBdr>
        <w:spacing w:before="440"/>
      </w:pPr>
      <w:r>
        <w:rPr>
          <w:rFonts w:ascii="Calibri" w:hAnsi="Calibri" w:eastAsia="Calibri"/>
          <w:color w:val="2F5496"/>
        </w:rPr>
        <w:t>PC-01 · Plataforma de desarrollo</w:t>
      </w:r>
    </w:p>
    <w:p>
      <w:r>
        <w:rPr>
          <w:b/>
        </w:rPr>
        <w:t>Patrón A</w:t>
      </w:r>
      <w:r>
        <w:t xml:space="preserve"> · Deriva en ADR 0002</w:t>
      </w:r>
    </w:p>
    <w:p>
      <w:r>
        <w:rPr>
          <w:b/>
        </w:rPr>
        <w:t>C1 · Contexto.</w:t>
      </w:r>
      <w:r>
        <w:t xml:space="preserve"> Sistema web de gestión y mantenimiento predictivo de activos informáticos para PyMEs. Volumen esperado: hasta 500 activos y 5000 incidencias por organización, decenas de usuarios concurrentes, sin picos significativos.</w:t>
      </w:r>
    </w:p>
    <w:p>
      <w:r>
        <w:rPr>
          <w:b/>
        </w:rPr>
        <w:t>C2 · Constraints.</w:t>
      </w:r>
      <w:r>
        <w:t xml:space="preserve"> El documento del TFI fija Java / Spring Boot / MySQL, pero esa definición no responde a ninguna restricción real. Existe un proyecto propio de referencia en C# con el modelo de capas que evalúa la cátedra. El sistema se defiende oralmente. No hay infraestructura preexistente.</w:t>
      </w:r>
    </w:p>
    <w:p>
      <w:r>
        <w:rPr>
          <w:b/>
        </w:rPr>
        <w:t>C3 · Criterio.</w:t>
      </w:r>
      <w:r>
        <w:t xml:space="preserve"> Correspondencia con el modelo de capas evaluado · capacidad del autor de sostener el código en la defensa · reutilización del andamiaje existente · costo de licencia.</w:t>
      </w:r>
    </w:p>
    <w:p>
      <w:r>
        <w:rPr>
          <w:b/>
        </w:rPr>
        <w:t>C4 · Output.</w:t>
      </w:r>
      <w:r>
        <w:t xml:space="preserve"> Tabla comparativa de tres alternativas bajo esos criterios, con recomendación justificada y consecuencias negativas de cada una.</w:t>
      </w:r>
    </w:p>
    <w:p>
      <w:r>
        <w:rPr>
          <w:b/>
        </w:rPr>
        <w:t>Validación.</w:t>
      </w:r>
      <w:r>
        <w:t xml:space="preserve"> Se leyó el código fuente del proyecto de referencia para confirmar que los patrones estaban efectivamente implementados y eran portables, en lugar de asumirlo desde su documentación. Se verificó que ningún requerimiento no funcional del documento (RNF-01 a RNF-07) dependiera de la plataforma.</w:t>
      </w:r>
    </w:p>
    <w:p>
      <w:r>
        <w:rPr>
          <w:b/>
        </w:rPr>
        <w:t>Resultado.</w:t>
      </w:r>
      <w:r>
        <w:t xml:space="preserve"> Aceptada la alternativa C# / ASP.NET Core. </w:t>
      </w:r>
      <w:r>
        <w:rPr>
          <w:b/>
        </w:rPr>
        <w:t>Decisión del autor</w:t>
      </w:r>
      <w:r>
        <w:t>, apartándose de lo que fija el documento.</w:t>
      </w:r>
    </w:p>
    <w:p>
      <w:pPr>
        <w:pStyle w:val="Heading2"/>
        <w:pBdr>
          <w:bottom w:val="single" w:sz="6" w:space="6" w:color="2F5496"/>
        </w:pBdr>
        <w:spacing w:before="440"/>
      </w:pPr>
      <w:r>
        <w:rPr>
          <w:rFonts w:ascii="Calibri" w:hAnsi="Calibri" w:eastAsia="Calibri"/>
          <w:color w:val="2F5496"/>
        </w:rPr>
        <w:t>PC-02 · Persistencia y acceso a datos</w:t>
      </w:r>
    </w:p>
    <w:p>
      <w:r>
        <w:rPr>
          <w:b/>
        </w:rPr>
        <w:t>Patrón A</w:t>
      </w:r>
      <w:r>
        <w:t xml:space="preserve"> · Deriva en ADR 0003 y ADR 0004</w:t>
      </w:r>
    </w:p>
    <w:p>
      <w:r>
        <w:rPr>
          <w:b/>
        </w:rPr>
        <w:t>C1 · Contexto.</w:t>
      </w:r>
      <w:r>
        <w:t xml:space="preserve"> El DER del documento ya separa negocio de servicio en dos diagramas. Hay que decidir si esa separación es física y con qué tecnología se accede.</w:t>
      </w:r>
    </w:p>
    <w:p>
      <w:r>
        <w:rPr>
          <w:b/>
        </w:rPr>
        <w:t>C2 · Constraints.</w:t>
      </w:r>
      <w:r>
        <w:t xml:space="preserve"> El Req. Arq. 002 exige bitácora inmutable y auditable. El Req. Arq. 003 exige respaldo y restauración. La cátedra evalúa la capa DAO y sus patrones.</w:t>
      </w:r>
    </w:p>
    <w:p>
      <w:r>
        <w:rPr>
          <w:b/>
        </w:rPr>
        <w:t>C3 · Criterio.</w:t>
      </w:r>
      <w:r>
        <w:t xml:space="preserve"> Aislamiento real entre dominio y seguridad · visibilidad de los patrones en el código · integridad referencial · costo de mantenimiento.</w:t>
      </w:r>
    </w:p>
    <w:p>
      <w:r>
        <w:rPr>
          <w:b/>
        </w:rPr>
        <w:t>C4 · Output.</w:t>
      </w:r>
      <w:r>
        <w:t xml:space="preserve"> Dos tablas comparativas —una por decisión— y el impacto de cada combinación sobre los requerimientos de arquitectura.</w:t>
      </w:r>
    </w:p>
    <w:p>
      <w:r>
        <w:rPr>
          <w:b/>
        </w:rPr>
        <w:t>Validación.</w:t>
      </w:r>
      <w:r>
        <w:t xml:space="preserve"> Se identificó que la combinación elegida </w:t>
      </w:r>
      <w:r>
        <w:rPr>
          <w:b/>
        </w:rPr>
        <w:t>pierde integridad referencial entre bases</w:t>
      </w:r>
      <w:r>
        <w:t xml:space="preserve"> y que las operaciones que tocan las dos no son atómicas. Se aceptó explícitamente ese costo y se definió la mitigación: baja lógica de usuarios, validación en BLL, y bitácora asentada después del commit de negocio. Ambas consecuencias están escritas en el ADR 0003 en lugar de omitirse.</w:t>
      </w:r>
    </w:p>
    <w:p>
      <w:r>
        <w:rPr>
          <w:b/>
        </w:rPr>
        <w:t>Resultado.</w:t>
      </w:r>
      <w:r>
        <w:t xml:space="preserve"> Aceptadas dos bases separadas y ADO.NET con DAO explícito. Descartado EF Core por vaciar de contenido la capa que se evalúa.</w:t>
      </w:r>
    </w:p>
    <w:p>
      <w:pPr>
        <w:pStyle w:val="Heading2"/>
        <w:pBdr>
          <w:bottom w:val="single" w:sz="6" w:space="6" w:color="2F5496"/>
        </w:pBdr>
        <w:spacing w:before="440"/>
      </w:pPr>
      <w:r>
        <w:rPr>
          <w:rFonts w:ascii="Calibri" w:hAnsi="Calibri" w:eastAsia="Calibri"/>
          <w:color w:val="2F5496"/>
        </w:rPr>
        <w:t>PC-03 · Alcance de la integración con IA</w:t>
      </w:r>
    </w:p>
    <w:p>
      <w:r>
        <w:rPr>
          <w:b/>
        </w:rPr>
        <w:t>Patrón A</w:t>
      </w:r>
      <w:r>
        <w:t xml:space="preserve"> · Deriva en ADR 0006</w:t>
      </w:r>
    </w:p>
    <w:p>
      <w:r>
        <w:rPr>
          <w:b/>
        </w:rPr>
        <w:t>C1 · Contexto.</w:t>
      </w:r>
      <w:r>
        <w:t xml:space="preserve"> El documento define la asignación de incidencias por IA (RF-08, CU-007) con comportamiento de respaldo ante falla (CP-14). El usuario final que reporta es no técnico y describe los problemas en lenguaje coloquial.</w:t>
      </w:r>
    </w:p>
    <w:p>
      <w:r>
        <w:rPr>
          <w:b/>
        </w:rPr>
        <w:t>C2 · Constraints.</w:t>
      </w:r>
      <w:r>
        <w:t xml:space="preserve"> No hay crédito de API disponible. El sistema tiene que poder demostrarse sin conexión. CP-14 exige poder provocar la caída del servicio de forma reproducible. No se entrenan modelos propios (declarado en 6.4.1).</w:t>
      </w:r>
    </w:p>
    <w:p>
      <w:r>
        <w:rPr>
          <w:b/>
        </w:rPr>
        <w:t>C3 · Criterio.</w:t>
      </w:r>
      <w:r>
        <w:t xml:space="preserve"> Demostrabilidad sin dependencias externas · determinismo de los casos de prueba · que la IA no quede en el camino crítico como punto de falla · que el resultado sea siempre corregible por una persona.</w:t>
      </w:r>
    </w:p>
    <w:p>
      <w:r>
        <w:rPr>
          <w:b/>
        </w:rPr>
        <w:t>C4 · Output.</w:t>
      </w:r>
      <w:r>
        <w:t xml:space="preserve"> Alternativas de integración con su impacto sobre la reproducibilidad de CP-14, y propuesta de contrato de la interfaz.</w:t>
      </w:r>
    </w:p>
    <w:p>
      <w:r>
        <w:rPr>
          <w:b/>
        </w:rPr>
        <w:t>Validación.</w:t>
      </w:r>
      <w:r>
        <w:t xml:space="preserve"> Se verificó que la alternativa elegida hiciera CP-14 </w:t>
      </w:r>
      <w:r>
        <w:rPr>
          <w:b/>
        </w:rPr>
        <w:t>determinístico</w:t>
      </w:r>
      <w:r>
        <w:t xml:space="preserve"> —condición para poder automatizarlo—. Se identificó un modo de falla que las propuestas iniciales no cubrían: el servicio puede responder correctamente pero nombrar un técnico inexistente o de otra organización. Se incorporó la validación de la respuesta contra el conjunto de técnicos reales como tercera protección.</w:t>
      </w:r>
    </w:p>
    <w:p>
      <w:r>
        <w:rPr>
          <w:b/>
        </w:rPr>
        <w:t>Resultado.</w:t>
      </w:r>
      <w:r>
        <w:t xml:space="preserve"> Aceptada la interfaz </w:t>
      </w:r>
      <w:r>
        <w:rPr>
          <w:rFonts w:ascii="Consolas" w:hAnsi="Consolas" w:eastAsia="Consolas"/>
          <w:sz w:val="21"/>
        </w:rPr>
        <w:t>IProveedorIA</w:t>
      </w:r>
      <w:r>
        <w:t xml:space="preserve"> con dos implementaciones. </w:t>
      </w:r>
      <w:r>
        <w:rPr>
          <w:b/>
        </w:rPr>
        <w:t>El autor definió el alcance</w:t>
      </w:r>
      <w:r>
        <w:t>: asignación y clasificación. Se descartaron dos ampliaciones propuestas —explicación del riesgo en lenguaje natural generada por IA, y asistente conversacional sobre el parque— por exceder lo que el documento sostiene.</w:t>
      </w:r>
    </w:p>
    <w:p>
      <w:pPr>
        <w:pStyle w:val="Heading2"/>
        <w:pBdr>
          <w:bottom w:val="single" w:sz="6" w:space="6" w:color="2F5496"/>
        </w:pBdr>
        <w:spacing w:before="440"/>
      </w:pPr>
      <w:r>
        <w:rPr>
          <w:rFonts w:ascii="Calibri" w:hAnsi="Calibri" w:eastAsia="Calibri"/>
          <w:color w:val="2F5496"/>
        </w:rPr>
        <w:t>PC-04 · Diseño del motor predictivo</w:t>
      </w:r>
    </w:p>
    <w:p>
      <w:r>
        <w:rPr>
          <w:b/>
        </w:rPr>
        <w:t>Patrón A</w:t>
      </w:r>
      <w:r>
        <w:t xml:space="preserve"> · Deriva en ADR 0007</w:t>
      </w:r>
    </w:p>
    <w:p>
      <w:r>
        <w:rPr>
          <w:b/>
        </w:rPr>
        <w:t>C1 · Contexto.</w:t>
      </w:r>
      <w:r>
        <w:t xml:space="preserve"> RF-11 define reglas configurables sobre el historial técnico que producen un score de riesgo por equipo. El documento nombra cinco condiciones con parámetros distintos entre sí.</w:t>
      </w:r>
    </w:p>
    <w:p>
      <w:r>
        <w:rPr>
          <w:b/>
        </w:rPr>
        <w:t>C2 · Constraints.</w:t>
      </w:r>
      <w:r>
        <w:t xml:space="preserve"> El administrador es no técnico. Cada tipo de regla necesita parámetros diferentes. El motor tiene que ser reevaluable y explicable: la pantalla de detalle muestra cuánto aportó cada regla.</w:t>
      </w:r>
    </w:p>
    <w:p>
      <w:r>
        <w:rPr>
          <w:b/>
        </w:rPr>
        <w:t>C3 · Criterio.</w:t>
      </w:r>
      <w:r>
        <w:t xml:space="preserve"> Que el motor sea determinístico y probable sin base ni red · que explique cada aporte al score · que agregar un tipo de regla no obligue a migrar el esquema · que no introduzca evaluación de entrada de usuario.</w:t>
      </w:r>
    </w:p>
    <w:p>
      <w:r>
        <w:rPr>
          <w:b/>
        </w:rPr>
        <w:t>C4 · Output.</w:t>
      </w:r>
      <w:r>
        <w:t xml:space="preserve"> Comparación de estrategias de modelado de los parámetros y del mecanismo de evaluación, con el impacto sobre la superficie de ataque.</w:t>
      </w:r>
    </w:p>
    <w:p>
      <w:r>
        <w:rPr>
          <w:b/>
        </w:rPr>
        <w:t>Validación.</w:t>
      </w:r>
      <w:r>
        <w:t xml:space="preserve"> Se descartó el lenguaje de expresiones editable por introducir ejecución de entrada de usuario sin beneficio para el perfil objetivo. Se verificó que el modelo elegido permitiera el preview en vivo de la pantalla de reglas —evaluar tiene que ser barato— y que </w:t>
      </w:r>
      <w:r>
        <w:rPr>
          <w:rFonts w:ascii="Consolas" w:hAnsi="Consolas" w:eastAsia="Consolas"/>
          <w:sz w:val="21"/>
        </w:rPr>
        <w:t>EvaluacionRiesgo</w:t>
      </w:r>
      <w:r>
        <w:t xml:space="preserve"> conservara la foto histórica para poder responder por qué un equipo estaba en rojo en el pasado.</w:t>
      </w:r>
    </w:p>
    <w:p>
      <w:r>
        <w:rPr>
          <w:b/>
        </w:rPr>
        <w:t>Resultado.</w:t>
      </w:r>
      <w:r>
        <w:t xml:space="preserve"> Aceptado: parámetros en JSON discriminados por </w:t>
      </w:r>
      <w:r>
        <w:rPr>
          <w:rFonts w:ascii="Consolas" w:hAnsi="Consolas" w:eastAsia="Consolas"/>
          <w:sz w:val="21"/>
        </w:rPr>
        <w:t>tipo</w:t>
      </w:r>
      <w:r>
        <w:t xml:space="preserve">, resueltos con el patrón Strategy, con el conjunto de tipos restringido por </w:t>
      </w:r>
      <w:r>
        <w:rPr>
          <w:rFonts w:ascii="Consolas" w:hAnsi="Consolas" w:eastAsia="Consolas"/>
          <w:sz w:val="21"/>
        </w:rPr>
        <w:t>CHECK</w:t>
      </w:r>
      <w:r>
        <w:t xml:space="preserve"> en la base.</w:t>
      </w:r>
    </w:p>
    <w:p>
      <w:pPr>
        <w:pStyle w:val="Heading2"/>
        <w:pBdr>
          <w:bottom w:val="single" w:sz="6" w:space="6" w:color="2F5496"/>
        </w:pBdr>
        <w:spacing w:before="440"/>
      </w:pPr>
      <w:r>
        <w:rPr>
          <w:rFonts w:ascii="Calibri" w:hAnsi="Calibri" w:eastAsia="Calibri"/>
          <w:color w:val="2F5496"/>
        </w:rPr>
        <w:t>PC-05 · Auditoría del diseño antes de implementar</w:t>
      </w:r>
    </w:p>
    <w:p>
      <w:r>
        <w:rPr>
          <w:b/>
        </w:rPr>
        <w:t>Patrón B — Abogado del diablo</w:t>
      </w:r>
      <w:r>
        <w:t xml:space="preserve"> · Deriva en ADR 0008 y ADR 0009</w:t>
      </w:r>
    </w:p>
    <w:p>
      <w:r>
        <w:rPr>
          <w:b/>
        </w:rPr>
        <w:t>C1 · Contexto.</w:t>
      </w:r>
      <w:r>
        <w:t xml:space="preserve"> Arquitectura definida por los ADR 0002 a 0007, antes de escribir la capa DAO y la BLL.</w:t>
      </w:r>
    </w:p>
    <w:p>
      <w:r>
        <w:rPr>
          <w:b/>
        </w:rPr>
        <w:t>C2 · Constraints.</w:t>
      </w:r>
      <w:r>
        <w:t xml:space="preserve"> RNF-04 fija menos de 2 segundos con 500 activos y 5000 incidencias. RNF-05 fija 95 % de disponibilidad en horario laboral —es decir, alta disponibilidad </w:t>
      </w:r>
      <w:r>
        <w:rPr>
          <w:b/>
        </w:rPr>
        <w:t>no</w:t>
      </w:r>
      <w:r>
        <w:t xml:space="preserve"> está en alcance—.</w:t>
      </w:r>
    </w:p>
    <w:p>
      <w:r>
        <w:rPr>
          <w:b/>
        </w:rPr>
        <w:t>C3 · Criterio.</w:t>
      </w:r>
      <w:r>
        <w:t xml:space="preserve"> Identificar puntos únicos de falla, cuellos de botella bajo un incremento del 300 % de la carga esperada, y acoplamientos temporales o estructurales no deseados.</w:t>
      </w:r>
    </w:p>
    <w:p>
      <w:r>
        <w:rPr>
          <w:b/>
        </w:rPr>
        <w:t>C4 · Output.</w:t>
      </w:r>
      <w:r>
        <w:t xml:space="preserve"> Hallazgos con su mitigación alineada a patrones de resiliencia.</w:t>
      </w:r>
    </w:p>
    <w:p>
      <w:pPr>
        <w:pStyle w:val="Heading3"/>
      </w:pPr>
      <w:r>
        <w:rPr>
          <w:rFonts w:ascii="Calibri" w:hAnsi="Calibri" w:eastAsia="Calibri"/>
        </w:rPr>
        <w:t>Hallazgos</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Hallazgo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Tipo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Mitigación</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1</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El usuario espera a la IA.</w:t>
            </w:r>
            <w:r>
              <w:rPr>
                <w:rFonts w:ascii="Calibri" w:hAnsi="Calibri" w:eastAsia="Calibri"/>
                <w:sz w:val="20"/>
              </w:rPr>
              <w:t xml:space="preserve"> CU-006 registra la incidencia y CU-007 se dispara sincrónicamente: con timeout de 15 s, el solicitante puede esperar 15 s para que le confirmen un ticket.</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Acoplamiento temporal</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Circuit Breaker</w:t>
            </w:r>
            <w:r>
              <w:rPr>
                <w:rFonts w:ascii="Calibri" w:hAnsi="Calibri" w:eastAsia="Calibri"/>
                <w:sz w:val="20"/>
              </w:rPr>
              <w:t xml:space="preserve"> sobre </w:t>
            </w:r>
            <w:r>
              <w:rPr>
                <w:rFonts w:ascii="Consolas" w:hAnsi="Consolas" w:eastAsia="Consolas"/>
                <w:sz w:val="19"/>
              </w:rPr>
              <w:t>IProveedorIA</w:t>
            </w:r>
            <w:r>
              <w:rPr>
                <w:rFonts w:ascii="Calibri" w:hAnsi="Calibri" w:eastAsia="Calibri"/>
                <w:sz w:val="20"/>
              </w:rPr>
              <w:t>: tras N fallos consecutivos el circuito abre y va directo al respaldo sin esperar el timeout. Evita que 20 incidencias seguidas paguen 15 s cada una. a ADR 0009</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El motor predictivo escala mal.</w:t>
            </w:r>
            <w:r>
              <w:rPr>
                <w:rFonts w:ascii="Calibri" w:hAnsi="Calibri" w:eastAsia="Calibri"/>
                <w:sz w:val="20"/>
              </w:rPr>
              <w:t xml:space="preserve"> Su costo es del orden de equipos × reglas × historial. A 300 % de carga —tres veces el parque y tres veces el historial— es del orden de nueve veces el trabajo actual.</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Cuello de botella</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Evaluación incremental por equipo al registrar un evento; la evaluación del parque completo pasa a job programado fuera de horario. Índice por </w:t>
            </w:r>
            <w:r>
              <w:rPr>
                <w:rFonts w:ascii="Consolas" w:hAnsi="Consolas" w:eastAsia="Consolas"/>
                <w:sz w:val="19"/>
              </w:rPr>
              <w:t>(id_equipo, fecha)</w:t>
            </w:r>
            <w:r>
              <w:rPr>
                <w:rFonts w:ascii="Calibri" w:hAnsi="Calibri" w:eastAsia="Calibri"/>
                <w:sz w:val="20"/>
              </w:rPr>
              <w:t xml:space="preserve"> ya presente en el esquema.</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3</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N+1 al resolver el técnico de cada incidencia.</w:t>
            </w:r>
            <w:r>
              <w:rPr>
                <w:rFonts w:ascii="Calibri" w:hAnsi="Calibri" w:eastAsia="Calibri"/>
                <w:sz w:val="20"/>
              </w:rPr>
              <w:t xml:space="preserve"> Al vivir en la otra base, una tabla de 50 incidencias podría disparar 50 consultas a la base de servicio.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Cuello de botella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Resolución </w:t>
            </w:r>
            <w:r>
              <w:rPr>
                <w:rFonts w:ascii="Calibri" w:hAnsi="Calibri" w:eastAsia="Calibri"/>
                <w:b/>
                <w:sz w:val="20"/>
              </w:rPr>
              <w:t>por lote</w:t>
            </w:r>
            <w:r>
              <w:rPr>
                <w:rFonts w:ascii="Calibri" w:hAnsi="Calibri" w:eastAsia="Calibri"/>
                <w:sz w:val="20"/>
              </w:rPr>
              <w:t>: una sola consulta por el conjunto de identificadores, y composición en la BLL. Es consecuencia directa del ADR 0003 y hay que sostenerla en cada listado.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4</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b/>
                <w:sz w:val="20"/>
              </w:rPr>
              <w:t>Instancia única de SQL Server con las dos bases.</w:t>
            </w:r>
            <w:r>
              <w:rPr>
                <w:rFonts w:ascii="Calibri" w:hAnsi="Calibri" w:eastAsia="Calibri"/>
                <w:sz w:val="20"/>
              </w:rPr>
              <w:t xml:space="preserve"> Si cae, cae todo el sistema.</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SPOF</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Fuera del alcance del TFI por RNF-05 (95 %, no alta disponibilidad). Se mitiga con respaldos automáticos verificados y se </w:t>
            </w:r>
            <w:r>
              <w:rPr>
                <w:rFonts w:ascii="Calibri" w:hAnsi="Calibri" w:eastAsia="Calibri"/>
                <w:b/>
                <w:sz w:val="20"/>
              </w:rPr>
              <w:t>declara explícitamente</w:t>
            </w:r>
            <w:r>
              <w:rPr>
                <w:rFonts w:ascii="Calibri" w:hAnsi="Calibri" w:eastAsia="Calibri"/>
                <w:sz w:val="20"/>
              </w:rPr>
              <w:t xml:space="preserve"> como límite conocido en lugar de simularlo resuelto.</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5</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Resolución recursiva de permisos en cada petición.</w:t>
            </w:r>
            <w:r>
              <w:rPr>
                <w:rFonts w:ascii="Calibri" w:hAnsi="Calibri" w:eastAsia="Calibri"/>
                <w:sz w:val="20"/>
              </w:rPr>
              <w:t xml:space="preserve"> El Composite Familia/Patente recorre el árbol para autorizar cada llamada.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Cuello de botella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Caching</w:t>
            </w:r>
            <w:r>
              <w:rPr>
                <w:rFonts w:ascii="Calibri" w:hAnsi="Calibri" w:eastAsia="Calibri"/>
                <w:sz w:val="20"/>
              </w:rPr>
              <w:t xml:space="preserve"> de permisos resueltos por sesión, invalidado al modificar roles o familias.</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6</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Una evaluación larga puede consumir el pool de conexiones</w:t>
            </w:r>
            <w:r>
              <w:rPr>
                <w:rFonts w:ascii="Calibri" w:hAnsi="Calibri" w:eastAsia="Calibri"/>
                <w:sz w:val="20"/>
              </w:rPr>
              <w:t xml:space="preserve"> y dejar sin atender a los usuarios.</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Acoplamiento estructural</w:t>
            </w:r>
          </w:p>
        </w:tc>
        <w:tc>
          <w:tcPr>
            <w:tcW w:type="dxa" w:w="234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b/>
                <w:sz w:val="20"/>
              </w:rPr>
              <w:t>Bulkhead</w:t>
            </w:r>
            <w:r>
              <w:rPr>
                <w:rFonts w:ascii="Calibri" w:hAnsi="Calibri" w:eastAsia="Calibri"/>
                <w:sz w:val="20"/>
              </w:rPr>
              <w:t>: pool de conexiones separado para los procesos en segundo plano. a ADR 0009</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7</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El filtro por organización es un punto de falla de seguridad, no de disponibilidad.</w:t>
            </w:r>
            <w:r>
              <w:rPr>
                <w:rFonts w:ascii="Calibri" w:hAnsi="Calibri" w:eastAsia="Calibri"/>
                <w:sz w:val="20"/>
              </w:rPr>
              <w:t xml:space="preserve"> Una consulta que lo omita filtra datos entre clientes.</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Riesgo de seguridad</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Filtro obligatorio en el DAO desde el contexto de sesión, pruebas de aislamiento por entidad, y revisión dirigida en SAST. a ADR 0005, ADR 0008</w:t>
            </w:r>
          </w:p>
        </w:tc>
      </w:tr>
    </w:tbl>
    <w:p>
      <w:pPr>
        <w:spacing w:after="80"/>
      </w:pPr>
    </w:p>
    <w:p>
      <w:r>
        <w:rPr>
          <w:b/>
        </w:rPr>
        <w:t>Descartado del análisis.</w:t>
      </w:r>
      <w:r>
        <w:t xml:space="preserve"> Se evaluó y se descartó </w:t>
      </w:r>
      <w:r>
        <w:rPr>
          <w:b/>
        </w:rPr>
        <w:t>Retry con backoff exponencial</w:t>
      </w:r>
      <w:r>
        <w:t xml:space="preserve"> sobre la llamada de IA en el camino crítico: reintentar multiplica la latencia que ya es el problema del hallazgo 1. El reintento queda sólo para la reevaluación en segundo plano, donde nadie está esperando.</w:t>
      </w:r>
    </w:p>
    <w:p>
      <w:r>
        <w:rPr>
          <w:b/>
        </w:rPr>
        <w:t>Validación.</w:t>
      </w:r>
      <w:r>
        <w:t xml:space="preserve"> Los hallazgos 2, 3 y 5 se van a verificar con las pruebas de carga definidas en el ADR 0008, no por inspección. El hallazgo 1 se verifica midiendo la latencia de registro de incidencia con el proveedor forzado a fallar, antes y después del circuit breaker.</w:t>
      </w:r>
    </w:p>
    <w:p>
      <w:pPr>
        <w:pStyle w:val="Heading2"/>
        <w:pBdr>
          <w:bottom w:val="single" w:sz="6" w:space="6" w:color="2F5496"/>
        </w:pBdr>
        <w:spacing w:before="440"/>
      </w:pPr>
      <w:r>
        <w:rPr>
          <w:rFonts w:ascii="Calibri" w:hAnsi="Calibri" w:eastAsia="Calibri"/>
          <w:color w:val="2F5496"/>
        </w:rPr>
        <w:t>Prompts de dirección del proyecto</w:t>
      </w:r>
    </w:p>
    <w:p>
      <w:r>
        <w:t xml:space="preserve">Los PC-01 a PC-05 son consultas técnicas de diseño. Los que siguen son las </w:t>
      </w:r>
      <w:r>
        <w:rPr>
          <w:b/>
        </w:rPr>
        <w:t>instrucciones que dirigieron el trabajo</w:t>
      </w:r>
      <w:r>
        <w:t>: cada una fijó un rumbo, acotó un alcance o corrigió algo que la herramienta había dado por bueno. Se registran con el mismo formato porque cumplen la misma función de trazabilidad —dejar dicho quién decidió qué— y porque en varios casos son el punto donde el criterio del autor cambió el resultado.</w:t>
      </w:r>
    </w:p>
    <w:p>
      <w:pPr>
        <w:pStyle w:val="Heading2"/>
        <w:pBdr>
          <w:bottom w:val="single" w:sz="6" w:space="6" w:color="2F5496"/>
        </w:pBdr>
        <w:spacing w:before="440"/>
      </w:pPr>
      <w:r>
        <w:rPr>
          <w:rFonts w:ascii="Calibri" w:hAnsi="Calibri" w:eastAsia="Calibri"/>
          <w:color w:val="2F5496"/>
        </w:rPr>
        <w:t>PC-06 · Migración del stack y validación de la arquitectura base</w:t>
      </w:r>
    </w:p>
    <w:p>
      <w:r>
        <w:rPr>
          <w:b/>
        </w:rPr>
        <w:t>Deriva en</w:t>
      </w:r>
      <w:r>
        <w:t xml:space="preserve"> ADR 0002, ADR 0003 y ADR 0005</w:t>
      </w:r>
    </w:p>
    <w:p>
      <w:r>
        <w:rPr>
          <w:b/>
        </w:rPr>
        <w:t>C1 · Contexto.</w:t>
      </w:r>
      <w:r>
        <w:t xml:space="preserve"> Documento del TFI terminado, con el capítulo 10 especificando RF-01 a RF-14, CU-001 a CU-013 y CP-01 a CP-14. Cero líneas de código escritas. Se aportó como referencia el proyecto de tercer año de la carrera, con la separación de capas que evalúa la cátedra.</w:t>
      </w:r>
    </w:p>
    <w:p>
      <w:r>
        <w:rPr>
          <w:b/>
        </w:rPr>
        <w:t>C2 · Constraints.</w:t>
      </w:r>
      <w:r>
        <w:t xml:space="preserve"> Cuatro condiciones fijadas por el autor:</w:t>
      </w:r>
    </w:p>
    <w:p>
      <w:pPr>
        <w:pStyle w:val="ListBullet"/>
      </w:pPr>
      <w:r>
        <w:t xml:space="preserve">El sistema tiene que ser </w:t>
      </w:r>
      <w:r>
        <w:rPr>
          <w:b/>
        </w:rPr>
        <w:t>web</w:t>
      </w:r>
      <w:r>
        <w:t>.</w:t>
      </w:r>
    </w:p>
    <w:p>
      <w:pPr>
        <w:pStyle w:val="ListBullet"/>
      </w:pPr>
      <w:r>
        <w:t xml:space="preserve">El documento especifica Java, pero </w:t>
      </w:r>
      <w:r>
        <w:rPr>
          <w:b/>
        </w:rPr>
        <w:t>se cambia a C#</w:t>
      </w:r>
      <w:r>
        <w:t>, que es el lenguaje visto a lo largo de la carrera.</w:t>
      </w:r>
    </w:p>
    <w:p>
      <w:pPr>
        <w:pStyle w:val="ListBullet"/>
      </w:pPr>
      <w:r>
        <w:t xml:space="preserve">La separación de carpetas del proyecto de referencia —servicio, BLL, domain, DAO— </w:t>
      </w:r>
      <w:r>
        <w:rPr>
          <w:b/>
        </w:rPr>
        <w:t>se respeta</w:t>
      </w:r>
      <w:r>
        <w:t>.</w:t>
      </w:r>
    </w:p>
    <w:p>
      <w:pPr>
        <w:pStyle w:val="ListBullet"/>
      </w:pPr>
      <w:r>
        <w:t xml:space="preserve">Hay que </w:t>
      </w:r>
      <w:r>
        <w:rPr>
          <w:b/>
        </w:rPr>
        <w:t>validar que estén</w:t>
      </w:r>
      <w:r>
        <w:t xml:space="preserve"> dos cosas: la configuración del cliente para la asignación de incidencias, y la separación en </w:t>
      </w:r>
      <w:r>
        <w:rPr>
          <w:b/>
        </w:rPr>
        <w:t>dos bases de datos</w:t>
      </w:r>
      <w:r>
        <w:t>, una de negocio y otra de seguridad y bitácora.</w:t>
      </w:r>
    </w:p>
    <w:p>
      <w:r>
        <w:rPr>
          <w:b/>
        </w:rPr>
        <w:t>C3 · Criterio.</w:t>
      </w:r>
      <w:r>
        <w:t xml:space="preserve"> El alcance documentado limita el análisis a reglas; la cátedra recomendó </w:t>
      </w:r>
      <w:r>
        <w:rPr>
          <w:b/>
        </w:rPr>
        <w:t>integrar IA</w:t>
      </w:r>
      <w:r>
        <w:t>, de modo que el alcance se amplía y el documento se modifica en consecuencia.</w:t>
      </w:r>
    </w:p>
    <w:p>
      <w:r>
        <w:rPr>
          <w:b/>
        </w:rPr>
        <w:t>C4 · Output.</w:t>
      </w:r>
      <w:r>
        <w:t xml:space="preserve"> Plan completo antes de escribir código, en modo de planificación. Y una condición sobre el método de trabajo: </w:t>
      </w:r>
      <w:r>
        <w:rPr>
          <w:b/>
        </w:rPr>
        <w:t>antes de dar por terminada cualquier parte del sistema, correr las pruebas correspondientes.</w:t>
      </w:r>
    </w:p>
    <w:p>
      <w:r>
        <w:rPr>
          <w:b/>
        </w:rPr>
        <w:t>Resultado.</w:t>
      </w:r>
      <w:r>
        <w:t xml:space="preserve"> Plan de ocho fases aprobado. Las cuatro condiciones se verificaron en la implementación: </w:t>
      </w:r>
      <w:r>
        <w:rPr>
          <w:rFonts w:ascii="Consolas" w:hAnsi="Consolas" w:eastAsia="Consolas"/>
          <w:sz w:val="21"/>
        </w:rPr>
        <w:t>ConfiguracionAsignacion</w:t>
      </w:r>
      <w:r>
        <w:t xml:space="preserve"> por organización, dos cadenas de conexión separadas, las cinco capas, y </w:t>
      </w:r>
      <w:r>
        <w:rPr>
          <w:rFonts w:ascii="Consolas" w:hAnsi="Consolas" w:eastAsia="Consolas"/>
          <w:sz w:val="21"/>
        </w:rPr>
        <w:t>IProveedorIA</w:t>
      </w:r>
      <w:r>
        <w:t xml:space="preserve"> para la IA. La condición sobre las pruebas es la que gobierna todo el registro de validación de este anexo.</w:t>
      </w:r>
    </w:p>
    <w:p>
      <w:pPr>
        <w:pStyle w:val="Heading2"/>
        <w:pBdr>
          <w:bottom w:val="single" w:sz="6" w:space="6" w:color="2F5496"/>
        </w:pBdr>
        <w:spacing w:before="440"/>
      </w:pPr>
      <w:r>
        <w:rPr>
          <w:rFonts w:ascii="Calibri" w:hAnsi="Calibri" w:eastAsia="Calibri"/>
          <w:color w:val="2F5496"/>
        </w:rPr>
        <w:t>PC-07 · Sincronización del documento con lo construido</w:t>
      </w:r>
    </w:p>
    <w:p>
      <w:r>
        <w:rPr>
          <w:b/>
        </w:rPr>
        <w:t>Deriva en</w:t>
      </w:r>
      <w:r>
        <w:t xml:space="preserve"> </w:t>
      </w:r>
      <w:r>
        <w:rPr>
          <w:rFonts w:ascii="Consolas" w:hAnsi="Consolas" w:eastAsia="Consolas"/>
          <w:sz w:val="21"/>
        </w:rPr>
        <w:t>docs/CAMBIOS-DOCUMENTO.md</w:t>
      </w:r>
    </w:p>
    <w:p>
      <w:r>
        <w:rPr>
          <w:b/>
        </w:rPr>
        <w:t>C1 · Contexto.</w:t>
      </w:r>
      <w:r>
        <w:t xml:space="preserve"> El desarrollo empezó a apartarse del documento en varios frentes —lenguaje, alcance de la IA, modelo de datos— y las diferencias se estaban acumulando sin registro.</w:t>
      </w:r>
    </w:p>
    <w:p>
      <w:r>
        <w:rPr>
          <w:b/>
        </w:rPr>
        <w:t>C2 · Constraints.</w:t>
      </w:r>
      <w:r>
        <w:t xml:space="preserve"> Instrucción del autor: </w:t>
      </w:r>
      <w:r>
        <w:rPr>
          <w:b/>
        </w:rPr>
        <w:t>adaptar el documento completo a lo que efectivamente se va a construir</w:t>
      </w:r>
      <w:r>
        <w:t xml:space="preserve">, modificando alcance, integración de IA, lenguaje y base de datos. Las pantallas y los diagramas son </w:t>
      </w:r>
      <w:r>
        <w:rPr>
          <w:b/>
        </w:rPr>
        <w:t>referencia, no especificación</w:t>
      </w:r>
      <w:r>
        <w:t>: se ajustan a lo que el sistema termine siendo.</w:t>
      </w:r>
    </w:p>
    <w:p>
      <w:r>
        <w:rPr>
          <w:b/>
        </w:rPr>
        <w:t>C3 · Criterio.</w:t>
      </w:r>
      <w:r>
        <w:t xml:space="preserve"> Que cada desvío quede anotado </w:t>
      </w:r>
      <w:r>
        <w:rPr>
          <w:b/>
        </w:rPr>
        <w:t>en el momento en que se produce</w:t>
      </w:r>
      <w:r>
        <w:t>, con sección exacta, qué dice hoy, qué tiene que decir y por qué. No de memoria al final.</w:t>
      </w:r>
    </w:p>
    <w:p>
      <w:r>
        <w:rPr>
          <w:b/>
        </w:rPr>
        <w:t>C4 · Output.</w:t>
      </w:r>
      <w:r>
        <w:t xml:space="preserve"> Un registro incremental, no un informe final.</w:t>
      </w:r>
    </w:p>
    <w:p>
      <w:r>
        <w:rPr>
          <w:b/>
        </w:rPr>
        <w:t>Resultado.</w:t>
      </w:r>
      <w:r>
        <w:t xml:space="preserve"> </w:t>
      </w:r>
      <w:r>
        <w:rPr>
          <w:rFonts w:ascii="Consolas" w:hAnsi="Consolas" w:eastAsia="Consolas"/>
          <w:sz w:val="21"/>
        </w:rPr>
        <w:t>docs/CAMBIOS-DOCUMENTO.md</w:t>
      </w:r>
      <w:r>
        <w:t xml:space="preserve"> con quince entradas. Es el artefacto que permite responder en la defensa por qué el documento y el sistema dicen lo que dicen. Tres de esas entradas —D-13 a D-15— salieron de defectos que sólo aparecieron al usar el sistema, no al diseñarlo.</w:t>
      </w:r>
    </w:p>
    <w:p>
      <w:pPr>
        <w:pStyle w:val="Heading2"/>
        <w:pBdr>
          <w:bottom w:val="single" w:sz="6" w:space="6" w:color="2F5496"/>
        </w:pBdr>
        <w:spacing w:before="440"/>
      </w:pPr>
      <w:r>
        <w:rPr>
          <w:rFonts w:ascii="Calibri" w:hAnsi="Calibri" w:eastAsia="Calibri"/>
          <w:color w:val="2F5496"/>
        </w:rPr>
        <w:t>PC-08 · Entregables de transparencia sobre el uso de IA</w:t>
      </w:r>
    </w:p>
    <w:p>
      <w:r>
        <w:rPr>
          <w:b/>
        </w:rPr>
        <w:t>Deriva en</w:t>
      </w:r>
      <w:r>
        <w:t xml:space="preserve"> este anexo y ADR 0008</w:t>
      </w:r>
    </w:p>
    <w:p>
      <w:r>
        <w:rPr>
          <w:b/>
        </w:rPr>
        <w:t>C1 · Contexto.</w:t>
      </w:r>
      <w:r>
        <w:t xml:space="preserve"> Requisitos de la cátedra sobre transparencia en el uso de herramientas de IA, aportados por el autor.</w:t>
      </w:r>
    </w:p>
    <w:p>
      <w:r>
        <w:rPr>
          <w:b/>
        </w:rPr>
        <w:t>C2 · Constraints.</w:t>
      </w:r>
      <w:r>
        <w:t xml:space="preserve"> Tres entregables exigidos: anexo de trazabilidad —qué herramientas, para qué tareas, qué modificaciones manuales se aplicaron—, los prompts críticos con su validación técnica para aceptar o descartar, y un nivel de exigencia en </w:t>
      </w:r>
      <w:r>
        <w:rPr>
          <w:b/>
        </w:rPr>
        <w:t>carga y seguridad superior al estándar tradicional</w:t>
      </w:r>
      <w:r>
        <w:t>, precisamente por la velocidad que introduce el código asistido.</w:t>
      </w:r>
    </w:p>
    <w:p>
      <w:r>
        <w:rPr>
          <w:b/>
        </w:rPr>
        <w:t>C3 · Criterio.</w:t>
      </w:r>
      <w:r>
        <w:t xml:space="preserve"> El autor aportó además el </w:t>
      </w:r>
      <w:r>
        <w:rPr>
          <w:b/>
        </w:rPr>
        <w:t>modelo C4 de prompts</w:t>
      </w:r>
      <w:r>
        <w:t xml:space="preserve"> —Contexto, Constraints, Criterio, Output— y tres patrones de consulta: </w:t>
      </w:r>
      <w:r>
        <w:rPr>
          <w:b/>
        </w:rPr>
        <w:t>A</w:t>
      </w:r>
      <w:r>
        <w:t xml:space="preserve"> análisis de compromisos, </w:t>
      </w:r>
      <w:r>
        <w:rPr>
          <w:b/>
        </w:rPr>
        <w:t>B</w:t>
      </w:r>
      <w:r>
        <w:t xml:space="preserve"> abogado del diablo, </w:t>
      </w:r>
      <w:r>
        <w:rPr>
          <w:b/>
        </w:rPr>
        <w:t>C</w:t>
      </w:r>
      <w:r>
        <w:t xml:space="preserve"> registro de decisión en formato Nygard.</w:t>
      </w:r>
    </w:p>
    <w:p>
      <w:r>
        <w:rPr>
          <w:b/>
        </w:rPr>
        <w:t>C4 · Output.</w:t>
      </w:r>
      <w:r>
        <w:t xml:space="preserve"> Los tres entregables, con los patrones aplicados y señalables.</w:t>
      </w:r>
    </w:p>
    <w:p>
      <w:r>
        <w:rPr>
          <w:b/>
        </w:rPr>
        <w:t>Resultado.</w:t>
      </w:r>
      <w:r>
        <w:t xml:space="preserve"> Este anexo aplica el modelo C4 en todas sus entradas. El patrón B produjo la auditoría de PC-05, de la que salieron siete hallazgos y dos ADR nuevos. El patrón C es el formato de los nueve ADR. La exigencia elevada en carga y seguridad quedó en el ADR 0008, y es la razón por la que el aislamiento entre organizaciones tiene una prueba por operación y no una de muestra.</w:t>
      </w:r>
    </w:p>
    <w:p>
      <w:pPr>
        <w:pStyle w:val="Heading2"/>
        <w:pBdr>
          <w:bottom w:val="single" w:sz="6" w:space="6" w:color="2F5496"/>
        </w:pBdr>
        <w:spacing w:before="440"/>
      </w:pPr>
      <w:r>
        <w:rPr>
          <w:rFonts w:ascii="Calibri" w:hAnsi="Calibri" w:eastAsia="Calibri"/>
          <w:color w:val="2F5496"/>
        </w:rPr>
        <w:t>PC-09 · Aplicación de la devolución de cátedra</w:t>
      </w:r>
    </w:p>
    <w:p>
      <w:r>
        <w:rPr>
          <w:b/>
        </w:rPr>
        <w:t>Deriva en</w:t>
      </w:r>
      <w:r>
        <w:t xml:space="preserve"> D-10 de </w:t>
      </w:r>
      <w:r>
        <w:rPr>
          <w:rFonts w:ascii="Consolas" w:hAnsi="Consolas" w:eastAsia="Consolas"/>
          <w:sz w:val="21"/>
        </w:rPr>
        <w:t>docs/CAMBIOS-DOCUMENTO.md</w:t>
      </w:r>
    </w:p>
    <w:p>
      <w:r>
        <w:rPr>
          <w:b/>
        </w:rPr>
        <w:t>C1 · Contexto.</w:t>
      </w:r>
      <w:r>
        <w:t xml:space="preserve"> Devolución de cátedra del 04/07/2026, aportada por el autor, que pide reforzar la justificación económica de los precios y vincularla con la estructura operativa.</w:t>
      </w:r>
    </w:p>
    <w:p>
      <w:r>
        <w:rPr>
          <w:b/>
        </w:rPr>
        <w:t>C2 · Constraints.</w:t>
      </w:r>
      <w:r>
        <w:t xml:space="preserve"> Aplicarla </w:t>
      </w:r>
      <w:r>
        <w:rPr>
          <w:b/>
        </w:rPr>
        <w:t>al documento y también al sistema</w:t>
      </w:r>
      <w:r>
        <w:t>.</w:t>
      </w:r>
    </w:p>
    <w:p>
      <w:r>
        <w:rPr>
          <w:b/>
        </w:rPr>
        <w:t>C3 · Criterio.</w:t>
      </w:r>
      <w:r>
        <w:t xml:space="preserve"> Que la justificación económica deje de ser una afirmación del texto y pase a ser algo que el sistema </w:t>
      </w:r>
      <w:r>
        <w:rPr>
          <w:b/>
        </w:rPr>
        <w:t>calcula y muestra</w:t>
      </w:r>
      <w:r>
        <w:t>.</w:t>
      </w:r>
    </w:p>
    <w:p>
      <w:r>
        <w:rPr>
          <w:b/>
        </w:rPr>
        <w:t>C4 · Output.</w:t>
      </w:r>
      <w:r>
        <w:t xml:space="preserve"> El cambio en las dos partes, y el aviso de si había que ajustar la especificación de diseño.</w:t>
      </w:r>
    </w:p>
    <w:p>
      <w:r>
        <w:rPr>
          <w:b/>
        </w:rPr>
        <w:t>Resultado.</w:t>
      </w:r>
      <w:r>
        <w:t xml:space="preserve"> Se incorporó </w:t>
      </w:r>
      <w:r>
        <w:rPr>
          <w:rFonts w:ascii="Consolas" w:hAnsi="Consolas" w:eastAsia="Consolas"/>
          <w:sz w:val="21"/>
        </w:rPr>
        <w:t>PlanComercial</w:t>
      </w:r>
      <w:r>
        <w:t xml:space="preserve"> al modelo de negocio. La pantalla de Organización muestra el abono, los equipos incluidos contra los administrados, los adicionales y el total mensual. Es el punto donde una afirmación del capítulo 6 se volvió una cuenta verificable en pantalla.</w:t>
      </w:r>
    </w:p>
    <w:p>
      <w:r>
        <w:rPr>
          <w:b/>
        </w:rPr>
        <w:t>Corrección del autor sobre la herramienta.</w:t>
      </w:r>
      <w:r>
        <w:t xml:space="preserve"> Al construir esa pantalla, la herramienta afirmó que con 52 equipos convenía el Plan Estándar. Verificado contra la base, el Inicial costaba ARS 101.500 y el Estándar ARS 102.900: el Estándar recién convenía desde 57 equipos. Con los precios revisados en D-14 la cuenta cambió de números pero no de conclusión: 244.400 contra 246.000, y el umbral pasa a 55. La corrección mejoró el sistema, porque la pantalla pasó a mostrar la cuenta real </w:t>
      </w:r>
      <w:r>
        <w:rPr>
          <w:b/>
        </w:rPr>
        <w:t>incluso cuando el resultado es que no conviene cambiar al plan más caro</w:t>
      </w:r>
      <w:r>
        <w:t>.</w:t>
      </w:r>
    </w:p>
    <w:p>
      <w:pPr>
        <w:pStyle w:val="Heading2"/>
        <w:pBdr>
          <w:bottom w:val="single" w:sz="6" w:space="6" w:color="2F5496"/>
        </w:pBdr>
        <w:spacing w:before="440"/>
      </w:pPr>
      <w:r>
        <w:rPr>
          <w:rFonts w:ascii="Calibri" w:hAnsi="Calibri" w:eastAsia="Calibri"/>
          <w:color w:val="2F5496"/>
        </w:rPr>
        <w:t>PC-10 · Construcción del sistema desde el diseño exportado</w:t>
      </w:r>
    </w:p>
    <w:p>
      <w:r>
        <w:rPr>
          <w:b/>
        </w:rPr>
        <w:t>C1 · Contexto.</w:t>
      </w:r>
      <w:r>
        <w:t xml:space="preserve"> El autor había descartado las pantallas construidas dentro de la sesión de desarrollo y redirigido el diseño a una herramienta específica. El resultado —veintiún artboards— se exportó al repositorio.</w:t>
      </w:r>
    </w:p>
    <w:p>
      <w:r>
        <w:rPr>
          <w:b/>
        </w:rPr>
        <w:t>C2 · Constraints.</w:t>
      </w:r>
      <w:r>
        <w:t xml:space="preserve"> Construir el sistema </w:t>
      </w:r>
      <w:r>
        <w:rPr>
          <w:b/>
        </w:rPr>
        <w:t>a partir de ese diseño</w:t>
      </w:r>
      <w:r>
        <w:t xml:space="preserve">, no de una interpretación propia. Y una instrucción sobre el método: </w:t>
      </w:r>
      <w:r>
        <w:rPr>
          <w:b/>
        </w:rPr>
        <w:t>preguntar cualquier duda en lugar de asumir</w:t>
      </w:r>
      <w:r>
        <w:t>.</w:t>
      </w:r>
    </w:p>
    <w:p>
      <w:r>
        <w:rPr>
          <w:b/>
        </w:rPr>
        <w:t>C3 · Criterio.</w:t>
      </w:r>
      <w:r>
        <w:t xml:space="preserve"> Que las pantallas implementadas se correspondan con los datos reales del sistema y no con datos de ejemplo.</w:t>
      </w:r>
    </w:p>
    <w:p>
      <w:r>
        <w:rPr>
          <w:b/>
        </w:rPr>
        <w:t>C4 · Output.</w:t>
      </w:r>
      <w:r>
        <w:t xml:space="preserve"> El sistema andando, verificado contra el diseño.</w:t>
      </w:r>
    </w:p>
    <w:p>
      <w:r>
        <w:rPr>
          <w:b/>
        </w:rPr>
        <w:t>Resultado.</w:t>
      </w:r>
      <w:r>
        <w:t xml:space="preserve"> Los tokens de diseño se tomaron literales del canvas exportado. Cada pantalla se recorrió en el navegador contra la base real. Ese recorrido encontró cuatro defectos que la lectura del código no había detectado, entre ellos que asignar un técnico no movía el estado de la incidencia, y que la consulta de técnicos devolvía cero resultados con un SQL que se leía correcto.</w:t>
      </w:r>
    </w:p>
    <w:p>
      <w:r>
        <w:rPr>
          <w:b/>
        </w:rPr>
        <w:t>Corrección del autor sobre el diseño.</w:t>
      </w:r>
      <w:r>
        <w:t xml:space="preserve"> El autor señaló que en la tabla «Equipos con mayor riesgo» del Dashboard, la columna rotulada </w:t>
      </w:r>
      <w:r>
        <w:rPr>
          <w:b/>
        </w:rPr>
        <w:t>Responsable</w:t>
      </w:r>
      <w:r>
        <w:t xml:space="preserve"> traía nombres de técnicos. En esa tabla cada fila es un </w:t>
      </w:r>
      <w:r>
        <w:rPr>
          <w:b/>
        </w:rPr>
        <w:t>equipo</w:t>
      </w:r>
      <w:r>
        <w:t xml:space="preserve">, y un equipo no tiene técnico asignado: lo tienen sus incidencias. Se mantuvo el rótulo y se corrigió el dato, que es </w:t>
      </w:r>
      <w:r>
        <w:rPr>
          <w:rFonts w:ascii="Consolas" w:hAnsi="Consolas" w:eastAsia="Consolas"/>
          <w:sz w:val="21"/>
        </w:rPr>
        <w:t>Equipo.id_responsable</w:t>
      </w:r>
      <w:r>
        <w:t>. Queda en D-15.</w:t>
      </w:r>
    </w:p>
    <w:p>
      <w:pPr>
        <w:pStyle w:val="Heading2"/>
        <w:pBdr>
          <w:bottom w:val="single" w:sz="6" w:space="6" w:color="2F5496"/>
        </w:pBdr>
        <w:spacing w:before="440"/>
      </w:pPr>
      <w:r>
        <w:rPr>
          <w:rFonts w:ascii="Calibri" w:hAnsi="Calibri" w:eastAsia="Calibri"/>
          <w:color w:val="2F5496"/>
        </w:rPr>
        <w:t>PC-11 · Presupuesto financiero y plan de negocio</w:t>
      </w:r>
    </w:p>
    <w:p>
      <w:r>
        <w:rPr>
          <w:b/>
        </w:rPr>
        <w:t>Deriva en</w:t>
      </w:r>
      <w:r>
        <w:t xml:space="preserve"> </w:t>
      </w:r>
      <w:r>
        <w:rPr>
          <w:rFonts w:ascii="Consolas" w:hAnsi="Consolas" w:eastAsia="Consolas"/>
          <w:sz w:val="21"/>
        </w:rPr>
        <w:t>docs/negocio/</w:t>
      </w:r>
    </w:p>
    <w:p>
      <w:r>
        <w:rPr>
          <w:b/>
        </w:rPr>
        <w:t>C1 · Contexto.</w:t>
      </w:r>
      <w:r>
        <w:t xml:space="preserve"> El trabajo final se divide en dos mitades, negocio y sistema. La mitad de negocio necesita, además del documento, un modelo financiero.</w:t>
      </w:r>
    </w:p>
    <w:p>
      <w:r>
        <w:rPr>
          <w:b/>
        </w:rPr>
        <w:t>C2 · Constraints.</w:t>
      </w:r>
      <w:r>
        <w:t xml:space="preserve"> El autor aportó un presupuesto financiero real de otro trabajo como referencia de formato, y la lista de ítems exigidos: hipótesis, proyección de ventas por línea de producto, modelo de ingresos, modelo de egresos, costos fijos, costos variables y costos de RRHH. El plan de negocio, </w:t>
      </w:r>
      <w:r>
        <w:rPr>
          <w:b/>
        </w:rPr>
        <w:t>en PDF sin excepción</w:t>
      </w:r>
      <w:r>
        <w:t>.</w:t>
      </w:r>
    </w:p>
    <w:p>
      <w:r>
        <w:rPr>
          <w:b/>
        </w:rPr>
        <w:t>C3 · Criterio.</w:t>
      </w:r>
      <w:r>
        <w:t xml:space="preserve"> Modelo parametrizado, no una planilla de valores pegados: cada supuesto en una sola celda y el resto referenciándola por fórmula.</w:t>
      </w:r>
    </w:p>
    <w:p>
      <w:r>
        <w:rPr>
          <w:b/>
        </w:rPr>
        <w:t>C4 · Output.</w:t>
      </w:r>
      <w:r>
        <w:t xml:space="preserve"> Libro de diecisiete hojas con horizonte de cuatro años, mes a mes.</w:t>
      </w:r>
    </w:p>
    <w:p>
      <w:r>
        <w:rPr>
          <w:b/>
        </w:rPr>
        <w:t>Resultado.</w:t>
      </w:r>
      <w:r>
        <w:t xml:space="preserve"> El modelo dejó a la vista una inconsistencia del propio documento: la meta de 1.000 equipos al mes 12 no se alcanza con la mezcla de planes que proyecta el embudo. La desviación se dejó </w:t>
      </w:r>
      <w:r>
        <w:rPr>
          <w:b/>
        </w:rPr>
        <w:t>visible en el bloque de verificación</w:t>
      </w:r>
      <w:r>
        <w:t xml:space="preserve"> de la hoja en lugar de ajustar los supuestos hasta que el número cerrara.</w:t>
      </w:r>
    </w:p>
    <w:p>
      <w:pPr>
        <w:pStyle w:val="Heading2"/>
        <w:pBdr>
          <w:bottom w:val="single" w:sz="6" w:space="6" w:color="2F5496"/>
        </w:pBdr>
        <w:spacing w:before="440"/>
      </w:pPr>
      <w:r>
        <w:rPr>
          <w:rFonts w:ascii="Calibri" w:hAnsi="Calibri" w:eastAsia="Calibri"/>
          <w:color w:val="2F5496"/>
        </w:rPr>
        <w:t>PC-12 · Revisión de los sueldos del presupuesto</w:t>
      </w:r>
    </w:p>
    <w:p>
      <w:r>
        <w:rPr>
          <w:b/>
        </w:rPr>
        <w:t>Deriva en</w:t>
      </w:r>
      <w:r>
        <w:t xml:space="preserve"> D-14 de </w:t>
      </w:r>
      <w:r>
        <w:rPr>
          <w:rFonts w:ascii="Consolas" w:hAnsi="Consolas" w:eastAsia="Consolas"/>
          <w:sz w:val="21"/>
        </w:rPr>
        <w:t>docs/CAMBIOS-DOCUMENTO.md</w:t>
      </w:r>
    </w:p>
    <w:p>
      <w:r>
        <w:t>Es el caso más claro de auditoría del autor sobre la salida de la herramienta, y el que más cambió el trabajo.</w:t>
      </w:r>
    </w:p>
    <w:p>
      <w:r>
        <w:rPr>
          <w:b/>
        </w:rPr>
        <w:t>C1 · Contexto.</w:t>
      </w:r>
      <w:r>
        <w:t xml:space="preserve"> Presupuesto financiero terminado y verificado, con los diecisiete tableros calculando sin errores de fórmula.</w:t>
      </w:r>
    </w:p>
    <w:p>
      <w:r>
        <w:rPr>
          <w:b/>
        </w:rPr>
        <w:t>C2 · Constraints.</w:t>
      </w:r>
      <w:r>
        <w:t xml:space="preserve"> Observación del autor: los precios del modelo parecían desactualizados y </w:t>
      </w:r>
      <w:r>
        <w:rPr>
          <w:b/>
        </w:rPr>
        <w:t>los sueldos, bajos</w:t>
      </w:r>
      <w:r>
        <w:t xml:space="preserve"> — señaló que ARS 900.000 en varios roles le parecía poco.</w:t>
      </w:r>
    </w:p>
    <w:p>
      <w:r>
        <w:rPr>
          <w:b/>
        </w:rPr>
        <w:t>C3 · Criterio.</w:t>
      </w:r>
      <w:r>
        <w:t xml:space="preserve"> Contrastar las cifras contra el mercado real, no contra la coherencia interna del libro.</w:t>
      </w:r>
    </w:p>
    <w:p>
      <w:r>
        <w:rPr>
          <w:b/>
        </w:rPr>
        <w:t>C4 · Output.</w:t>
      </w:r>
      <w:r>
        <w:t xml:space="preserve"> Corrección de las cifras y del impacto en el resto del modelo.</w:t>
      </w:r>
    </w:p>
    <w:p>
      <w:r>
        <w:rPr>
          <w:b/>
        </w:rPr>
        <w:t>Resultado.</w:t>
      </w:r>
      <w:r>
        <w:t xml:space="preserve"> La observación era correcta y llevó a tres hallazgos encadenados que la verificación automática </w:t>
      </w:r>
      <w:r>
        <w:rPr>
          <w:b/>
        </w:rPr>
        <w:t>no podía detectar</w:t>
      </w:r>
      <w:r>
        <w:t>, porque el libro calculaba perfectamente:</w:t>
      </w:r>
    </w:p>
    <w:p>
      <w:pPr>
        <w:spacing w:after="80"/>
        <w:ind w:left="510" w:hanging="510"/>
        <w:jc w:val="left"/>
      </w:pPr>
      <w:r>
        <w:t>1.</w:t>
        <w:tab/>
      </w:r>
      <w:r>
        <w:t xml:space="preserve">Los ARS 900.000 equivalían a unos USD 600 mensuales: por debajo de un desarrollador junior. No eran una cifra desactualizada, sino —sin estar dicho en ninguna parte— el </w:t>
      </w:r>
      <w:r>
        <w:rPr>
          <w:b/>
        </w:rPr>
        <w:t>retiro de subsistencia de los socios fundadores</w:t>
      </w:r>
      <w:r>
        <w:t>. El modelo ahora separa el salario de mercado del porcentaje que los socios retiran, del 15 % en el año 1 al 100 % en el año 4 (los porcentajes se bajaron después, en D-33).</w:t>
      </w:r>
    </w:p>
    <w:p>
      <w:pPr>
        <w:spacing w:after="80"/>
        <w:ind w:left="510" w:hanging="510"/>
        <w:jc w:val="left"/>
      </w:pPr>
      <w:r>
        <w:t>2.</w:t>
        <w:tab/>
      </w:r>
      <w:r>
        <w:t xml:space="preserve">Buscando el origen apareció algo más grave: las filas macroeconómicas de la hoja de hipótesis estaban vacías, y eso dejaba los ingresos, los costos variables y los sueldos </w:t>
      </w:r>
      <w:r>
        <w:rPr>
          <w:b/>
        </w:rPr>
        <w:t>planos los cuarenta y ocho meses</w:t>
      </w:r>
      <w:r>
        <w:t>, mientras los costos fijos escalaban porque tienen valores tipeados año por año. Tres de los cuatro bloques de un modelo a cuatro años en Argentina, nominalmente congelados.</w:t>
      </w:r>
    </w:p>
    <w:p>
      <w:pPr>
        <w:spacing w:after="80"/>
        <w:ind w:left="510" w:hanging="510"/>
        <w:jc w:val="left"/>
      </w:pPr>
      <w:r>
        <w:t>3.</w:t>
        <w:tab/>
      </w:r>
      <w:r>
        <w:t xml:space="preserve">Con sueldos a valor de mercado, </w:t>
      </w:r>
      <w:r>
        <w:rPr>
          <w:b/>
        </w:rPr>
        <w:t>los precios del documento no sostenían el negocio en ningún año</w:t>
      </w:r>
      <w:r>
        <w:t>: al cierre del año 4 el resultado operativo daba ARS −319 M y el equilibrio exigía 886 clientes contra los 352 que proyecta el embudo. El ingreso por cliente resultaba de unos USD 19 mensuales para administrar dos docenas de equipos, cuando las herramientas de RMM del mercado cobran entre USD 2 y USD 4 por equipo. Los precios revisados llevan el abono al rango de mercado, y con la recalibración posterior del calendario de incorporaciones —D-33— y la corrección de la línea del Segmento B —D-34— el año 4 cierra en ARS +220,7 M.</w:t>
      </w:r>
    </w:p>
    <w:p>
      <w:r>
        <w:rPr>
          <w:b/>
        </w:rPr>
        <w:t>Lo que esto deja documentado.</w:t>
      </w:r>
      <w:r>
        <w:t xml:space="preserve"> Un modelo puede estar internamente perfecto —cero errores de fórmula, todos los controles en verde— y sostener una premisa falsa. La verificación automática comprueba consistencia, no realismo. El realismo lo aportó la revisión del autor sobre una cifra que le resultó inverosímil.</w:t>
      </w:r>
    </w:p>
    <w:p>
      <w:pPr>
        <w:pStyle w:val="Heading2"/>
        <w:pBdr>
          <w:bottom w:val="single" w:sz="6" w:space="6" w:color="2F5496"/>
        </w:pBdr>
        <w:spacing w:before="440"/>
      </w:pPr>
      <w:r>
        <w:rPr>
          <w:rFonts w:ascii="Calibri" w:hAnsi="Calibri" w:eastAsia="Calibri"/>
          <w:color w:val="2F5496"/>
        </w:rPr>
        <w:t>PC-13 · Ejecución del sistema y cierre de la trazabilidad</w:t>
      </w:r>
    </w:p>
    <w:p>
      <w:r>
        <w:rPr>
          <w:b/>
        </w:rPr>
        <w:t>C1 · Contexto.</w:t>
      </w:r>
      <w:r>
        <w:t xml:space="preserve"> Sistema construido y probado, pero sin una forma simple de levantarlo para evaluarlo.</w:t>
      </w:r>
    </w:p>
    <w:p>
      <w:r>
        <w:rPr>
          <w:b/>
        </w:rPr>
        <w:t>C2 · Constraints.</w:t>
      </w:r>
      <w:r>
        <w:t xml:space="preserve"> Tres pedidos del autor: cómo ejecutar el sistema para probarlo, el registro de prompts </w:t>
      </w:r>
      <w:r>
        <w:rPr>
          <w:b/>
        </w:rPr>
        <w:t>en un Word que se vaya actualizando</w:t>
      </w:r>
      <w:r>
        <w:t xml:space="preserve">, y el estado real del documento. Además, que el anexo de trazabilidad y los manuales vayan en </w:t>
      </w:r>
      <w:r>
        <w:rPr>
          <w:b/>
        </w:rPr>
        <w:t>archivos aparte</w:t>
      </w:r>
      <w:r>
        <w:t xml:space="preserve"> del cuerpo del documento.</w:t>
      </w:r>
    </w:p>
    <w:p>
      <w:r>
        <w:rPr>
          <w:b/>
        </w:rPr>
        <w:t>C3 · Criterio.</w:t>
      </w:r>
      <w:r>
        <w:t xml:space="preserve"> Que el anexo se pueda regenerar a medida que el registro crece, sin mantener dos versiones en paralelo.</w:t>
      </w:r>
    </w:p>
    <w:p>
      <w:r>
        <w:rPr>
          <w:b/>
        </w:rPr>
        <w:t>C4 · Output.</w:t>
      </w:r>
      <w:r>
        <w:t xml:space="preserve"> Script de arranque y generador del anexo.</w:t>
      </w:r>
    </w:p>
    <w:p>
      <w:r>
        <w:rPr>
          <w:b/>
        </w:rPr>
        <w:t>Resultado.</w:t>
      </w:r>
      <w:r>
        <w:t xml:space="preserve"> </w:t>
      </w:r>
      <w:r>
        <w:rPr>
          <w:rFonts w:ascii="Consolas" w:hAnsi="Consolas" w:eastAsia="Consolas"/>
          <w:sz w:val="21"/>
        </w:rPr>
        <w:t>arrancar.ps1</w:t>
      </w:r>
      <w:r>
        <w:t xml:space="preserve"> levanta base, API y frontend, y con </w:t>
      </w:r>
      <w:r>
        <w:rPr>
          <w:rFonts w:ascii="Consolas" w:hAnsi="Consolas" w:eastAsia="Consolas"/>
          <w:sz w:val="21"/>
        </w:rPr>
        <w:t>-IaCaida</w:t>
      </w:r>
      <w:r>
        <w:t xml:space="preserve"> fuerza la caída del proveedor para demostrar el CP-14 en vivo. El anexo se genera con </w:t>
      </w:r>
      <w:r>
        <w:rPr>
          <w:rFonts w:ascii="Consolas" w:hAnsi="Consolas" w:eastAsia="Consolas"/>
          <w:sz w:val="21"/>
        </w:rPr>
        <w:t>_generar-anexo.py</w:t>
      </w:r>
      <w:r>
        <w:t xml:space="preserve"> a partir de los dos markdown, que siguen siendo la fuente: se editan a mano y el Word se reconstruye entero.</w:t>
      </w:r>
    </w:p>
    <w:p>
      <w:pPr>
        <w:pStyle w:val="Heading2"/>
        <w:pBdr>
          <w:bottom w:val="single" w:sz="6" w:space="6" w:color="2F5496"/>
        </w:pBdr>
        <w:spacing w:before="440"/>
      </w:pPr>
      <w:r>
        <w:rPr>
          <w:rFonts w:ascii="Calibri" w:hAnsi="Calibri" w:eastAsia="Calibri"/>
          <w:color w:val="2F5496"/>
        </w:rPr>
        <w:t>PC-14 · Auditoría contra los requisitos de arquitectura de la cátedra</w:t>
      </w:r>
    </w:p>
    <w:p>
      <w:r>
        <w:rPr>
          <w:b/>
        </w:rPr>
        <w:t>C1 · Contexto.</w:t>
      </w:r>
      <w:r>
        <w:t xml:space="preserve"> Sistema funcionando, con las pruebas en verde y el documento sincronizado. Antes de darlo por cerrado, el autor pidió verificar que estuvieran cubiertos </w:t>
      </w:r>
      <w:r>
        <w:rPr>
          <w:b/>
        </w:rPr>
        <w:t>todos</w:t>
      </w:r>
      <w:r>
        <w:t xml:space="preserve"> los puntos de arquitectura del trabajo de tercer año: bitácora, seguridad, multiidioma, criptografía, patente-familia y patrones.</w:t>
      </w:r>
    </w:p>
    <w:p>
      <w:r>
        <w:rPr>
          <w:b/>
        </w:rPr>
        <w:t>C2 · Constraints.</w:t>
      </w:r>
      <w:r>
        <w:t xml:space="preserve"> El material de referencia —documento y script de base del proyecto de 3.º año— está en Drive y había que leerlo entero, no de memoria. Ninguna afirmación de cobertura sin verla contra el sistema.</w:t>
      </w:r>
    </w:p>
    <w:p>
      <w:r>
        <w:rPr>
          <w:b/>
        </w:rPr>
        <w:t>C3 · Criterio.</w:t>
      </w:r>
      <w:r>
        <w:t xml:space="preserve"> Que el resultado fuera una tabla de estado por requisito, con los huecos nombrados. Una auditoría que concluye «está todo bien» no auditó.</w:t>
      </w:r>
    </w:p>
    <w:p>
      <w:r>
        <w:rPr>
          <w:b/>
        </w:rPr>
        <w:t>C4 · Output.</w:t>
      </w:r>
      <w:r>
        <w:t xml:space="preserve"> Estado de los cinco Req. Arq. y de los siete CU.Arq.</w:t>
      </w:r>
    </w:p>
    <w:p>
      <w:r>
        <w:rPr>
          <w:b/>
        </w:rPr>
        <w:t>Resultado.</w:t>
      </w:r>
      <w:r>
        <w:t xml:space="preserve"> Cinco huecos reales, con distinto peso:</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Requisito</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 encontrado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Req. Arq. 001 · Multiidioma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b/>
                <w:sz w:val="20"/>
              </w:rPr>
              <w:t>Ausente.</w:t>
            </w:r>
            <w:r>
              <w:rPr>
                <w:rFonts w:ascii="Calibri" w:hAnsi="Calibri" w:eastAsia="Calibri"/>
                <w:sz w:val="20"/>
              </w:rPr>
              <w:t xml:space="preserve"> Todo el texto estaba escrito en los componentes.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Req. Arq. 002 · Bitácora</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Parcial. La tabla y el disparador de inmutabilidad estaban; ver PC-15.</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Req. Arq. 003 · Respaldos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Cubierto y verificado.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CU.Arq.006 · Criptografía</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Parcial. Sólo hash de un sentido; faltaba cifrado reversible.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Patente-familia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Parcial. Faltaba el atributo </w:t>
            </w:r>
            <w:r>
              <w:rPr>
                <w:rFonts w:ascii="Consolas" w:hAnsi="Consolas" w:eastAsia="Consolas"/>
                <w:sz w:val="19"/>
              </w:rPr>
              <w:t>TipoAcceso</w:t>
            </w:r>
            <w:r>
              <w:rPr>
                <w:rFonts w:ascii="Calibri" w:hAnsi="Calibri" w:eastAsia="Calibri"/>
                <w:sz w:val="20"/>
              </w:rPr>
              <w:t xml:space="preserve"> del modelo de referencia.</w:t>
            </w:r>
          </w:p>
        </w:tc>
      </w:tr>
    </w:tbl>
    <w:p>
      <w:pPr>
        <w:spacing w:after="80"/>
      </w:pPr>
    </w:p>
    <w:p>
      <w:r>
        <w:t xml:space="preserve">La lectura del script de referencia también sirvió para </w:t>
      </w:r>
      <w:r>
        <w:rPr>
          <w:b/>
        </w:rPr>
        <w:t>confirmar una decisión anterior</w:t>
      </w:r>
      <w:r>
        <w:t>: el proyecto de 3.º año no implementa dígito verificador, lo que respalda haberlo dejado fuera de alcance.</w:t>
      </w:r>
    </w:p>
    <w:p>
      <w:r>
        <w:t>Se registró además una desviación deliberada: el modelo de referencia asocia patentes y familias directamente al usuario, sin tabla de roles. PredictIT inserta una capa de Rol, porque un sistema multi-organización necesita otorgar el mismo conjunto de permisos a muchas personas.</w:t>
      </w:r>
    </w:p>
    <w:p>
      <w:pPr>
        <w:pStyle w:val="Heading2"/>
        <w:pBdr>
          <w:bottom w:val="single" w:sz="6" w:space="6" w:color="2F5496"/>
        </w:pBdr>
        <w:spacing w:before="440"/>
      </w:pPr>
      <w:r>
        <w:rPr>
          <w:rFonts w:ascii="Calibri" w:hAnsi="Calibri" w:eastAsia="Calibri"/>
          <w:color w:val="2F5496"/>
        </w:rPr>
        <w:t>PC-15 · Verificación de la bitácora sobre datos reales</w:t>
      </w:r>
    </w:p>
    <w:p>
      <w:r>
        <w:rPr>
          <w:b/>
        </w:rPr>
        <w:t>C1 · Contexto.</w:t>
      </w:r>
      <w:r>
        <w:t xml:space="preserve"> La bitácora estaba implementada: tabla inmutable por disparador, servicio de escritura, pantalla de consulta y llamadas desde todos los business.</w:t>
      </w:r>
    </w:p>
    <w:p>
      <w:r>
        <w:rPr>
          <w:b/>
        </w:rPr>
        <w:t>C2 · Constraints.</w:t>
      </w:r>
      <w:r>
        <w:t xml:space="preserve"> Verificar sobre la base, no leyendo el código.</w:t>
      </w:r>
    </w:p>
    <w:p>
      <w:r>
        <w:rPr>
          <w:b/>
        </w:rPr>
        <w:t>C3 · Criterio.</w:t>
      </w:r>
      <w:r>
        <w:t xml:space="preserve"> Contar las filas por tipo de evento. Si la bitácora funciona, tiene que haber altas de incidencia, asignaciones y alertas, no sólo accesos.</w:t>
      </w:r>
    </w:p>
    <w:p>
      <w:r>
        <w:rPr>
          <w:b/>
        </w:rPr>
        <w:t>C4 · Output.</w:t>
      </w:r>
      <w:r>
        <w:t xml:space="preserve"> Conteo real por tipo de evento.</w:t>
      </w:r>
    </w:p>
    <w:p>
      <w:r>
        <w:rPr>
          <w:b/>
        </w:rPr>
        <w:t>Resultado.</w:t>
      </w:r>
      <w:r>
        <w:t xml:space="preserve"> El defecto más serio de toda la auditoría. La bitácora tenía 37 inicios de sesión, 6 accesos denegados, 4 respaldos… y </w:t>
      </w:r>
      <w:r>
        <w:rPr>
          <w:b/>
        </w:rPr>
        <w:t>ningún evento de negocio</w:t>
      </w:r>
      <w:r>
        <w:t xml:space="preserve">. Ocho de los nueve códigos que el sistema asentaba no existían en el catálogo </w:t>
      </w:r>
      <w:r>
        <w:rPr>
          <w:rFonts w:ascii="Consolas" w:hAnsi="Consolas" w:eastAsia="Consolas"/>
          <w:sz w:val="21"/>
        </w:rPr>
        <w:t>TipoEvento</w:t>
      </w:r>
      <w:r>
        <w:t>, y el servicio, al no encontrar el código, avisa al logger y no escribe. Sin un solo error visible: ni excepción, ni respuesta distinta, ni prueba en rojo.</w:t>
      </w:r>
    </w:p>
    <w:p>
      <w:r>
        <w:t>Era invisible leyendo el código, porque cada llamada estaba bien escrita. Sólo aparece contando filas.</w:t>
      </w:r>
    </w:p>
    <w:p>
      <w:r>
        <w:t>Se completó el catálogo, se pasaron las llamadas a constantes —una constante mal escrita no compila, un literal sí— y se agregaron dos pruebas que sostienen la propiedad: una verifica por reflexión que cada constante declarada exista en la base, la otra rechaza literales sueltos en las llamadas a bitácora.</w:t>
      </w:r>
    </w:p>
    <w:p>
      <w:r>
        <w:t xml:space="preserve">Al corregirlo apareció un segundo hueco del mismo tipo: la clasificación y la asignación automáticas </w:t>
      </w:r>
      <w:r>
        <w:rPr>
          <w:b/>
        </w:rPr>
        <w:t>exitosas</w:t>
      </w:r>
      <w:r>
        <w:t xml:space="preserve"> tampoco dejaban rastro. Sólo se registraba el camino de respaldo, o sea el que falla. Ahora se registran las dos, distinguiendo si decidió la IA o una heurística: decir «IA» cuando resolvió una heurística falsearía justo la trazabilidad que la bitácora tiene que sostener.</w:t>
      </w:r>
    </w:p>
    <w:p>
      <w:pPr>
        <w:pStyle w:val="Heading2"/>
        <w:pBdr>
          <w:bottom w:val="single" w:sz="6" w:space="6" w:color="2F5496"/>
        </w:pBdr>
        <w:spacing w:before="440"/>
      </w:pPr>
      <w:r>
        <w:rPr>
          <w:rFonts w:ascii="Calibri" w:hAnsi="Calibri" w:eastAsia="Calibri"/>
          <w:color w:val="2F5496"/>
        </w:rPr>
        <w:t>PC-16 · El análisis predictivo no se aplicaba solo</w:t>
      </w:r>
    </w:p>
    <w:p>
      <w:r>
        <w:rPr>
          <w:b/>
        </w:rPr>
        <w:t>C1 · Contexto.</w:t>
      </w:r>
      <w:r>
        <w:t xml:space="preserve"> Durante la auditoría, el autor reportó que el sistema «no está aplicando análisis predictivo».</w:t>
      </w:r>
    </w:p>
    <w:p>
      <w:r>
        <w:rPr>
          <w:b/>
        </w:rPr>
        <w:t>C2 · Constraints.</w:t>
      </w:r>
      <w:r>
        <w:t xml:space="preserve"> El motor pasaba sus pruebas y la API devolvía datos correctos, así que el reporte parecía contradecir la evidencia.</w:t>
      </w:r>
    </w:p>
    <w:p>
      <w:r>
        <w:rPr>
          <w:b/>
        </w:rPr>
        <w:t>C3 · Criterio.</w:t>
      </w:r>
      <w:r>
        <w:t xml:space="preserve"> Antes de discutir el reporte, buscar quién invoca al motor.</w:t>
      </w:r>
    </w:p>
    <w:p>
      <w:r>
        <w:rPr>
          <w:b/>
        </w:rPr>
        <w:t>C4 · Output.</w:t>
      </w:r>
      <w:r>
        <w:t xml:space="preserve"> Lista de llamadores de </w:t>
      </w:r>
      <w:r>
        <w:rPr>
          <w:rFonts w:ascii="Consolas" w:hAnsi="Consolas" w:eastAsia="Consolas"/>
          <w:sz w:val="21"/>
        </w:rPr>
        <w:t>EvaluarParque</w:t>
      </w:r>
      <w:r>
        <w:t xml:space="preserve"> y </w:t>
      </w:r>
      <w:r>
        <w:rPr>
          <w:rFonts w:ascii="Consolas" w:hAnsi="Consolas" w:eastAsia="Consolas"/>
          <w:sz w:val="21"/>
        </w:rPr>
        <w:t>EvaluarEquipo</w:t>
      </w:r>
      <w:r>
        <w:t>.</w:t>
      </w:r>
    </w:p>
    <w:p>
      <w:r>
        <w:rPr>
          <w:b/>
        </w:rPr>
        <w:t>Resultado.</w:t>
      </w:r>
      <w:r>
        <w:t xml:space="preserve"> El autor tenía razón y la evidencia no lo contradecía: el motor funcionaba, pero </w:t>
      </w:r>
      <w:r>
        <w:rPr>
          <w:b/>
        </w:rPr>
        <w:t>nadie lo invocaba salvo el botón de la pantalla</w:t>
      </w:r>
      <w:r>
        <w:t>. Ni el alta de una incidencia, ni el registro de un mantenimiento, ni ningún proceso programado.</w:t>
      </w:r>
    </w:p>
    <w:p>
      <w:r>
        <w:t xml:space="preserve">Es la misma clase de defecto que PC-15 y merece señalarse como tal: </w:t>
      </w:r>
      <w:r>
        <w:rPr>
          <w:b/>
        </w:rPr>
        <w:t>una pieza que falta no rompe nada</w:t>
      </w:r>
      <w:r>
        <w:t>. Cada componente estaba bien, las pruebas ejercitaban el motor directamente, y lo que no existía no podía fallar. Los dos hallazgos más graves de esta auditoría fueron ausencias, no errores, y ninguno era detectable leyendo el código.</w:t>
      </w:r>
    </w:p>
    <w:p>
      <w:r>
        <w:t>Se resolvió con dos disparadores —por hecho y por barrido programado— y quedó documentado en el ADR 0011.</w:t>
      </w:r>
    </w:p>
    <w:p>
      <w:pPr>
        <w:pStyle w:val="Heading2"/>
        <w:pBdr>
          <w:bottom w:val="single" w:sz="6" w:space="6" w:color="2F5496"/>
        </w:pBdr>
        <w:spacing w:before="440"/>
      </w:pPr>
      <w:r>
        <w:rPr>
          <w:rFonts w:ascii="Calibri" w:hAnsi="Calibri" w:eastAsia="Calibri"/>
          <w:color w:val="2F5496"/>
        </w:rPr>
        <w:t>PC-17 · Buscar lo declarado y no usado</w:t>
      </w:r>
    </w:p>
    <w:p>
      <w:r>
        <w:rPr>
          <w:b/>
        </w:rPr>
        <w:t>C1 · Contexto.</w:t>
      </w:r>
      <w:r>
        <w:t xml:space="preserve"> El sistema estaba dado por completo: los cinco Req. Arq. cubiertos, integración continua andando, y el documento sincronizado. El autor pidió verificar qué faltaba de código además del frontend.</w:t>
      </w:r>
    </w:p>
    <w:p>
      <w:r>
        <w:rPr>
          <w:b/>
        </w:rPr>
        <w:t>C2 · Constraints.</w:t>
      </w:r>
      <w:r>
        <w:t xml:space="preserve"> No responder de memoria ni con una lista de deseos: buscar en el código.</w:t>
      </w:r>
    </w:p>
    <w:p>
      <w:r>
        <w:rPr>
          <w:b/>
        </w:rPr>
        <w:t>C3 · Criterio.</w:t>
      </w:r>
      <w:r>
        <w:t xml:space="preserve"> La técnica que ya había encontrado dos defectos: comparar lo que el sistema </w:t>
      </w:r>
      <w:r>
        <w:rPr>
          <w:b/>
        </w:rPr>
        <w:t>declara</w:t>
      </w:r>
      <w:r>
        <w:t xml:space="preserve"> contra lo que </w:t>
      </w:r>
      <w:r>
        <w:rPr>
          <w:b/>
        </w:rPr>
        <w:t>usa</w:t>
      </w:r>
      <w:r>
        <w:t>. Concretamente, recorrer las veintiséis patentes y los diecisiete códigos de evento y contar los usos reales de cada uno fuera de su declaración.</w:t>
      </w:r>
    </w:p>
    <w:p>
      <w:r>
        <w:rPr>
          <w:b/>
        </w:rPr>
        <w:t>C4 · Output.</w:t>
      </w:r>
      <w:r>
        <w:t xml:space="preserve"> La lista de los que no tenían ninguno.</w:t>
      </w:r>
    </w:p>
    <w:p>
      <w:r>
        <w:rPr>
          <w:b/>
        </w:rPr>
        <w:t>Resultado.</w:t>
      </w:r>
      <w:r>
        <w:t xml:space="preserve"> Cuatro patentes y dos códigos de evento sin un solo uso. Cada uno era un caso de uso que el modelo de permisos prometía y el sistema no tenía:</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Declarado sin usar</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significaba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INCIDENCIA_ATENDER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incidencia se registraba y se reasignaba, y nada más. Siete estados en el catálogo y sólo dos alcanzables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EQUIPO_CAMBIAR_ESTADO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Sólo existía dar de baja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REPORTE_GENERAR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RF-14 estaba en el documento y no en el sistema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HISTORIAL_VER_ORGANIZACION</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 patente existía, la pantalla no</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LOGOUT</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La bitácora tenía todas las entradas y ninguna salida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RESTORE</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servicio sabía restaurar; ningún endpoint lo llamaba</w:t>
            </w:r>
          </w:p>
        </w:tc>
      </w:tr>
    </w:tbl>
    <w:p>
      <w:pPr>
        <w:spacing w:after="80"/>
      </w:pPr>
    </w:p>
    <w:p>
      <w:r>
        <w:t xml:space="preserve">El de </w:t>
      </w:r>
      <w:r>
        <w:rPr>
          <w:rFonts w:ascii="Consolas" w:hAnsi="Consolas" w:eastAsia="Consolas"/>
          <w:sz w:val="21"/>
        </w:rPr>
        <w:t>INCIDENCIA_ATENDER</w:t>
      </w:r>
      <w:r>
        <w:t xml:space="preserve"> era el grave: </w:t>
      </w:r>
      <w:r>
        <w:rPr>
          <w:rFonts w:ascii="Consolas" w:hAnsi="Consolas" w:eastAsia="Consolas"/>
          <w:sz w:val="21"/>
        </w:rPr>
        <w:t>diagnostico</w:t>
      </w:r>
      <w:r>
        <w:t xml:space="preserve">, </w:t>
      </w:r>
      <w:r>
        <w:rPr>
          <w:rFonts w:ascii="Consolas" w:hAnsi="Consolas" w:eastAsia="Consolas"/>
          <w:sz w:val="21"/>
        </w:rPr>
        <w:t>solucion</w:t>
      </w:r>
      <w:r>
        <w:t xml:space="preserve"> y </w:t>
      </w:r>
      <w:r>
        <w:rPr>
          <w:rFonts w:ascii="Consolas" w:hAnsi="Consolas" w:eastAsia="Consolas"/>
          <w:sz w:val="21"/>
        </w:rPr>
        <w:t>fecha_resolucion</w:t>
      </w:r>
      <w:r>
        <w:t xml:space="preserve"> existían en la base, el detalle de la incidencia las devolvía, y ninguna consulta las escribía. Sin fecha de resolución no hay tiempo de reparación, y sin eso el SLA de cuatro horas que promete el documento no se puede medir.</w:t>
      </w:r>
    </w:p>
    <w:p>
      <w:r>
        <w:rPr>
          <w:b/>
        </w:rPr>
        <w:t>Lo que este hallazgo dice del proceso.</w:t>
      </w:r>
      <w:r>
        <w:t xml:space="preserve"> Es la </w:t>
      </w:r>
      <w:r>
        <w:rPr>
          <w:b/>
        </w:rPr>
        <w:t>tercera vez</w:t>
      </w:r>
      <w:r>
        <w:t xml:space="preserve"> que la misma técnica encuentra algo, y las tres veces el hallazgo fue una </w:t>
      </w:r>
      <w:r>
        <w:rPr>
          <w:b/>
        </w:rPr>
        <w:t>ausencia</w:t>
      </w:r>
      <w:r>
        <w:t xml:space="preserve"> y no un error: la bitácora sin eventos de negocio, el motor predictivo que no se disparaba solo, y ahora seis casos de uso que el modelo de permisos prometía. Ninguna prueba podía fallar, porque en los tres casos no había código roto.</w:t>
      </w:r>
    </w:p>
    <w:p>
      <w:r>
        <w:t>De ahí sale la métrica que va primera en el plan de sprints, y de ahí sale que la Definición de Terminado exija verificar sobre el sistema corriendo.</w:t>
      </w:r>
    </w:p>
    <w:p>
      <w:pPr>
        <w:pStyle w:val="Heading2"/>
        <w:pBdr>
          <w:bottom w:val="single" w:sz="6" w:space="6" w:color="2F5496"/>
        </w:pBdr>
        <w:spacing w:before="440"/>
      </w:pPr>
      <w:r>
        <w:rPr>
          <w:rFonts w:ascii="Calibri" w:hAnsi="Calibri" w:eastAsia="Calibri"/>
          <w:color w:val="2F5496"/>
        </w:rPr>
        <w:t>PC-18 · El interbloqueo del botón «Resuelta»</w:t>
      </w:r>
    </w:p>
    <w:p>
      <w:r>
        <w:rPr>
          <w:b/>
        </w:rPr>
        <w:t>C1 · Contexto.</w:t>
      </w:r>
      <w:r>
        <w:t xml:space="preserve"> Implementado el ciclo de vida de la incidencia, con la máquina de estados en la capa de negocio y la pantalla consultando qué transiciones hay.</w:t>
      </w:r>
    </w:p>
    <w:p>
      <w:r>
        <w:rPr>
          <w:b/>
        </w:rPr>
        <w:t>C2 · Constraints.</w:t>
      </w:r>
      <w:r>
        <w:t xml:space="preserve"> El diseño era razonable y las pruebas pasaban: el negocio devolvía, junto con cada transición posible, el impedimento que la bloqueaba — «falta cargar el diagnóstico», «hace falta un técnico asignado»—, y la pantalla mostraba el botón deshabilitado con el motivo. Un botón que desaparece se lee como un error; uno deshabilitado que dice por qué se lee como una regla.</w:t>
      </w:r>
    </w:p>
    <w:p>
      <w:r>
        <w:rPr>
          <w:b/>
        </w:rPr>
        <w:t>C3 · Criterio.</w:t>
      </w:r>
      <w:r>
        <w:t xml:space="preserve"> Recorrer el flujo completo en la pantalla, no por la API.</w:t>
      </w:r>
    </w:p>
    <w:p>
      <w:r>
        <w:rPr>
          <w:b/>
        </w:rPr>
        <w:t>C4 · Output.</w:t>
      </w:r>
      <w:r>
        <w:t xml:space="preserve"> El estado real de los botones.</w:t>
      </w:r>
    </w:p>
    <w:p>
      <w:r>
        <w:rPr>
          <w:b/>
        </w:rPr>
        <w:t>Resultado.</w:t>
      </w:r>
      <w:r>
        <w:t xml:space="preserve"> El botón «Resuelta» quedaba deshabilitado </w:t>
      </w:r>
      <w:r>
        <w:rPr>
          <w:b/>
        </w:rPr>
        <w:t>para siempre</w:t>
      </w:r>
      <w:r>
        <w:t xml:space="preserve">. El negocio calculaba el impedimento sobre el diagnóstico </w:t>
      </w:r>
      <w:r>
        <w:rPr>
          <w:b/>
        </w:rPr>
        <w:t>guardado</w:t>
      </w:r>
      <w:r>
        <w:t>, y para guardar el diagnóstico hacía falta una transición, y la transición pedía el diagnóstico guardado. Un interbloqueo perfecto, y no había forma de verlo leyendo ninguno de los dos lados por separado: cada uno era correcto.</w:t>
      </w:r>
    </w:p>
    <w:p>
      <w:r>
        <w:t>La corrección no fue un parche sino un reparto distinto de responsabilidades:</w:t>
      </w:r>
    </w:p>
    <w:p>
      <w:pPr>
        <w:pStyle w:val="ListBullet"/>
      </w:pPr>
      <w:r>
        <w:rPr>
          <w:b/>
        </w:rPr>
        <w:t>El negocio valida.</w:t>
      </w:r>
      <w:r>
        <w:t xml:space="preserve"> Rechaza resolver sin los dos textos, y esa es la única garantía: vale contra la API, contra Swagger y contra cualquier cliente futuro.</w:t>
      </w:r>
    </w:p>
    <w:p>
      <w:pPr>
        <w:pStyle w:val="ListBullet"/>
      </w:pPr>
      <w:r>
        <w:rPr>
          <w:b/>
        </w:rPr>
        <w:t>El negocio informa sólo los impedimentos que el formulario no puede conocer</w:t>
      </w:r>
      <w:r>
        <w:t>: si hay técnico asignado y quién es.</w:t>
      </w:r>
    </w:p>
    <w:p>
      <w:pPr>
        <w:pStyle w:val="ListBullet"/>
      </w:pPr>
      <w:r>
        <w:rPr>
          <w:b/>
        </w:rPr>
        <w:t>El formulario guía</w:t>
      </w:r>
      <w:r>
        <w:t>, evaluando lo escrito —que es lo que va a viajar en la misma llamada— y no lo guardado.</w:t>
      </w:r>
    </w:p>
    <w:p>
      <w:r>
        <w:t>Quedó escrito en el propio código, en el comentario del método que calcula los impedimentos, porque es el tipo de decisión que alguien deshace por parecer una inconsistencia.</w:t>
      </w:r>
    </w:p>
    <w:p>
      <w:pPr>
        <w:pStyle w:val="Heading2"/>
        <w:pBdr>
          <w:bottom w:val="single" w:sz="6" w:space="6" w:color="2F5496"/>
        </w:pBdr>
        <w:spacing w:before="440"/>
      </w:pPr>
      <w:r>
        <w:rPr>
          <w:rFonts w:ascii="Calibri" w:hAnsi="Calibri" w:eastAsia="Calibri"/>
          <w:color w:val="2F5496"/>
        </w:rPr>
        <w:t>PC-19 · ¿El sistema es demasiado simple?</w:t>
      </w:r>
    </w:p>
    <w:p>
      <w:r>
        <w:rPr>
          <w:b/>
        </w:rPr>
        <w:t>C1 · Contexto.</w:t>
      </w:r>
      <w:r>
        <w:t xml:space="preserve"> Sistema completo y verificado, con el alcance del capítulo 10 cubierto y tres funciones de IA. Faltaban dos meses para la defensa.</w:t>
      </w:r>
    </w:p>
    <w:p>
      <w:r>
        <w:rPr>
          <w:b/>
        </w:rPr>
        <w:t>C2 · Constraints.</w:t>
      </w:r>
      <w:r>
        <w:t xml:space="preserve"> La duda era mía y no técnica: el trabajo podía parecer pobre en gestión al lado de un sistema de ventas con combos y facturación, como el de tercer año. La restricción que puse fue explícita: </w:t>
      </w:r>
      <w:r>
        <w:rPr>
          <w:b/>
        </w:rPr>
        <w:t>no agregar pantallas por volumen</w:t>
      </w:r>
      <w:r>
        <w:t>. Un módulo que existe para que el trabajo parezca más grande lo empeora, porque agrega superficie sin agregar sentido y hay que sostenerlo en la defensa.</w:t>
      </w:r>
    </w:p>
    <w:p>
      <w:r>
        <w:rPr>
          <w:b/>
        </w:rPr>
        <w:t>C3 · Criterio.</w:t>
      </w:r>
      <w:r>
        <w:t xml:space="preserve"> Buscar huecos que el propio sistema ya tuviera abiertos, y descartarlo si no había ninguno. Un módulo nuevo tenía que cerrar algo que el sistema promete y no cumple, no inventar una promesa nueva.</w:t>
      </w:r>
    </w:p>
    <w:p>
      <w:r>
        <w:rPr>
          <w:b/>
        </w:rPr>
        <w:t>C4 · Output.</w:t>
      </w:r>
      <w:r>
        <w:t xml:space="preserve"> Los huecos, con el lugar del sistema donde se ven.</w:t>
      </w:r>
    </w:p>
    <w:p>
      <w:r>
        <w:rPr>
          <w:b/>
        </w:rPr>
        <w:t>Resultado.</w:t>
      </w:r>
      <w:r>
        <w:t xml:space="preserve"> Aparecieron dos, y los dos eran reales:</w:t>
      </w:r>
    </w:p>
    <w:p>
      <w:pPr>
        <w:spacing w:after="80"/>
        <w:ind w:left="510" w:hanging="510"/>
        <w:jc w:val="left"/>
      </w:pPr>
      <w:r>
        <w:t>1.</w:t>
        <w:tab/>
      </w:r>
      <w:r>
        <w:rPr>
          <w:b/>
        </w:rPr>
        <w:t>El motor predictivo recomendaba «programar el mantenimiento preventivo» y no había con qué programarlo.</w:t>
      </w:r>
      <w:r>
        <w:t xml:space="preserve"> La recomendación terminaba en un papel o en la memoria de alguien. </w:t>
      </w:r>
      <w:r>
        <w:rPr>
          <w:rFonts w:ascii="Consolas" w:hAnsi="Consolas" w:eastAsia="Consolas"/>
          <w:sz w:val="21"/>
        </w:rPr>
        <w:t>Mantenimiento</w:t>
      </w:r>
      <w:r>
        <w:t xml:space="preserve"> sólo registraba lo que ya había pasado.</w:t>
      </w:r>
    </w:p>
    <w:p>
      <w:pPr>
        <w:spacing w:after="80"/>
        <w:ind w:left="510" w:hanging="510"/>
        <w:jc w:val="left"/>
      </w:pPr>
      <w:r>
        <w:t>2.</w:t>
        <w:tab/>
      </w:r>
      <w:r>
        <w:rPr>
          <w:b/>
        </w:rPr>
        <w:t>El plan de negocio cobra por abono más equipos administrados, y el sistema lo calculaba sin registrarlo.</w:t>
      </w:r>
      <w:r>
        <w:t xml:space="preserve"> La pantalla de Organización mostraba cuánto sale el mes; no había forma de saber qué se facturó, cuándo vence ni qué está impago. Era el puente que faltaba entre los capítulos 5 a 7 y el 10.</w:t>
      </w:r>
    </w:p>
    <w:p>
      <w:r>
        <w:t>Los dos entraron. El criterio de selección quedó registrado porque es lo que distingue «agregué dos módulos» de «cerré dos huecos», y en la defensa la pregunta va a ser por qué están.</w:t>
      </w:r>
    </w:p>
    <w:p>
      <w:pPr>
        <w:pStyle w:val="Heading2"/>
        <w:pBdr>
          <w:bottom w:val="single" w:sz="6" w:space="6" w:color="2F5496"/>
        </w:pBdr>
        <w:spacing w:before="440"/>
      </w:pPr>
      <w:r>
        <w:rPr>
          <w:rFonts w:ascii="Calibri" w:hAnsi="Calibri" w:eastAsia="Calibri"/>
          <w:color w:val="2F5496"/>
        </w:rPr>
        <w:t>PC-20 · Con un plan cargado, ¿qué significa «vencido»?</w:t>
      </w:r>
    </w:p>
    <w:p>
      <w:r>
        <w:rPr>
          <w:b/>
        </w:rPr>
        <w:t>C1 · Contexto.</w:t>
      </w:r>
      <w:r>
        <w:t xml:space="preserve"> Construido el plan de mantenimiento, con sus fechas agendadas. La regla </w:t>
      </w:r>
      <w:r>
        <w:rPr>
          <w:rFonts w:ascii="Consolas" w:hAnsi="Consolas" w:eastAsia="Consolas"/>
          <w:sz w:val="21"/>
        </w:rPr>
        <w:t>MANTENIMIENTO_VENCIDO</w:t>
      </w:r>
      <w:r>
        <w:t xml:space="preserve"> del motor predictivo medía días desde el último preventivo contra un umbral escrito en la propia regla.</w:t>
      </w:r>
    </w:p>
    <w:p>
      <w:r>
        <w:rPr>
          <w:b/>
        </w:rPr>
        <w:t>C2 · Constraints.</w:t>
      </w:r>
      <w:r>
        <w:t xml:space="preserve"> Las dos definiciones conviven y se contradicen. Con un umbral de 180 días, un equipo que hace 250 días que no recibe un preventivo está «vencido» aunque la organización tenga el próximo agendado para la semana que viene. La regla estaría contradiciendo una decisión que alguien acaba de tomar sobre ese mismo equipo.</w:t>
      </w:r>
    </w:p>
    <w:p>
      <w:r>
        <w:rPr>
          <w:b/>
        </w:rPr>
        <w:t>C3 · Criterio.</w:t>
      </w:r>
      <w:r>
        <w:t xml:space="preserve"> Escribir primero las pruebas que describen el comportamiento deseado, verificar que fallen sobre el código actual, y recién entonces cambiar la regla. Y comprobarlo después contra el sistema corriendo, no sólo con dobles.</w:t>
      </w:r>
    </w:p>
    <w:p>
      <w:r>
        <w:rPr>
          <w:b/>
        </w:rPr>
        <w:t>C4 · Output.</w:t>
      </w:r>
      <w:r>
        <w:t xml:space="preserve"> Las pruebas en rojo, y después el cambio.</w:t>
      </w:r>
    </w:p>
    <w:p>
      <w:r>
        <w:rPr>
          <w:b/>
        </w:rPr>
        <w:t>Resultado.</w:t>
      </w:r>
      <w:r>
        <w:t xml:space="preserve"> Seis pruebas, dos en rojo. La regla pasa a medir contra el plan cuando el equipo tiene uno: «vencido» es el trabajo agendado cuya fecha ya pasó. El umbral no se va —es lo que sigue funcionando para los equipos sin plan, y es lo que satura el atraso, porque un mes de atraso pesa distinto sobre un plan mensual que sobre uno anual—, pero deja de decidir sobre los que sí tienen plan.</w:t>
      </w:r>
    </w:p>
    <w:p>
      <w:r>
        <w:t>La comprobación sobre datos reales fue la que cerró la decisión:</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Equipo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Antes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Ahora</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IMP-REC-002</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«hace 260 días del último preventivo»</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«Preventivo estaba programado para el 08/08/2026 y lleva 34 día(s) de atraso»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NB-COM-007</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vencido, por 200 días desde el último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 se cumple: «Preventivo programado para el 13/09/2026»</w:t>
            </w:r>
          </w:p>
        </w:tc>
      </w:tr>
    </w:tbl>
    <w:p>
      <w:pPr>
        <w:spacing w:after="80"/>
      </w:pPr>
    </w:p>
    <w:p>
      <w:r>
        <w:t>El segundo es el caso que el umbral suelto resolvía mal, y es el que justifica el módulo entero.</w:t>
      </w:r>
    </w:p>
    <w:p>
      <w:pPr>
        <w:pStyle w:val="Heading2"/>
        <w:pBdr>
          <w:bottom w:val="single" w:sz="6" w:space="6" w:color="2F5496"/>
        </w:pBdr>
        <w:spacing w:before="440"/>
      </w:pPr>
      <w:r>
        <w:rPr>
          <w:rFonts w:ascii="Calibri" w:hAnsi="Calibri" w:eastAsia="Calibri"/>
          <w:color w:val="2F5496"/>
        </w:rPr>
        <w:t>PC-21 · ¿Y si el prototipo tiene mal el contraste?</w:t>
      </w:r>
    </w:p>
    <w:p>
      <w:r>
        <w:rPr>
          <w:b/>
        </w:rPr>
        <w:t>C1 · Contexto.</w:t>
      </w:r>
      <w:r>
        <w:t xml:space="preserve"> El rediseño de la interfaz parte de </w:t>
      </w:r>
      <w:r>
        <w:rPr>
          <w:rFonts w:ascii="Consolas" w:hAnsi="Consolas" w:eastAsia="Consolas"/>
          <w:sz w:val="21"/>
        </w:rPr>
        <w:t>docs/design/prototipo-completo.html</w:t>
      </w:r>
      <w:r>
        <w:t>, que fija paleta, tipografía y escala. La primera tarea era llevar la capa de tokens a esos valores.</w:t>
      </w:r>
    </w:p>
    <w:p>
      <w:r>
        <w:rPr>
          <w:b/>
        </w:rPr>
        <w:t>C2 · Constraints.</w:t>
      </w:r>
      <w:r>
        <w:t xml:space="preserve"> El RNF-07 compromete accesibilidad AA, y el proyecto la verifica con </w:t>
      </w:r>
      <w:r>
        <w:rPr>
          <w:rFonts w:ascii="Consolas" w:hAnsi="Consolas" w:eastAsia="Consolas"/>
          <w:sz w:val="21"/>
        </w:rPr>
        <w:t>docs/design/_contraste.py</w:t>
      </w:r>
      <w:r>
        <w:t>, que mide cada token contra la superficie donde se dibuja. El prototipo es una maqueta suelta y nunca pasó por ese script.</w:t>
      </w:r>
    </w:p>
    <w:p>
      <w:r>
        <w:rPr>
          <w:b/>
        </w:rPr>
        <w:t>C3 · Criterio.</w:t>
      </w:r>
      <w:r>
        <w:t xml:space="preserve"> Aplicar los valores del prototipo y correr el script antes de dar el incremento por bueno, en vez de confiar en la maqueta.</w:t>
      </w:r>
    </w:p>
    <w:p>
      <w:r>
        <w:rPr>
          <w:b/>
        </w:rPr>
        <w:t>C4 · Output.</w:t>
      </w:r>
      <w:r>
        <w:t xml:space="preserve"> Los tokens alineados y el resultado del contraste.</w:t>
      </w:r>
    </w:p>
    <w:p>
      <w:r>
        <w:rPr>
          <w:b/>
        </w:rPr>
        <w:t>Resultado.</w:t>
      </w:r>
      <w:r>
        <w:t xml:space="preserve"> Tres pares por debajo del piso: </w:t>
      </w:r>
      <w:r>
        <w:rPr>
          <w:rFonts w:ascii="Consolas" w:hAnsi="Consolas" w:eastAsia="Consolas"/>
          <w:sz w:val="21"/>
        </w:rPr>
        <w:t>--linea-fuerte</w:t>
      </w:r>
      <w:r>
        <w:t xml:space="preserve"> sobre la superficie secundaria en tema oscuro (2,45:1), la misma sobre el lienzo en tema claro (2,82:1) y </w:t>
      </w:r>
      <w:r>
        <w:rPr>
          <w:rFonts w:ascii="Consolas" w:hAnsi="Consolas" w:eastAsia="Consolas"/>
          <w:sz w:val="21"/>
        </w:rPr>
        <w:t>--acento-hover</w:t>
      </w:r>
      <w:r>
        <w:t xml:space="preserve"> sobre blanco (3,59:1). Se corrigieron moviendo sólo la luminosidad y dejando el tono, porque la intención del prototipo es el color y lo que había que arreglar era cuánto se separa del fondo.</w:t>
      </w:r>
    </w:p>
    <w:p>
      <w:r>
        <w:rPr>
          <w:b/>
        </w:rPr>
        <w:t>La decisión de fondo.</w:t>
      </w:r>
      <w:r>
        <w:t xml:space="preserve"> El prototipo no manda sobre el RNF-07. Es la referencia de cómo se ve el sistema, no de qué promete cumplir.</w:t>
      </w:r>
    </w:p>
    <w:p>
      <w:pPr>
        <w:pStyle w:val="Heading2"/>
        <w:pBdr>
          <w:bottom w:val="single" w:sz="6" w:space="6" w:color="2F5496"/>
        </w:pBdr>
        <w:spacing w:before="440"/>
      </w:pPr>
      <w:r>
        <w:rPr>
          <w:rFonts w:ascii="Calibri" w:hAnsi="Calibri" w:eastAsia="Calibri"/>
          <w:color w:val="2F5496"/>
        </w:rPr>
        <w:t>PC-22 · ¿Qué le falta a la interfaz que no se ve mirándola?</w:t>
      </w:r>
    </w:p>
    <w:p>
      <w:r>
        <w:rPr>
          <w:b/>
        </w:rPr>
        <w:t>C1 · Contexto.</w:t>
      </w:r>
      <w:r>
        <w:t xml:space="preserve"> Terminado el rediseño de tablas y formularios. Todo lo visible del prototipo estaba aplicado.</w:t>
      </w:r>
    </w:p>
    <w:p>
      <w:r>
        <w:rPr>
          <w:b/>
        </w:rPr>
        <w:t>C2 · Constraints.</w:t>
      </w:r>
      <w:r>
        <w:t xml:space="preserve"> «Se ve bien» no es un criterio verificable, y revisar accesibilidad a ojo encuentra lo que uno ya sabe buscar. Se incorporó una base de reglas de UX con fuente y severidad —</w:t>
      </w:r>
      <w:r>
        <w:rPr>
          <w:rFonts w:ascii="Consolas" w:hAnsi="Consolas" w:eastAsia="Consolas"/>
          <w:sz w:val="21"/>
        </w:rPr>
        <w:t>ui-ux-pro-max</w:t>
      </w:r>
      <w:r>
        <w:t>, instalada fuera del repositorio— para tener una lista que no salga de la propia memoria.</w:t>
      </w:r>
    </w:p>
    <w:p>
      <w:r>
        <w:rPr>
          <w:b/>
        </w:rPr>
        <w:t>C3 · Criterio.</w:t>
      </w:r>
      <w:r>
        <w:t xml:space="preserve"> Recorrer sus 48 reglas de severidad alta contra el sistema, y para cada una buscar la evidencia en el código en vez de responder de memoria.</w:t>
      </w:r>
    </w:p>
    <w:p>
      <w:r>
        <w:rPr>
          <w:b/>
        </w:rPr>
        <w:t>C4 · Output.</w:t>
      </w:r>
      <w:r>
        <w:t xml:space="preserve"> Qué está cubierto, qué no, y con qué archivo se comprueba.</w:t>
      </w:r>
    </w:p>
    <w:p>
      <w:r>
        <w:rPr>
          <w:b/>
        </w:rPr>
        <w:t>Resultado.</w:t>
      </w:r>
      <w:r>
        <w:t xml:space="preserve"> La mayoría ya estaba, y eso también es un resultado: esqueletos con </w:t>
      </w:r>
      <w:r>
        <w:rPr>
          <w:rFonts w:ascii="Consolas" w:hAnsi="Consolas" w:eastAsia="Consolas"/>
          <w:sz w:val="21"/>
        </w:rPr>
        <w:t>role="status"</w:t>
      </w:r>
      <w:r>
        <w:t xml:space="preserve">, errores con </w:t>
      </w:r>
      <w:r>
        <w:rPr>
          <w:rFonts w:ascii="Consolas" w:hAnsi="Consolas" w:eastAsia="Consolas"/>
          <w:sz w:val="21"/>
        </w:rPr>
        <w:t>role="alert"</w:t>
      </w:r>
      <w:r>
        <w:t xml:space="preserve">, estados vacíos con su acción, contraste verificado por script, </w:t>
      </w:r>
      <w:r>
        <w:rPr>
          <w:rFonts w:ascii="Consolas" w:hAnsi="Consolas" w:eastAsia="Consolas"/>
          <w:sz w:val="21"/>
        </w:rPr>
        <w:t>prefers-reduced-motion</w:t>
      </w:r>
      <w:r>
        <w:t xml:space="preserve"> respetado, contenido de IA rotulado, y el ingreso sin bloqueo de pegado ni de gestores de contraseñas.</w:t>
      </w:r>
    </w:p>
    <w:p>
      <w:r>
        <w:t xml:space="preserve">Una no estaba: </w:t>
      </w:r>
      <w:r>
        <w:rPr>
          <w:b/>
        </w:rPr>
        <w:t>el campo que el servidor rechaza no estaba enlazado con el mensaje que lo explica</w:t>
      </w:r>
      <w:r>
        <w:t>. En pantalla se veía el borde rojo y el texto debajo, así que parecía resuelto; lo que faltaba —</w:t>
      </w:r>
      <w:r>
        <w:rPr>
          <w:rFonts w:ascii="Consolas" w:hAnsi="Consolas" w:eastAsia="Consolas"/>
          <w:sz w:val="21"/>
        </w:rPr>
        <w:t>aria-invalid</w:t>
      </w:r>
      <w:r>
        <w:t xml:space="preserve"> y </w:t>
      </w:r>
      <w:r>
        <w:rPr>
          <w:rFonts w:ascii="Consolas" w:hAnsi="Consolas" w:eastAsia="Consolas"/>
          <w:sz w:val="21"/>
        </w:rPr>
        <w:t>aria-describedby</w:t>
      </w:r>
      <w:r>
        <w:t>— no se ve. Quien usa un lector de pantalla llegaba al campo, lo oía como cualquier otro, y el motivo quedaba suelto sin dueño.</w:t>
      </w:r>
    </w:p>
    <w:p>
      <w:r>
        <w:rPr>
          <w:b/>
        </w:rPr>
        <w:t>Por qué entra acá.</w:t>
      </w:r>
      <w:r>
        <w:t xml:space="preserve"> Es el caso que justifica haber traído la herramienta: lo que encontró no era un defecto visible, y ninguna de las revisiones anteriores —hechas mirando la pantalla— lo había levantado.</w:t>
      </w:r>
    </w:p>
    <w:p>
      <w:pPr>
        <w:pStyle w:val="Heading2"/>
        <w:pBdr>
          <w:bottom w:val="single" w:sz="6" w:space="6" w:color="2F5496"/>
        </w:pBdr>
        <w:spacing w:before="440"/>
      </w:pPr>
      <w:r>
        <w:rPr>
          <w:rFonts w:ascii="Calibri" w:hAnsi="Calibri" w:eastAsia="Calibri"/>
          <w:color w:val="2F5496"/>
        </w:rPr>
        <w:t>PC-23 · Una tarjeta vacía no se ve rota</w:t>
      </w:r>
    </w:p>
    <w:p>
      <w:r>
        <w:rPr>
          <w:b/>
        </w:rPr>
        <w:t>C1 · Contexto.</w:t>
      </w:r>
      <w:r>
        <w:t xml:space="preserve"> Movido el desglose del motor predictivo a una banda de ancho completo, la tarjeta aparecía con su título y sin contenido.</w:t>
      </w:r>
    </w:p>
    <w:p>
      <w:r>
        <w:rPr>
          <w:b/>
        </w:rPr>
        <w:t>C2 · Constraints.</w:t>
      </w:r>
      <w:r>
        <w:t xml:space="preserve"> La página en el navegador mostraba los datos; la captura que entra al documento, no. Dos observaciones que se contradicen.</w:t>
      </w:r>
    </w:p>
    <w:p>
      <w:r>
        <w:rPr>
          <w:b/>
        </w:rPr>
        <w:t>C3 · Criterio.</w:t>
      </w:r>
      <w:r>
        <w:t xml:space="preserve"> Medir en el navegador en vez de leer el CSS: pedir el alto calculado de la tarjeta y el de sus hijos.</w:t>
      </w:r>
    </w:p>
    <w:p>
      <w:r>
        <w:rPr>
          <w:b/>
        </w:rPr>
        <w:t>C4 · Output.</w:t>
      </w:r>
      <w:r>
        <w:t xml:space="preserve"> Los números, y de ahí la causa.</w:t>
      </w:r>
    </w:p>
    <w:p>
      <w:r>
        <w:rPr>
          <w:b/>
        </w:rPr>
        <w:t>Resultado.</w:t>
      </w:r>
      <w:r>
        <w:t xml:space="preserve"> La tarjeta medía </w:t>
      </w:r>
      <w:r>
        <w:rPr>
          <w:b/>
        </w:rPr>
        <w:t>2 px</w:t>
      </w:r>
      <w:r>
        <w:t xml:space="preserve"> —sus dos bordes— con 400 px de contenido adentro. </w:t>
      </w:r>
      <w:r>
        <w:rPr>
          <w:rFonts w:ascii="Consolas" w:hAnsi="Consolas" w:eastAsia="Consolas"/>
          <w:sz w:val="21"/>
        </w:rPr>
        <w:t>.cuerpo</w:t>
      </w:r>
      <w:r>
        <w:t xml:space="preserve"> es un flex en columna: cuando el contenido no entra en la pantalla, reparte el faltante encogiendo a sus hijos, y una tarjeta lleva </w:t>
      </w:r>
      <w:r>
        <w:rPr>
          <w:rFonts w:ascii="Consolas" w:hAnsi="Consolas" w:eastAsia="Consolas"/>
          <w:sz w:val="21"/>
        </w:rPr>
        <w:t>overflow: hidden</w:t>
      </w:r>
      <w:r>
        <w:t xml:space="preserve"> para recortar sus esquinas, lo que le da mínimo automático cero. Las tablas de Activos e Incidencias venían recortadas por lo mismo desde antes, y nadie lo había visto: se leía como «la tabla termina ahí».</w:t>
      </w:r>
    </w:p>
    <w:p>
      <w:r>
        <w:rPr>
          <w:b/>
        </w:rPr>
        <w:t>Lo que se llevó de esto.</w:t>
      </w:r>
      <w:r>
        <w:t xml:space="preserve"> Que el defecto no se vea roto es lo que lo hace peligroso: una tarjeta vacía con su título entra al documento como si fuera el sistema. La guarda quedó donde único puede vivir —el script de capturas, que es el que tiene un navegador de verdad—: después de cada pantalla mide si alguna tarjeta es más baja que su contenido y termina en rojo. Comprobada provocando el colapso a propósito.</w:t>
      </w:r>
    </w:p>
    <w:p>
      <w:pPr>
        <w:pStyle w:val="Heading2"/>
        <w:pBdr>
          <w:bottom w:val="single" w:sz="6" w:space="6" w:color="2F5496"/>
        </w:pBdr>
        <w:spacing w:before="440"/>
      </w:pPr>
      <w:r>
        <w:rPr>
          <w:rFonts w:ascii="Calibri" w:hAnsi="Calibri" w:eastAsia="Calibri"/>
          <w:color w:val="2F5496"/>
        </w:rPr>
        <w:t>Consultas cuya propuesta se descartó</w:t>
      </w:r>
    </w:p>
    <w:p>
      <w:r>
        <w:t>Se registran porque la decisión de no hacer algo también es una decisión.</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Propuesta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Motivo del descarte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Explicación del riesgo en lenguaje natural generada por IA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Excede el alcance de IA que sostiene el documento. El motor ya explica su razonamiento con los datos concretos de cada regla, sin necesidad de un modelo de lenguaje.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Asistente conversacional sobre el parque informático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Misma razón, y agrega superficie de ataque —traducción de lenguaje natural a consultas— sin resolver un problema declarado.</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Entity Framework Core</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Vacía de contenido la capa DAO y el Unit of Work, que son objeto de evaluación.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Lenguaje de expresiones editable para las reglas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Introduce evaluación de entrada de usuario. El perfil objetivo no lo usaría.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Dígito verificador horizontal y vertical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 está entre los Req. Arq. 001 a 005 del documento ni lo implementaba el proyecto de referencia.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Replicar la estructura documental completa del proyecto de 3.º año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autor precisó que no se exige esa estructura; los manuales sí.</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Construir las 16 pantallas dentro de la sesión de desarrollo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autor evaluó el resultado como insuficiente y redirigió a una herramienta de diseño específica.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Retry con backoff sobre la llamada de IA en el camino crítico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Multiplica la latencia que ya es el problema a resolver.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Tabla propia de errores del sistema, aparte de la bitácora</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 segundo registro de lo mismo se desincroniza del primero. La bitácora ya guarda la traza y ya es inmutable.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Cifrar también las contraseñas, para tener un solo mecanismo criptográfico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Sería una regresión de seguridad: volvería recuperable algo que no tiene por qué serlo. La uniformidad no es un valor cuando los problemas son distintos.</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 contexto de «superusuario» para el barrido predictivo programado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 proceso automático con todos los permisos es un proceso que puede hacer cualquier cosa el día que tenga un error. Lleva sólo la patente que necesita.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CSV como formato de los reportes exportables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Lo descartó el autor. Un CSV no lleva encabezado, no lleva los filtros impresos y no se ve como un entregable, y el reporte tiene que poder explicarse solo cuando circula fuera del sistema.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Generar el PDF en el navegador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reporte lleva impresos la fecha, el autor y los filtros, y eso sólo es creíble si lo escribe el sistema. Además el servidor no se enteraría de la emisión, y la bitácora tiene que saber que un reporte salió.</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Un catálogo de transiciones configurable en base</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Sería más flexible y permitiría dejar el sistema en un estado sin salida por configuración. Las transiciones de una incidencia no son algo que cada organización deba poder cambiar.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Subir el múltiplo del valor terminal hasta que el VAN cierre en positivo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elegir el número que hace que la respuesta salga bien. Se toma el piso del rango y el resultado negativo se declara, con la sensibilidad al lado.</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