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drawing>
          <wp:inline xmlns:a="http://schemas.openxmlformats.org/drawingml/2006/main" xmlns:pic="http://schemas.openxmlformats.org/drawingml/2006/picture">
            <wp:extent cx="823451" cy="792000"/>
            <wp:docPr id="1" name="Picture 1"/>
            <wp:cNvGraphicFramePr>
              <a:graphicFrameLocks noChangeAspect="1"/>
            </wp:cNvGraphicFramePr>
            <a:graphic>
              <a:graphicData uri="http://schemas.openxmlformats.org/drawingml/2006/picture">
                <pic:pic>
                  <pic:nvPicPr>
                    <pic:cNvPr id="0" name="escudo-uai.jpeg"/>
                    <pic:cNvPicPr/>
                  </pic:nvPicPr>
                  <pic:blipFill>
                    <a:blip r:embed="rId11"/>
                    <a:stretch>
                      <a:fillRect/>
                    </a:stretch>
                  </pic:blipFill>
                  <pic:spPr>
                    <a:xfrm>
                      <a:off x="0" y="0"/>
                      <a:ext cx="823451" cy="792000"/>
                    </a:xfrm>
                    <a:prstGeom prst="rect"/>
                  </pic:spPr>
                </pic:pic>
              </a:graphicData>
            </a:graphic>
          </wp:inline>
        </w:drawing>
      </w:r>
    </w:p>
    <w:p>
      <w:pPr>
        <w:spacing w:after="40" w:line="240" w:lineRule="auto"/>
        <w:jc w:val="center"/>
      </w:pPr>
      <w:r>
        <w:rPr>
          <w:rFonts w:ascii="Calibri" w:hAnsi="Calibri" w:eastAsia="Calibri"/>
          <w:b/>
          <w:sz w:val="28"/>
        </w:rPr>
        <w:t>Universidad Abierta Interamericana</w:t>
      </w:r>
    </w:p>
    <w:p>
      <w:pPr>
        <w:spacing w:after="40" w:line="240" w:lineRule="auto"/>
        <w:jc w:val="center"/>
      </w:pPr>
      <w:r>
        <w:rPr>
          <w:rFonts w:ascii="Calibri" w:hAnsi="Calibri" w:eastAsia="Calibri"/>
          <w:b w:val="0"/>
          <w:sz w:val="24"/>
        </w:rPr>
        <w:t>Facultad de Tecnología Informática</w:t>
      </w:r>
    </w:p>
    <w:p>
      <w:pPr>
        <w:spacing w:after="520" w:line="240" w:lineRule="auto"/>
        <w:jc w:val="center"/>
      </w:pPr>
      <w:r>
        <w:rPr>
          <w:rFonts w:ascii="Calibri" w:hAnsi="Calibri" w:eastAsia="Calibri"/>
          <w:b w:val="0"/>
          <w:sz w:val="24"/>
        </w:rPr>
        <w:t>Ingeniería en Sistemas Informáticos</w:t>
      </w:r>
    </w:p>
    <w:p>
      <w:pPr>
        <w:spacing w:after="920" w:line="240" w:lineRule="auto"/>
        <w:jc w:val="center"/>
        <w:pBdr>
          <w:bottom w:val="single" w:sz="10" w:space="0" w:color="2F5496"/>
        </w:pBdr>
      </w:pPr>
    </w:p>
    <w:p>
      <w:pPr>
        <w:spacing w:after="280" w:line="240" w:lineRule="auto"/>
        <w:jc w:val="center"/>
      </w:pPr>
      <w:r>
        <w:rPr>
          <w:rFonts w:ascii="Calibri" w:hAnsi="Calibri" w:eastAsia="Calibri"/>
          <w:b w:val="0"/>
          <w:color w:val="444444"/>
          <w:sz w:val="22"/>
        </w:rPr>
        <w:t>TRABAJO FINAL DE INGENIERÍA</w:t>
      </w:r>
    </w:p>
    <w:p>
      <w:pPr>
        <w:spacing w:after="160" w:line="240" w:lineRule="auto"/>
        <w:jc w:val="center"/>
      </w:pPr>
      <w:r>
        <w:rPr>
          <w:rFonts w:ascii="Calibri" w:hAnsi="Calibri" w:eastAsia="Calibri"/>
          <w:b/>
          <w:color w:val="2F5496"/>
          <w:sz w:val="44"/>
        </w:rPr>
        <w:t>Diagramas del sistema</w:t>
      </w:r>
    </w:p>
    <w:p>
      <w:pPr>
        <w:spacing w:after="1520" w:line="240" w:lineRule="auto"/>
        <w:jc w:val="center"/>
      </w:pPr>
      <w:r>
        <w:rPr>
          <w:rFonts w:ascii="Calibri" w:hAnsi="Calibri" w:eastAsia="Calibri"/>
          <w:b w:val="0"/>
          <w:color w:val="444444"/>
          <w:sz w:val="26"/>
        </w:rPr>
        <w:t>Paquetes, dominio, secuencia, estados, componentes, despliegue y casos de uso</w:t>
      </w:r>
    </w:p>
    <w:p>
      <w:pPr>
        <w:spacing w:after="60" w:line="240" w:lineRule="auto"/>
        <w:jc w:val="center"/>
      </w:pPr>
      <w:r>
        <w:rPr>
          <w:rFonts w:ascii="Calibri" w:hAnsi="Calibri" w:eastAsia="Calibri"/>
          <w:color w:val="444444"/>
          <w:sz w:val="22"/>
        </w:rPr>
        <w:t xml:space="preserve">Alumno: </w:t>
      </w:r>
      <w:r>
        <w:rPr>
          <w:rFonts w:ascii="Calibri" w:hAnsi="Calibri" w:eastAsia="Calibri"/>
          <w:sz w:val="22"/>
        </w:rPr>
        <w:t>Pettini, Patricio Ezequiel</w:t>
      </w:r>
    </w:p>
    <w:p>
      <w:pPr>
        <w:spacing w:after="60" w:line="240" w:lineRule="auto"/>
        <w:jc w:val="center"/>
      </w:pPr>
      <w:r>
        <w:rPr>
          <w:rFonts w:ascii="Calibri" w:hAnsi="Calibri" w:eastAsia="Calibri"/>
          <w:color w:val="444444"/>
          <w:sz w:val="22"/>
        </w:rPr>
        <w:t xml:space="preserve">Legajo: </w:t>
      </w:r>
      <w:r>
        <w:rPr>
          <w:rFonts w:ascii="Calibri" w:hAnsi="Calibri" w:eastAsia="Calibri"/>
          <w:sz w:val="22"/>
        </w:rPr>
        <w:t>B00072710-T1</w:t>
      </w:r>
    </w:p>
    <w:p>
      <w:pPr>
        <w:spacing w:after="60" w:line="240" w:lineRule="auto"/>
        <w:jc w:val="center"/>
      </w:pPr>
      <w:r>
        <w:rPr>
          <w:rFonts w:ascii="Calibri" w:hAnsi="Calibri" w:eastAsia="Calibri"/>
          <w:color w:val="444444"/>
          <w:sz w:val="22"/>
        </w:rPr>
        <w:t xml:space="preserve">Sede: </w:t>
      </w:r>
      <w:r>
        <w:rPr>
          <w:rFonts w:ascii="Calibri" w:hAnsi="Calibri" w:eastAsia="Calibri"/>
          <w:sz w:val="22"/>
        </w:rPr>
        <w:t>Sede Norte — Boulogne</w:t>
      </w:r>
    </w:p>
    <w:p>
      <w:pPr>
        <w:spacing w:after="60" w:line="240" w:lineRule="auto"/>
        <w:jc w:val="center"/>
      </w:pPr>
      <w:r>
        <w:rPr>
          <w:rFonts w:ascii="Calibri" w:hAnsi="Calibri" w:eastAsia="Calibri"/>
          <w:color w:val="444444"/>
          <w:sz w:val="22"/>
        </w:rPr>
        <w:t xml:space="preserve">Docentes: </w:t>
      </w:r>
      <w:r>
        <w:rPr>
          <w:rFonts w:ascii="Calibri" w:hAnsi="Calibri" w:eastAsia="Calibri"/>
          <w:sz w:val="22"/>
        </w:rPr>
        <w:t>Romero, Martín Miguel · Weingand, Gastón Matías</w:t>
      </w:r>
    </w:p>
    <w:p>
      <w:pPr>
        <w:spacing w:after="1280"/>
      </w:pPr>
    </w:p>
    <w:p>
      <w:pPr>
        <w:spacing w:after="0" w:line="240" w:lineRule="auto"/>
        <w:jc w:val="center"/>
      </w:pPr>
      <w:r>
        <w:rPr>
          <w:rFonts w:ascii="Calibri" w:hAnsi="Calibri" w:eastAsia="Calibri"/>
          <w:b w:val="0"/>
          <w:color w:val="666666"/>
          <w:sz w:val="20"/>
        </w:rPr>
        <w:t>Versión 1.0 · 16/09/2026</w:t>
      </w:r>
    </w:p>
    <w:p>
      <w:r>
        <w:br w:type="page"/>
      </w:r>
    </w:p>
    <w:p>
      <w:pPr>
        <w:spacing w:after="200"/>
        <w:jc w:val="left"/>
        <w:pBdr>
          <w:bottom w:val="single" w:sz="6" w:space="6" w:color="2F5496"/>
        </w:pBdr>
      </w:pPr>
      <w:r>
        <w:rPr>
          <w:rFonts w:ascii="Calibri" w:hAnsi="Calibri" w:eastAsia="Calibri"/>
          <w:b/>
          <w:color w:val="2F5496"/>
          <w:sz w:val="32"/>
        </w:rPr>
        <w:t>Índice</w:t>
      </w:r>
    </w:p>
    <w:p>
      <w:r>
        <w:fldChar w:fldCharType="begin"/>
        <w:instrText xml:space="preserve">TOC \o "1-3" \h \z \u</w:instrText>
        <w:fldChar w:fldCharType="separate"/>
        <w:fldChar w:fldCharType="end"/>
      </w:r>
    </w:p>
    <w:p>
      <w:r>
        <w:br w:type="page"/>
      </w:r>
    </w:p>
    <w:p>
      <w:pPr>
        <w:spacing w:before="120" w:after="200"/>
        <w:ind w:left="397"/>
        <w:pBdr>
          <w:left w:val="single" w:sz="18" w:space="10" w:color="2F5496"/>
        </w:pBdr>
      </w:pPr>
      <w:r>
        <w:rPr>
          <w:i/>
          <w:color w:val="444444"/>
        </w:rPr>
        <w:t>PredictIT · Trabajo Final de Ingeniería · Patricio Pettini · B00072710-T1</w:t>
      </w:r>
    </w:p>
    <w:p>
      <w:r>
        <w:t xml:space="preserve">Los siete diagramas salen de </w:t>
      </w:r>
      <w:r>
        <w:rPr>
          <w:b/>
        </w:rPr>
        <w:t>Enterprise Architect</w:t>
      </w:r>
      <w:r>
        <w:t xml:space="preserve">, que es la herramienta que recomienda la cátedra. No están dibujados a mano: los construye </w:t>
      </w:r>
      <w:r>
        <w:rPr>
          <w:rFonts w:ascii="Consolas" w:hAnsi="Consolas" w:eastAsia="Consolas"/>
          <w:sz w:val="21"/>
        </w:rPr>
        <w:t>docs/tecnico/_diagramas-ea.py</w:t>
      </w:r>
      <w:r>
        <w:t xml:space="preserve"> por la API de automatización de EA —paquetes, elementos, conectores y la posición de cada cosa— y le pide a EA que exporte la imagen.</w:t>
      </w:r>
    </w:p>
    <w:p>
      <w:r>
        <w:t>Se automatiza por el mismo motivo que las capturas de pantalla: cuando el código cambia, los diagramas se rehacen con un comando. Un diagrama dibujado a mano se desactualiza y no hay forma de notarlo.</w:t>
      </w:r>
    </w:p>
    <w:p>
      <w:r>
        <w:t xml:space="preserve">El modelo se entrega junto con las imágenes, en </w:t>
      </w:r>
      <w:r>
        <w:rPr>
          <w:rFonts w:ascii="Consolas" w:hAnsi="Consolas" w:eastAsia="Consolas"/>
          <w:sz w:val="21"/>
        </w:rPr>
        <w:t>docs/diagramas-ea/PredictIT.eapx</w:t>
      </w:r>
      <w:r>
        <w:t>. Se abre en EA, se puede seguir editando a mano, y de ahí salen exactamente los PNG que están en este documento.</w:t>
      </w:r>
    </w:p>
    <w:p>
      <w:r>
        <w:t>Cada sección dice de dónde sale el diagrama, para poder contrastarlo con el código en lugar de creerle.</w:t>
      </w:r>
    </w:p>
    <w:p>
      <w:pPr>
        <w:pStyle w:val="Heading1"/>
      </w:pPr>
      <w:r>
        <w:rPr>
          <w:rFonts w:ascii="Calibri" w:hAnsi="Calibri" w:eastAsia="Calibri"/>
        </w:rPr>
        <w:t>Los cincuenta que genera el script</w:t>
      </w:r>
    </w:p>
    <w:p>
      <w:r>
        <w:t xml:space="preserve">Este documento desarrolla </w:t>
      </w:r>
      <w:r>
        <w:rPr>
          <w:b/>
        </w:rPr>
        <w:t>siete</w:t>
      </w:r>
      <w:r>
        <w:t>, que son los que explican cómo está armado el sistema. El script genera cincuenta: el resto va al documento del Trabajo Final, en los apartados que los piden.</w:t>
      </w:r>
    </w:p>
    <w:p>
      <w:pPr>
        <w:keepNext/>
        <w:spacing w:line="240" w:lineRule="auto" w:before="200" w:after="80"/>
        <w:jc w:val="left"/>
      </w:pPr>
      <w:r>
        <w:rPr>
          <w:rFonts w:ascii="Calibri" w:hAnsi="Calibri" w:eastAsia="Calibri"/>
          <w:b/>
          <w:sz w:val="20"/>
        </w:rPr>
        <w:t xml:space="preserve">Tabla 1. </w:t>
      </w:r>
      <w:r>
        <w:rPr>
          <w:rFonts w:ascii="Calibri" w:hAnsi="Calibri" w:eastAsia="Calibri"/>
          <w:i/>
          <w:color w:val="444444"/>
          <w:sz w:val="20"/>
        </w:rPr>
        <w:t>Inventario completo de diagramas</w:t>
      </w:r>
    </w:p>
    <w:tbl>
      <w:tblPr>
        <w:tblW w:type="auto" w:w="0"/>
        <w:jc w:val="center"/>
        <w:tblLook w:firstColumn="1" w:firstRow="1" w:lastColumn="0" w:lastRow="0" w:noHBand="0" w:noVBand="1" w:val="04A0"/>
      </w:tblPr>
      <w:tblGrid>
        <w:gridCol w:w="3120"/>
        <w:gridCol w:w="3120"/>
        <w:gridCol w:w="3120"/>
      </w:tblGrid>
      <w:tr>
        <w:trPr>
          <w:tblHeader w:val="true"/>
          <w:cantSplit w:val="true"/>
        </w:trPr>
        <w:tc>
          <w:tcPr>
            <w:tcW w:type="dxa" w:w="3120"/>
            <w:tcBorders>
              <w:top w:val="single" w:sz="4" w:color="BFBFBF"/>
              <w:left w:val="single" w:sz="4" w:color="BFBFBF"/>
              <w:bottom w:val="single" w:sz="4" w:color="BFBFBF"/>
              <w:right w:val="single" w:sz="4" w:color="BFBFBF"/>
            </w:tcBorders>
            <w:shd w:val="clear" w:fill="EDF3F4"/>
          </w:tcPr>
          <w:p>
            <w:pPr>
              <w:keepNext/>
              <w:spacing w:line="240" w:lineRule="auto" w:after="40"/>
              <w:jc w:val="left"/>
            </w:pPr>
            <w:r>
              <w:rPr>
                <w:rFonts w:ascii="Calibri" w:hAnsi="Calibri" w:eastAsia="Calibri"/>
                <w:b/>
                <w:color w:val="2F5496"/>
                <w:sz w:val="20"/>
              </w:rPr>
              <w:t>Diagrama</w:t>
            </w:r>
          </w:p>
        </w:tc>
        <w:tc>
          <w:tcPr>
            <w:tcW w:type="dxa" w:w="3120"/>
            <w:tcBorders>
              <w:top w:val="single" w:sz="4" w:color="BFBFBF"/>
              <w:left w:val="single" w:sz="4" w:color="BFBFBF"/>
              <w:bottom w:val="single" w:sz="4" w:color="BFBFBF"/>
              <w:right w:val="single" w:sz="4" w:color="BFBFBF"/>
            </w:tcBorders>
            <w:shd w:val="clear" w:fill="EDF3F4"/>
          </w:tcPr>
          <w:p>
            <w:pPr>
              <w:keepNext/>
              <w:spacing w:line="240" w:lineRule="auto" w:after="40"/>
              <w:jc w:val="left"/>
            </w:pPr>
            <w:r>
              <w:rPr>
                <w:rFonts w:ascii="Calibri" w:hAnsi="Calibri" w:eastAsia="Calibri"/>
                <w:b/>
                <w:color w:val="2F5496"/>
                <w:sz w:val="20"/>
              </w:rPr>
              <w:t>Cuántos</w:t>
            </w:r>
          </w:p>
        </w:tc>
        <w:tc>
          <w:tcPr>
            <w:tcW w:type="dxa" w:w="3120"/>
            <w:tcBorders>
              <w:top w:val="single" w:sz="4" w:color="BFBFBF"/>
              <w:left w:val="single" w:sz="4" w:color="BFBFBF"/>
              <w:bottom w:val="single" w:sz="4" w:color="BFBFBF"/>
              <w:right w:val="single" w:sz="4" w:color="BFBFBF"/>
            </w:tcBorders>
            <w:shd w:val="clear" w:fill="EDF3F4"/>
          </w:tcPr>
          <w:p>
            <w:pPr>
              <w:keepNext/>
              <w:spacing w:line="240" w:lineRule="auto" w:after="40"/>
              <w:jc w:val="left"/>
            </w:pPr>
            <w:r>
              <w:rPr>
                <w:rFonts w:ascii="Calibri" w:hAnsi="Calibri" w:eastAsia="Calibri"/>
                <w:b/>
                <w:color w:val="2F5496"/>
                <w:sz w:val="20"/>
              </w:rPr>
              <w:t>Dónde</w:t>
            </w:r>
          </w:p>
        </w:tc>
      </w:tr>
      <w:tr>
        <w:trPr>
          <w:cantSplit w:val="true"/>
        </w:trPr>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Paquetes, componentes, despliegue</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3</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Acá y en el TFI 10.4.5, 10.4.6 y 10.4.9</w:t>
            </w:r>
          </w:p>
        </w:tc>
      </w:tr>
      <w:tr>
        <w:trPr>
          <w:cantSplit w:val="true"/>
        </w:trPr>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Casos de uso, vista general</w:t>
            </w:r>
          </w:p>
        </w:tc>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1</w:t>
            </w:r>
          </w:p>
        </w:tc>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Acá y en el TFI 10.4.2</w:t>
            </w:r>
          </w:p>
        </w:tc>
      </w:tr>
      <w:tr>
        <w:trPr>
          <w:cantSplit w:val="true"/>
        </w:trPr>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Modelo de dominio, estados, secuencia</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3</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Acá</w:t>
            </w:r>
          </w:p>
        </w:tc>
      </w:tr>
      <w:tr>
        <w:trPr>
          <w:cantSplit w:val="true"/>
        </w:trPr>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Caso de uso individual</w:t>
            </w:r>
          </w:p>
        </w:tc>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18</w:t>
            </w:r>
          </w:p>
        </w:tc>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TFI 10.4.3.1 a 10.4.3.18</w:t>
            </w:r>
          </w:p>
        </w:tc>
      </w:tr>
      <w:tr>
        <w:trPr>
          <w:cantSplit w:val="true"/>
        </w:trPr>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Secuencia por caso de uso</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16</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TFI 10.4.4, uno por caso salvo los que no lo tienen</w:t>
            </w:r>
          </w:p>
        </w:tc>
      </w:tr>
      <w:tr>
        <w:trPr>
          <w:cantSplit w:val="true"/>
        </w:trPr>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Clases de Bitácora</w:t>
            </w:r>
          </w:p>
        </w:tc>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1</w:t>
            </w:r>
          </w:p>
        </w:tc>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TFI 10.3.2.3.1</w:t>
            </w:r>
          </w:p>
        </w:tc>
      </w:tr>
      <w:tr>
        <w:trPr>
          <w:cantSplit w:val="true"/>
        </w:trPr>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Clases de Usuario, Patente y Familia</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1</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TFI 10.3.2.5</w:t>
            </w:r>
          </w:p>
        </w:tc>
      </w:tr>
      <w:tr>
        <w:trPr>
          <w:cantSplit w:val="true"/>
        </w:trPr>
        <w:tc>
          <w:tcPr>
            <w:tcW w:type="dxa" w:w="3120"/>
            <w:tcBorders>
              <w:top w:val="single" w:sz="4" w:color="BFBFBF"/>
              <w:left w:val="single" w:sz="4" w:color="BFBFBF"/>
              <w:bottom w:val="single" w:sz="4" w:color="BFBFBF"/>
              <w:right w:val="single" w:sz="4" w:color="BFBFBF"/>
            </w:tcBorders>
            <w:shd w:val="clear" w:fill="F7F9F9"/>
          </w:tcPr>
          <w:p>
            <w:pPr>
              <w:keepNext/>
              <w:spacing w:line="240" w:lineRule="auto" w:after="40"/>
              <w:jc w:val="left"/>
            </w:pPr>
            <w:r>
              <w:rPr>
                <w:rFonts w:ascii="Calibri" w:hAnsi="Calibri" w:eastAsia="Calibri"/>
                <w:sz w:val="20"/>
              </w:rPr>
              <w:t>Clases de la solución</w:t>
            </w:r>
          </w:p>
        </w:tc>
        <w:tc>
          <w:tcPr>
            <w:tcW w:type="dxa" w:w="3120"/>
            <w:tcBorders>
              <w:top w:val="single" w:sz="4" w:color="BFBFBF"/>
              <w:left w:val="single" w:sz="4" w:color="BFBFBF"/>
              <w:bottom w:val="single" w:sz="4" w:color="BFBFBF"/>
              <w:right w:val="single" w:sz="4" w:color="BFBFBF"/>
            </w:tcBorders>
            <w:shd w:val="clear" w:fill="F7F9F9"/>
          </w:tcPr>
          <w:p>
            <w:pPr>
              <w:keepNext/>
              <w:spacing w:line="240" w:lineRule="auto" w:after="40"/>
              <w:jc w:val="left"/>
            </w:pPr>
            <w:r>
              <w:rPr>
                <w:rFonts w:ascii="Calibri" w:hAnsi="Calibri" w:eastAsia="Calibri"/>
                <w:sz w:val="20"/>
              </w:rPr>
              <w:t>3</w:t>
            </w:r>
          </w:p>
        </w:tc>
        <w:tc>
          <w:tcPr>
            <w:tcW w:type="dxa" w:w="3120"/>
            <w:tcBorders>
              <w:top w:val="single" w:sz="4" w:color="BFBFBF"/>
              <w:left w:val="single" w:sz="4" w:color="BFBFBF"/>
              <w:bottom w:val="single" w:sz="4" w:color="BFBFBF"/>
              <w:right w:val="single" w:sz="4" w:color="BFBFBF"/>
            </w:tcBorders>
            <w:shd w:val="clear" w:fill="F7F9F9"/>
          </w:tcPr>
          <w:p>
            <w:pPr>
              <w:keepNext/>
              <w:spacing w:line="240" w:lineRule="auto" w:after="40"/>
              <w:jc w:val="left"/>
            </w:pPr>
            <w:r>
              <w:rPr>
                <w:rFonts w:ascii="Calibri" w:hAnsi="Calibri" w:eastAsia="Calibri"/>
                <w:sz w:val="20"/>
              </w:rPr>
              <w:t>TFI 10.4.7, partido en API+BLL, Service y DAO+Domain</w:t>
            </w:r>
          </w:p>
        </w:tc>
      </w:tr>
      <w:tr>
        <w:trPr>
          <w:cantSplit w:val="true"/>
        </w:trPr>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Entidad-Relación</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4</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TFI 10.4.8</w:t>
            </w:r>
          </w:p>
        </w:tc>
      </w:tr>
    </w:tbl>
    <w:p>
      <w:pPr>
        <w:spacing w:after="80"/>
      </w:pPr>
    </w:p>
    <w:p>
      <w:r>
        <w:t xml:space="preserve">Los cuatro </w:t>
      </w:r>
      <w:r>
        <w:rPr>
          <w:b/>
        </w:rPr>
        <w:t>DER no se dibujan</w:t>
      </w:r>
      <w:r>
        <w:t xml:space="preserve">: se leen de las bases con </w:t>
      </w:r>
      <w:r>
        <w:rPr>
          <w:rFonts w:ascii="Consolas" w:hAnsi="Consolas" w:eastAsia="Consolas"/>
          <w:sz w:val="21"/>
        </w:rPr>
        <w:t>sys.tables</w:t>
      </w:r>
      <w:r>
        <w:t xml:space="preserve"> y </w:t>
      </w:r>
      <w:r>
        <w:rPr>
          <w:rFonts w:ascii="Consolas" w:hAnsi="Consolas" w:eastAsia="Consolas"/>
          <w:sz w:val="21"/>
        </w:rPr>
        <w:t>sys.foreign_key_columns</w:t>
      </w:r>
      <w:r>
        <w:t>, así que muestran las tablas, las columnas, los tipos y las claves foráneas que existen de verdad y no las que el diseño se propuso. Son 26 tablas y 46 foráneas en la base de negocio, y 15 y 16 en la de servicio.</w:t>
      </w:r>
    </w:p>
    <w:p>
      <w:r>
        <w:t>La base de negocio va partida en tres —equipos y mantenimiento, incidencias y asignación, y facturación— porque sus veintiséis tablas juntas entran en la hoja a un tercio de escala y el texto queda ilegible. Las tablas que quedan del otro lado de una relación se dibujan igual, con el nombre solo, para que la relación no desaparezca por donde se hizo el corte.</w:t>
      </w:r>
    </w:p>
    <w:p>
      <w:r>
        <w:t xml:space="preserve">Las </w:t>
      </w:r>
      <w:r>
        <w:rPr>
          <w:b/>
        </w:rPr>
        <w:t>dieciséis secuencias por caso de uso</w:t>
      </w:r>
      <w:r>
        <w:t xml:space="preserve"> salen de leer el controlador y el business de cada uno. A un diagrama de secuencia que no coincide con el código se le cree igual, y ahí está el daño.</w:t>
      </w:r>
    </w:p>
    <w:p>
      <w:pPr>
        <w:pStyle w:val="Heading1"/>
      </w:pPr>
      <w:r>
        <w:rPr>
          <w:rFonts w:ascii="Calibri" w:hAnsi="Calibri" w:eastAsia="Calibri"/>
        </w:rPr>
        <w:t>1 · Paquetes y dependencias</w:t>
      </w:r>
    </w:p>
    <w:p>
      <w:r>
        <w:rPr>
          <w:i/>
        </w:rPr>
        <w:t>Sale de las referencias declaradas en los `.csproj` y de `App.tsx`.</w:t>
      </w:r>
    </w:p>
    <w:p>
      <w:r>
        <w:t xml:space="preserve">La regla que este diagrama tiene que hacer evidente: </w:t>
      </w:r>
      <w:r>
        <w:rPr>
          <w:b/>
        </w:rPr>
        <w:t>las flechas van todas hacia abajo</w:t>
      </w:r>
      <w:r>
        <w:t>. La API habla sólo con la BLL, el DAO es el único que conoce SQL, y el Domain no referencia a nadie.</w:t>
      </w:r>
    </w:p>
    <w:p>
      <w:pPr>
        <w:keepNext w:val="0"/>
        <w:spacing w:after="240"/>
        <w:jc w:val="center"/>
      </w:pPr>
      <w:r>
        <w:drawing>
          <wp:inline xmlns:a="http://schemas.openxmlformats.org/drawingml/2006/main" xmlns:pic="http://schemas.openxmlformats.org/drawingml/2006/picture">
            <wp:extent cx="5943600" cy="4796278"/>
            <wp:docPr id="2" name="Picture 2" descr="Paquetes y dependencias entre capas" title="Paquetes y dependencias entre capas"/>
            <wp:cNvGraphicFramePr>
              <a:graphicFrameLocks noChangeAspect="1"/>
            </wp:cNvGraphicFramePr>
            <a:graphic>
              <a:graphicData uri="http://schemas.openxmlformats.org/drawingml/2006/picture">
                <pic:pic>
                  <pic:nvPicPr>
                    <pic:cNvPr id="0" name="ea-01-paquetes.png"/>
                    <pic:cNvPicPr/>
                  </pic:nvPicPr>
                  <pic:blipFill>
                    <a:blip r:embed="rId12"/>
                    <a:stretch>
                      <a:fillRect/>
                    </a:stretch>
                  </pic:blipFill>
                  <pic:spPr>
                    <a:xfrm>
                      <a:off x="0" y="0"/>
                      <a:ext cx="5943600" cy="4796278"/>
                    </a:xfrm>
                    <a:prstGeom prst="rect"/>
                    <a:ln w="6350">
                      <a:solidFill>
                        <a:srgbClr val="D9D9D9"/>
                      </a:solidFill>
                    </a:ln>
                  </pic:spPr>
                </pic:pic>
              </a:graphicData>
            </a:graphic>
          </wp:inline>
        </w:drawing>
      </w:r>
    </w:p>
    <w:p>
      <w:r>
        <w:rPr>
          <w:rFonts w:ascii="Consolas" w:hAnsi="Consolas" w:eastAsia="Consolas"/>
          <w:sz w:val="21"/>
        </w:rPr>
        <w:t>Service</w:t>
      </w:r>
      <w:r>
        <w:t xml:space="preserve"> es transversal: lo consumen la BLL y la Api, y nunca al revés. Que dependa del DAO es lo que le permite a </w:t>
      </w:r>
      <w:r>
        <w:rPr>
          <w:rFonts w:ascii="Consolas" w:hAnsi="Consolas" w:eastAsia="Consolas"/>
          <w:sz w:val="21"/>
        </w:rPr>
        <w:t>BitacoraService</w:t>
      </w:r>
      <w:r>
        <w:t xml:space="preserve"> escribir sin pasar por el negocio, que es necesario porque tiene que poder asentar cuando el negocio falla.</w:t>
      </w:r>
    </w:p>
    <w:p>
      <w:pPr>
        <w:pStyle w:val="Heading1"/>
      </w:pPr>
      <w:r>
        <w:rPr>
          <w:rFonts w:ascii="Calibri" w:hAnsi="Calibri" w:eastAsia="Calibri"/>
        </w:rPr>
        <w:t>2 · Modelo de dominio</w:t>
      </w:r>
    </w:p>
    <w:p>
      <w:r>
        <w:rPr>
          <w:i/>
        </w:rPr>
        <w:t>Sale de las clases de `PredictIT.Domain` y de las claves foráneas de las dos bases (ver el diccionario de datos).</w:t>
      </w:r>
    </w:p>
    <w:p>
      <w:r>
        <w:t xml:space="preserve">Se muestran las entidades y no los catálogos, que son treinta y siete tablas y harían el diagrama ilegible. La línea punteada entre las dos bases es una referencia lógica </w:t>
      </w:r>
      <w:r>
        <w:rPr>
          <w:b/>
        </w:rPr>
        <w:t>sin clave foránea</w:t>
      </w:r>
      <w:r>
        <w:t>: SQL Server no las admite entre bases distintas, y por eso los cruces se resuelven en memoria y por lote (ADR 0003).</w:t>
      </w:r>
    </w:p>
    <w:p>
      <w:pPr>
        <w:keepNext w:val="0"/>
        <w:spacing w:after="240"/>
        <w:jc w:val="center"/>
      </w:pPr>
      <w:r>
        <w:drawing>
          <wp:inline xmlns:a="http://schemas.openxmlformats.org/drawingml/2006/main" xmlns:pic="http://schemas.openxmlformats.org/drawingml/2006/picture">
            <wp:extent cx="5943600" cy="3247331"/>
            <wp:docPr id="3" name="Picture 3" descr="Modelo de dominio" title="Modelo de dominio"/>
            <wp:cNvGraphicFramePr>
              <a:graphicFrameLocks noChangeAspect="1"/>
            </wp:cNvGraphicFramePr>
            <a:graphic>
              <a:graphicData uri="http://schemas.openxmlformats.org/drawingml/2006/picture">
                <pic:pic>
                  <pic:nvPicPr>
                    <pic:cNvPr id="0" name="ea-05-dominio.png"/>
                    <pic:cNvPicPr/>
                  </pic:nvPicPr>
                  <pic:blipFill>
                    <a:blip r:embed="rId13"/>
                    <a:stretch>
                      <a:fillRect/>
                    </a:stretch>
                  </pic:blipFill>
                  <pic:spPr>
                    <a:xfrm>
                      <a:off x="0" y="0"/>
                      <a:ext cx="5943600" cy="3247331"/>
                    </a:xfrm>
                    <a:prstGeom prst="rect"/>
                    <a:ln w="6350">
                      <a:solidFill>
                        <a:srgbClr val="D9D9D9"/>
                      </a:solidFill>
                    </a:ln>
                  </pic:spPr>
                </pic:pic>
              </a:graphicData>
            </a:graphic>
          </wp:inline>
        </w:drawing>
      </w:r>
    </w:p>
    <w:p>
      <w:r>
        <w:rPr>
          <w:rFonts w:ascii="Consolas" w:hAnsi="Consolas" w:eastAsia="Consolas"/>
          <w:sz w:val="21"/>
        </w:rPr>
        <w:t>FAMILIA ||--o{ FAMILIA</w:t>
      </w:r>
      <w:r>
        <w:t xml:space="preserve"> es el composite: una familia contiene familias. Es la relación que obliga a la guarda de ciclos, porque una familia que se contiene a sí misma cuelga la resolución de permisos.</w:t>
      </w:r>
    </w:p>
    <w:p>
      <w:pPr>
        <w:pStyle w:val="Heading1"/>
      </w:pPr>
      <w:r>
        <w:rPr>
          <w:rFonts w:ascii="Calibri" w:hAnsi="Calibri" w:eastAsia="Calibri"/>
        </w:rPr>
        <w:t>3 · Secuencia · registrar una incidencia</w:t>
      </w:r>
    </w:p>
    <w:p>
      <w:r>
        <w:rPr>
          <w:i/>
        </w:rPr>
        <w:t>Sale de `IncidenciaBusiness.Registrar`.</w:t>
      </w:r>
    </w:p>
    <w:p>
      <w:r>
        <w:t xml:space="preserve">Es el flujo más denso del sistema y el que conviene poder explicar de memoria. Lo que el diagrama tiene que dejar claro: </w:t>
      </w:r>
      <w:r>
        <w:rPr>
          <w:b/>
        </w:rPr>
        <w:t>los pasos 2 a 5 nunca hacen fallar el paso 1</w:t>
      </w:r>
      <w:r>
        <w:t>. Que la asignación automática no funcione no puede impedir que se registre el reporte de una falla.</w:t>
      </w:r>
    </w:p>
    <w:p>
      <w:pPr>
        <w:keepNext w:val="0"/>
        <w:spacing w:after="240"/>
        <w:jc w:val="center"/>
      </w:pPr>
      <w:r>
        <w:drawing>
          <wp:inline xmlns:a="http://schemas.openxmlformats.org/drawingml/2006/main" xmlns:pic="http://schemas.openxmlformats.org/drawingml/2006/picture">
            <wp:extent cx="5943600" cy="2871941"/>
            <wp:docPr id="4" name="Picture 4" descr="Secuencia: registrar una incidencia" title="Secuencia: registrar una incidencia"/>
            <wp:cNvGraphicFramePr>
              <a:graphicFrameLocks noChangeAspect="1"/>
            </wp:cNvGraphicFramePr>
            <a:graphic>
              <a:graphicData uri="http://schemas.openxmlformats.org/drawingml/2006/picture">
                <pic:pic>
                  <pic:nvPicPr>
                    <pic:cNvPr id="0" name="ea-07-secuencia.png"/>
                    <pic:cNvPicPr/>
                  </pic:nvPicPr>
                  <pic:blipFill>
                    <a:blip r:embed="rId14"/>
                    <a:stretch>
                      <a:fillRect/>
                    </a:stretch>
                  </pic:blipFill>
                  <pic:spPr>
                    <a:xfrm>
                      <a:off x="0" y="0"/>
                      <a:ext cx="5943600" cy="2871941"/>
                    </a:xfrm>
                    <a:prstGeom prst="rect"/>
                    <a:ln w="6350">
                      <a:solidFill>
                        <a:srgbClr val="D9D9D9"/>
                      </a:solidFill>
                    </a:ln>
                  </pic:spPr>
                </pic:pic>
              </a:graphicData>
            </a:graphic>
          </wp:inline>
        </w:drawing>
      </w:r>
    </w:p>
    <w:p>
      <w:r>
        <w:t xml:space="preserve">La asignación va </w:t>
      </w:r>
      <w:r>
        <w:rPr>
          <w:b/>
        </w:rPr>
        <w:t>después</w:t>
      </w:r>
      <w:r>
        <w:t xml:space="preserve"> del alta y fuera de su transacción: si el proveedor tarda, no se sostiene una transacción abierta tomando bloqueos.</w:t>
      </w:r>
    </w:p>
    <w:p>
      <w:pPr>
        <w:pStyle w:val="Heading1"/>
      </w:pPr>
      <w:r>
        <w:rPr>
          <w:rFonts w:ascii="Calibri" w:hAnsi="Calibri" w:eastAsia="Calibri"/>
        </w:rPr>
        <w:t>4 · Estados de la incidencia</w:t>
      </w:r>
    </w:p>
    <w:p>
      <w:r>
        <w:rPr>
          <w:i/>
        </w:rPr>
        <w:t>Sale del diccionario `Permitidas` en `IncidenciaBusiness`.</w:t>
      </w:r>
    </w:p>
    <w:p>
      <w:pPr>
        <w:keepNext w:val="0"/>
        <w:spacing w:after="240"/>
        <w:jc w:val="center"/>
      </w:pPr>
      <w:r>
        <w:drawing>
          <wp:inline xmlns:a="http://schemas.openxmlformats.org/drawingml/2006/main" xmlns:pic="http://schemas.openxmlformats.org/drawingml/2006/picture">
            <wp:extent cx="5874744" cy="6840000"/>
            <wp:docPr id="5" name="Picture 5" descr="Ciclo de vida de la incidencia, con sus transiciones válidas" title="Ciclo de vida de la incidencia, con sus transiciones válidas"/>
            <wp:cNvGraphicFramePr>
              <a:graphicFrameLocks noChangeAspect="1"/>
            </wp:cNvGraphicFramePr>
            <a:graphic>
              <a:graphicData uri="http://schemas.openxmlformats.org/drawingml/2006/picture">
                <pic:pic>
                  <pic:nvPicPr>
                    <pic:cNvPr id="0" name="ea-06-estados.png"/>
                    <pic:cNvPicPr/>
                  </pic:nvPicPr>
                  <pic:blipFill>
                    <a:blip r:embed="rId15"/>
                    <a:stretch>
                      <a:fillRect/>
                    </a:stretch>
                  </pic:blipFill>
                  <pic:spPr>
                    <a:xfrm>
                      <a:off x="0" y="0"/>
                      <a:ext cx="5874744" cy="6840000"/>
                    </a:xfrm>
                    <a:prstGeom prst="rect"/>
                    <a:ln w="6350">
                      <a:solidFill>
                        <a:srgbClr val="D9D9D9"/>
                      </a:solidFill>
                    </a:ln>
                  </pic:spPr>
                </pic:pic>
              </a:graphicData>
            </a:graphic>
          </wp:inline>
        </w:drawing>
      </w:r>
    </w:p>
    <w:p>
      <w:r>
        <w:t>Dos cosas que el diagrama no puede mostrar y hay que decir:</w:t>
      </w:r>
    </w:p>
    <w:p>
      <w:pPr>
        <w:pStyle w:val="ListBullet"/>
      </w:pPr>
      <w:r>
        <w:t>*</w:t>
      </w:r>
      <w:r>
        <w:rPr>
          <w:i/>
        </w:rPr>
        <w:t xml:space="preserve">Pasar a </w:t>
      </w:r>
      <w:r>
        <w:t>Resuelta</w:t>
      </w:r>
      <w:r>
        <w:rPr>
          <w:i/>
        </w:rPr>
        <w:t xml:space="preserve"> exige diagnóstico y solución</w:t>
      </w:r>
      <w:r>
        <w:t>*, y sella la fecha de resolución.</w:t>
      </w:r>
    </w:p>
    <w:p>
      <w:pPr>
        <w:pStyle w:val="ListBullet"/>
      </w:pPr>
      <w:r>
        <w:rPr>
          <w:b/>
        </w:rPr>
        <w:t>La reapertura borra esa fecha.</w:t>
      </w:r>
      <w:r>
        <w:t xml:space="preserve"> El tiempo de reparación tiene que medirse hasta la resolución que quedó firme.</w:t>
      </w:r>
    </w:p>
    <w:p>
      <w:pPr>
        <w:pStyle w:val="Heading1"/>
      </w:pPr>
      <w:r>
        <w:rPr>
          <w:rFonts w:ascii="Calibri" w:hAnsi="Calibri" w:eastAsia="Calibri"/>
        </w:rPr>
        <w:t>5 · Componentes en ejecución</w:t>
      </w:r>
    </w:p>
    <w:p>
      <w:r>
        <w:rPr>
          <w:i/>
        </w:rPr>
        <w:t>Sale de `docker-compose.yml` y del registro de servicios en `Program.cs`.</w:t>
      </w:r>
    </w:p>
    <w:p>
      <w:pPr>
        <w:keepNext w:val="0"/>
        <w:spacing w:after="240"/>
        <w:jc w:val="center"/>
      </w:pPr>
      <w:r>
        <w:drawing>
          <wp:inline xmlns:a="http://schemas.openxmlformats.org/drawingml/2006/main" xmlns:pic="http://schemas.openxmlformats.org/drawingml/2006/picture">
            <wp:extent cx="5943600" cy="4183451"/>
            <wp:docPr id="6" name="Picture 6" descr="Componentes en ejecución" title="Componentes en ejecución"/>
            <wp:cNvGraphicFramePr>
              <a:graphicFrameLocks noChangeAspect="1"/>
            </wp:cNvGraphicFramePr>
            <a:graphic>
              <a:graphicData uri="http://schemas.openxmlformats.org/drawingml/2006/picture">
                <pic:pic>
                  <pic:nvPicPr>
                    <pic:cNvPr id="0" name="ea-02-componentes.png"/>
                    <pic:cNvPicPr/>
                  </pic:nvPicPr>
                  <pic:blipFill>
                    <a:blip r:embed="rId16"/>
                    <a:stretch>
                      <a:fillRect/>
                    </a:stretch>
                  </pic:blipFill>
                  <pic:spPr>
                    <a:xfrm>
                      <a:off x="0" y="0"/>
                      <a:ext cx="5943600" cy="4183451"/>
                    </a:xfrm>
                    <a:prstGeom prst="rect"/>
                    <a:ln w="6350">
                      <a:solidFill>
                        <a:srgbClr val="D9D9D9"/>
                      </a:solidFill>
                    </a:ln>
                  </pic:spPr>
                </pic:pic>
              </a:graphicData>
            </a:graphic>
          </wp:inline>
        </w:drawing>
      </w:r>
    </w:p>
    <w:p>
      <w:r>
        <w:t>Tres cosas de este diagrama son decisiones y no accidentes:</w:t>
      </w:r>
    </w:p>
    <w:p>
      <w:pPr>
        <w:pStyle w:val="ListBullet"/>
      </w:pPr>
      <w:r>
        <w:rPr>
          <w:b/>
        </w:rPr>
        <w:t>El navegador nunca habla con la API directamente.</w:t>
      </w:r>
      <w:r>
        <w:t xml:space="preserve"> Pide a </w:t>
      </w:r>
      <w:r>
        <w:rPr>
          <w:rFonts w:ascii="Consolas" w:hAnsi="Consolas" w:eastAsia="Consolas"/>
          <w:sz w:val="21"/>
        </w:rPr>
        <w:t>/api</w:t>
      </w:r>
      <w:r>
        <w:t xml:space="preserve"> y nginx lo proxea, así la URL del backend no queda escrita en el bundle y no hay CORS que resolver.</w:t>
      </w:r>
    </w:p>
    <w:p>
      <w:pPr>
        <w:pStyle w:val="ListBullet"/>
      </w:pPr>
      <w:r>
        <w:rPr>
          <w:b/>
        </w:rPr>
        <w:t>El barrido usa un pool propio y acotado</w:t>
      </w:r>
      <w:r>
        <w:t xml:space="preserve"> (bulkhead, ADR 0009): puede agotar sus cinco conexiones y quedarse esperando las suyas, sin tocar las que atienden a los usuarios.</w:t>
      </w:r>
    </w:p>
    <w:p>
      <w:pPr>
        <w:pStyle w:val="ListBullet"/>
      </w:pPr>
      <w:r>
        <w:rPr>
          <w:b/>
        </w:rPr>
        <w:t>La flecha al servicio externo es punteada.</w:t>
      </w:r>
      <w:r>
        <w:t xml:space="preserve"> Sin clave de API el sistema usa el proveedor simulado y lo deja registrado en la bitácora: no deja de funcionar.</w:t>
      </w:r>
    </w:p>
    <w:p>
      <w:pPr>
        <w:pStyle w:val="Heading1"/>
      </w:pPr>
      <w:r>
        <w:rPr>
          <w:rFonts w:ascii="Calibri" w:hAnsi="Calibri" w:eastAsia="Calibri"/>
        </w:rPr>
        <w:t>6 · Despliegue</w:t>
      </w:r>
    </w:p>
    <w:p>
      <w:r>
        <w:rPr>
          <w:i/>
        </w:rPr>
        <w:t>Sale de `docker-compose.yml` y del manual de instalación.</w:t>
      </w:r>
    </w:p>
    <w:p>
      <w:pPr>
        <w:keepNext w:val="0"/>
        <w:spacing w:after="240"/>
        <w:jc w:val="center"/>
      </w:pPr>
      <w:r>
        <w:drawing>
          <wp:inline xmlns:a="http://schemas.openxmlformats.org/drawingml/2006/main" xmlns:pic="http://schemas.openxmlformats.org/drawingml/2006/picture">
            <wp:extent cx="5943600" cy="3078423"/>
            <wp:docPr id="7" name="Picture 7" descr="Despliegue: cuatro contenedores y un servicio externo" title="Despliegue: cuatro contenedores y un servicio externo"/>
            <wp:cNvGraphicFramePr>
              <a:graphicFrameLocks noChangeAspect="1"/>
            </wp:cNvGraphicFramePr>
            <a:graphic>
              <a:graphicData uri="http://schemas.openxmlformats.org/drawingml/2006/picture">
                <pic:pic>
                  <pic:nvPicPr>
                    <pic:cNvPr id="0" name="ea-03-despliegue.png"/>
                    <pic:cNvPicPr/>
                  </pic:nvPicPr>
                  <pic:blipFill>
                    <a:blip r:embed="rId17"/>
                    <a:stretch>
                      <a:fillRect/>
                    </a:stretch>
                  </pic:blipFill>
                  <pic:spPr>
                    <a:xfrm>
                      <a:off x="0" y="0"/>
                      <a:ext cx="5943600" cy="3078423"/>
                    </a:xfrm>
                    <a:prstGeom prst="rect"/>
                    <a:ln w="6350">
                      <a:solidFill>
                        <a:srgbClr val="D9D9D9"/>
                      </a:solidFill>
                    </a:ln>
                  </pic:spPr>
                </pic:pic>
              </a:graphicData>
            </a:graphic>
          </wp:inline>
        </w:drawing>
      </w:r>
    </w:p>
    <w:p>
      <w:r>
        <w:rPr>
          <w:rFonts w:ascii="Consolas" w:hAnsi="Consolas" w:eastAsia="Consolas"/>
          <w:sz w:val="21"/>
        </w:rPr>
        <w:t>predictit-migraciones</w:t>
      </w:r>
      <w:r>
        <w:t xml:space="preserve"> </w:t>
      </w:r>
      <w:r>
        <w:rPr>
          <w:b/>
        </w:rPr>
        <w:t>corre una vez y termina</w:t>
      </w:r>
      <w:r>
        <w:t>. La API espera a que termine bien: sin eso arrancaría contra una base sin tablas y el primer inicio de sesión fallaría con un error que no dice cuál es el problema real.</w:t>
      </w:r>
    </w:p>
    <w:p>
      <w:r>
        <w:t>Los scripts son idempotentes, así que volver a levantar el stack reaplica y sale sin duplicar nada.</w:t>
      </w:r>
    </w:p>
    <w:p>
      <w:pPr>
        <w:pStyle w:val="Heading1"/>
      </w:pPr>
      <w:r>
        <w:rPr>
          <w:rFonts w:ascii="Calibri" w:hAnsi="Calibri" w:eastAsia="Calibri"/>
        </w:rPr>
        <w:t>7 · Casos de uso por perfil</w:t>
      </w:r>
    </w:p>
    <w:p>
      <w:r>
        <w:rPr>
          <w:i/>
        </w:rPr>
        <w:t>Sale de las patentes concedidas a cada familia en el seed.</w:t>
      </w:r>
    </w:p>
    <w:p>
      <w:pPr>
        <w:keepNext w:val="0"/>
        <w:spacing w:after="240"/>
        <w:jc w:val="center"/>
      </w:pPr>
      <w:r>
        <w:drawing>
          <wp:inline xmlns:a="http://schemas.openxmlformats.org/drawingml/2006/main" xmlns:pic="http://schemas.openxmlformats.org/drawingml/2006/picture">
            <wp:extent cx="5943600" cy="5689961"/>
            <wp:docPr id="8" name="Picture 8" descr="Casos de uso, por perfil que los ejecuta" title="Casos de uso, por perfil que los ejecuta"/>
            <wp:cNvGraphicFramePr>
              <a:graphicFrameLocks noChangeAspect="1"/>
            </wp:cNvGraphicFramePr>
            <a:graphic>
              <a:graphicData uri="http://schemas.openxmlformats.org/drawingml/2006/picture">
                <pic:pic>
                  <pic:nvPicPr>
                    <pic:cNvPr id="0" name="ea-04-casos-de-uso.png"/>
                    <pic:cNvPicPr/>
                  </pic:nvPicPr>
                  <pic:blipFill>
                    <a:blip r:embed="rId18"/>
                    <a:stretch>
                      <a:fillRect/>
                    </a:stretch>
                  </pic:blipFill>
                  <pic:spPr>
                    <a:xfrm>
                      <a:off x="0" y="0"/>
                      <a:ext cx="5943600" cy="5689961"/>
                    </a:xfrm>
                    <a:prstGeom prst="rect"/>
                    <a:ln w="6350">
                      <a:solidFill>
                        <a:srgbClr val="D9D9D9"/>
                      </a:solidFill>
                    </a:ln>
                  </pic:spPr>
                </pic:pic>
              </a:graphicData>
            </a:graphic>
          </wp:inline>
        </w:drawing>
      </w:r>
    </w:p>
    <w:p>
      <w:r>
        <w:t xml:space="preserve">El </w:t>
      </w:r>
      <w:r>
        <w:rPr>
          <w:b/>
        </w:rPr>
        <w:t>Solicitante</w:t>
      </w:r>
      <w:r>
        <w:t xml:space="preserve"> ve sólo lo suyo, por decisión de diseño: si le mostráramos puntajes, pesos y prioridades, no reportaría nada. El </w:t>
      </w:r>
      <w:r>
        <w:rPr>
          <w:b/>
        </w:rPr>
        <w:t>Partner</w:t>
      </w:r>
      <w:r>
        <w:t xml:space="preserve"> usa los casos del Administrador más el cambio de organización.</w:t>
      </w:r>
    </w:p>
    <w:p>
      <w:r>
        <w:t xml:space="preserve">Se muestran los casos y no las veintiséis patentes. La correspondencia exacta entre caso de uso y patente está en el diccionario de datos y en el seed </w:t>
      </w:r>
      <w:r>
        <w:rPr>
          <w:rFonts w:ascii="Consolas" w:hAnsi="Consolas" w:eastAsia="Consolas"/>
          <w:sz w:val="21"/>
        </w:rPr>
        <w:t>db/03-seed-servicio.sql</w:t>
      </w:r>
      <w:r>
        <w:t>.</w:t>
      </w:r>
    </w:p>
    <w:p>
      <w:r>
        <w:t>&lt;sub&gt;Los diagramas se corrigen en el mismo commit que el cambio que los invalida. Si uno contradice al código, el código tiene razón y el diagrama es el defecto.&lt;/sub&gt;</w:t>
      </w:r>
    </w:p>
    <w:p>
      <w:r>
        <w:br w:type="page"/>
      </w:r>
    </w:p>
    <w:p>
      <w:pPr>
        <w:pStyle w:val="Heading1"/>
        <w:pBdr>
          <w:bottom w:val="single" w:sz="6" w:space="6" w:color="2F5496"/>
        </w:pBdr>
      </w:pPr>
      <w:r>
        <w:rPr>
          <w:rFonts w:ascii="Calibri" w:hAnsi="Calibri" w:eastAsia="Calibri"/>
        </w:rPr>
        <w:t>Fuentes</w:t>
      </w:r>
    </w:p>
    <w:p>
      <w:pPr>
        <w:spacing w:after="160"/>
        <w:ind w:left="709" w:hanging="709"/>
        <w:jc w:val="left"/>
      </w:pPr>
      <w:r>
        <w:t xml:space="preserve">Evans, E. (2003). </w:t>
      </w:r>
      <w:r>
        <w:rPr>
          <w:i/>
        </w:rPr>
        <w:t>Domain-driven design: Tackling complexity in the heart of software</w:t>
      </w:r>
      <w:r>
        <w:t>. Addison-Wesley.</w:t>
      </w:r>
    </w:p>
    <w:p>
      <w:pPr>
        <w:spacing w:after="160"/>
        <w:ind w:left="709" w:hanging="709"/>
        <w:jc w:val="left"/>
      </w:pPr>
      <w:r>
        <w:t xml:space="preserve">Fowler, M. (2002). </w:t>
      </w:r>
      <w:r>
        <w:rPr>
          <w:i/>
        </w:rPr>
        <w:t>Patterns of enterprise application architecture</w:t>
      </w:r>
      <w:r>
        <w:t>. Addison-Wesley.</w:t>
      </w:r>
    </w:p>
    <w:p>
      <w:pPr>
        <w:spacing w:after="160"/>
        <w:ind w:left="709" w:hanging="709"/>
        <w:jc w:val="left"/>
      </w:pPr>
      <w:r>
        <w:t xml:space="preserve">Gamma, E., Helm, R., Johnson, R. y Vlissides, J. (1995). </w:t>
      </w:r>
      <w:r>
        <w:rPr>
          <w:i/>
        </w:rPr>
        <w:t>Design patterns: Elements of reusable object-oriented software</w:t>
      </w:r>
      <w:r>
        <w:t>. Addison-Wesley.</w:t>
      </w:r>
    </w:p>
    <w:p>
      <w:pPr>
        <w:spacing w:after="160"/>
        <w:ind w:left="709" w:hanging="709"/>
        <w:jc w:val="left"/>
      </w:pPr>
      <w:r>
        <w:t xml:space="preserve">Kruchten, P. (1995). The 4+1 view model of architecture. </w:t>
      </w:r>
      <w:r>
        <w:rPr>
          <w:i/>
        </w:rPr>
        <w:t>IEEE Software, 12</w:t>
      </w:r>
      <w:r>
        <w:t>(6), 42-50.</w:t>
      </w:r>
    </w:p>
    <w:p>
      <w:pPr>
        <w:spacing w:after="160"/>
        <w:ind w:left="709" w:hanging="709"/>
        <w:jc w:val="left"/>
      </w:pPr>
      <w:r>
        <w:t xml:space="preserve">Object Management Group. (2017). </w:t>
      </w:r>
      <w:r>
        <w:rPr>
          <w:i/>
        </w:rPr>
        <w:t>OMG Unified Modeling Language (OMG UML), Version 2.5.1</w:t>
      </w:r>
      <w:r>
        <w:t>. https://www.omg.org/spec/UML/2.5.1</w:t>
      </w:r>
    </w:p>
    <w:p>
      <w:pPr>
        <w:spacing w:after="160"/>
        <w:ind w:left="709" w:hanging="709"/>
        <w:jc w:val="left"/>
      </w:pPr>
      <w:r>
        <w:t xml:space="preserve">Sparx Systems. (2024). </w:t>
      </w:r>
      <w:r>
        <w:rPr>
          <w:i/>
        </w:rPr>
        <w:t>Enterprise Architect user guide</w:t>
      </w:r>
      <w:r>
        <w:t>. https://sparxsystems.com/enterprise_architect_user_guide/</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Calibri" w:hAnsi="Calibri" w:eastAsia="Calibri"/>
        <w:color w:val="666666"/>
        <w:sz w:val="18"/>
      </w:rPr>
      <w:t xml:space="preserve">Página </w:t>
    </w:r>
    <w:r>
      <w:rPr>
        <w:rFonts w:ascii="Calibri" w:hAnsi="Calibri" w:eastAsia="Calibri"/>
        <w:color w:val="666666"/>
        <w:sz w:val="18"/>
      </w:rPr>
      <w:fldChar w:fldCharType="begin"/>
      <w:instrText xml:space="preserve">PAGE</w:instrText>
      <w:fldChar w:fldCharType="separate"/>
      <w:fldChar w:fldCharType="end"/>
    </w:r>
    <w:r>
      <w:rPr>
        <w:rFonts w:ascii="Calibri" w:hAnsi="Calibri" w:eastAsia="Calibri"/>
        <w:color w:val="666666"/>
        <w:sz w:val="18"/>
      </w:rPr>
      <w:t xml:space="preserve"> de </w:t>
    </w:r>
    <w:r>
      <w:rPr>
        <w:rFonts w:ascii="Calibri" w:hAnsi="Calibri" w:eastAsia="Calibri"/>
        <w:color w:val="666666"/>
        <w:sz w:val="18"/>
      </w:rPr>
      <w:fldChar w:fldCharType="begin"/>
      <w:instrText xml:space="preserve">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right"/>
      <w:pBdr>
        <w:bottom w:val="single" w:sz="4" w:space="2" w:color="CCCCCC"/>
      </w:pBdr>
    </w:pPr>
    <w:r>
      <w:rPr>
        <w:rFonts w:ascii="Calibri" w:hAnsi="Calibri" w:eastAsia="Calibri"/>
        <w:color w:val="666666"/>
        <w:sz w:val="18"/>
      </w:rPr>
      <w:t>PredictIT · Diagramas del sistema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60"/>
      <w:jc w:val="both"/>
    </w:pPr>
    <w:rPr>
      <w:rFonts w:ascii="Calibri" w:hAnsi="Calibri" w:eastAsia="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20"/>
      <w:jc w:val="left"/>
      <w:outlineLvl w:val="0"/>
    </w:pPr>
    <w:rPr>
      <w:rFonts w:asciiTheme="majorHAnsi" w:eastAsiaTheme="majorEastAsia" w:hAnsiTheme="majorHAnsi" w:cstheme="majorBidi" w:ascii="Calibri Light" w:hAnsi="Calibri Light" w:eastAsia="Calibri Light"/>
      <w:b w:val="0"/>
      <w:bCs/>
      <w:i w:val="0"/>
      <w:color w:val="2F5496"/>
      <w:sz w:val="40"/>
      <w:szCs w:val="28"/>
    </w:rPr>
  </w:style>
  <w:style w:type="paragraph" w:styleId="Heading2">
    <w:name w:val="heading 2"/>
    <w:basedOn w:val="Normal"/>
    <w:next w:val="Normal"/>
    <w:link w:val="Heading2Char"/>
    <w:uiPriority w:val="9"/>
    <w:unhideWhenUsed/>
    <w:qFormat/>
    <w:rsid w:val="00FC693F"/>
    <w:pPr>
      <w:keepNext/>
      <w:keepLines/>
      <w:spacing w:before="240" w:after="120"/>
      <w:jc w:val="left"/>
      <w:outlineLvl w:val="1"/>
    </w:pPr>
    <w:rPr>
      <w:rFonts w:asciiTheme="majorHAnsi" w:eastAsiaTheme="majorEastAsia" w:hAnsiTheme="majorHAnsi" w:cstheme="majorBidi" w:ascii="Calibri Light" w:hAnsi="Calibri Light" w:eastAsia="Calibri Light"/>
      <w:b w:val="0"/>
      <w:bCs/>
      <w:i w:val="0"/>
      <w:color w:val="2F5496"/>
      <w:sz w:val="32"/>
      <w:szCs w:val="26"/>
    </w:rPr>
  </w:style>
  <w:style w:type="paragraph" w:styleId="Heading3">
    <w:name w:val="heading 3"/>
    <w:basedOn w:val="Normal"/>
    <w:next w:val="Normal"/>
    <w:link w:val="Heading3Char"/>
    <w:uiPriority w:val="9"/>
    <w:unhideWhenUsed/>
    <w:qFormat/>
    <w:rsid w:val="00FC693F"/>
    <w:pPr>
      <w:keepNext/>
      <w:keepLines/>
      <w:spacing w:before="240" w:after="120"/>
      <w:jc w:val="left"/>
      <w:outlineLvl w:val="2"/>
    </w:pPr>
    <w:rPr>
      <w:rFonts w:asciiTheme="majorHAnsi" w:eastAsiaTheme="majorEastAsia" w:hAnsiTheme="majorHAnsi" w:cstheme="majorBidi" w:ascii="Calibri Light" w:hAnsi="Calibri Light" w:eastAsia="Calibri Light"/>
      <w:b/>
      <w:bCs/>
      <w:i w:val="0"/>
      <w:color w:val="2F5496"/>
      <w:sz w:val="26"/>
    </w:rPr>
  </w:style>
  <w:style w:type="paragraph" w:styleId="Heading4">
    <w:name w:val="heading 4"/>
    <w:basedOn w:val="Normal"/>
    <w:next w:val="Normal"/>
    <w:link w:val="Heading4Char"/>
    <w:uiPriority w:val="9"/>
    <w:semiHidden/>
    <w:unhideWhenUsed/>
    <w:qFormat/>
    <w:rsid w:val="00FC693F"/>
    <w:pPr>
      <w:keepNext/>
      <w:keepLines/>
      <w:spacing w:before="240" w:after="120"/>
      <w:jc w:val="left"/>
      <w:outlineLvl w:val="3"/>
    </w:pPr>
    <w:rPr>
      <w:rFonts w:asciiTheme="majorHAnsi" w:eastAsiaTheme="majorEastAsia" w:hAnsiTheme="majorHAnsi" w:cstheme="majorBidi" w:ascii="Calibri Light" w:hAnsi="Calibri Light" w:eastAsia="Calibri Light"/>
      <w:b/>
      <w:bCs/>
      <w:i w:val="0"/>
      <w:iCs/>
      <w:color w:val="2F5496"/>
      <w:sz w:val="24"/>
    </w:rPr>
  </w:style>
  <w:style w:type="paragraph" w:styleId="Heading5">
    <w:name w:val="heading 5"/>
    <w:basedOn w:val="Normal"/>
    <w:next w:val="Normal"/>
    <w:link w:val="Heading5Char"/>
    <w:uiPriority w:val="9"/>
    <w:semiHidden/>
    <w:unhideWhenUsed/>
    <w:qFormat/>
    <w:rsid w:val="00FC693F"/>
    <w:pPr>
      <w:keepNext/>
      <w:keepLines/>
      <w:spacing w:before="240" w:after="120"/>
      <w:jc w:val="left"/>
      <w:outlineLvl w:val="4"/>
    </w:pPr>
    <w:rPr>
      <w:rFonts w:asciiTheme="majorHAnsi" w:eastAsiaTheme="majorEastAsia" w:hAnsiTheme="majorHAnsi" w:cstheme="majorBidi" w:ascii="Calibri Light" w:hAnsi="Calibri Light" w:eastAsia="Calibri Light"/>
      <w:b/>
      <w:i w:val="0"/>
      <w:color w:val="2F5496"/>
      <w:sz w:val="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320"/>
      <w:contextualSpacing/>
      <w:jc w:val="left"/>
    </w:pPr>
    <w:rPr>
      <w:rFonts w:asciiTheme="majorHAnsi" w:eastAsiaTheme="majorEastAsia" w:hAnsiTheme="majorHAnsi" w:cstheme="majorBidi" w:ascii="Calibri Light" w:hAnsi="Calibri Light" w:eastAsia="Calibri Light"/>
      <w:color w:val="2F549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e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