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823451" cy="792000"/>
            <wp:docPr id="1" name="Picture 1"/>
            <wp:cNvGraphicFramePr>
              <a:graphicFrameLocks noChangeAspect="1"/>
            </wp:cNvGraphicFramePr>
            <a:graphic>
              <a:graphicData uri="http://schemas.openxmlformats.org/drawingml/2006/picture">
                <pic:pic>
                  <pic:nvPicPr>
                    <pic:cNvPr id="0" name="escudo-uai.jpeg"/>
                    <pic:cNvPicPr/>
                  </pic:nvPicPr>
                  <pic:blipFill>
                    <a:blip r:embed="rId11"/>
                    <a:stretch>
                      <a:fillRect/>
                    </a:stretch>
                  </pic:blipFill>
                  <pic:spPr>
                    <a:xfrm>
                      <a:off x="0" y="0"/>
                      <a:ext cx="823451" cy="792000"/>
                    </a:xfrm>
                    <a:prstGeom prst="rect"/>
                  </pic:spPr>
                </pic:pic>
              </a:graphicData>
            </a:graphic>
          </wp:inline>
        </w:drawing>
      </w:r>
    </w:p>
    <w:p>
      <w:pPr>
        <w:spacing w:after="40" w:line="240" w:lineRule="auto"/>
        <w:jc w:val="center"/>
      </w:pPr>
      <w:r>
        <w:rPr>
          <w:rFonts w:ascii="Calibri" w:hAnsi="Calibri" w:eastAsia="Calibri"/>
          <w:b/>
          <w:sz w:val="28"/>
        </w:rPr>
        <w:t>Universidad Abierta Interamericana</w:t>
      </w:r>
    </w:p>
    <w:p>
      <w:pPr>
        <w:spacing w:after="40" w:line="240" w:lineRule="auto"/>
        <w:jc w:val="center"/>
      </w:pPr>
      <w:r>
        <w:rPr>
          <w:rFonts w:ascii="Calibri" w:hAnsi="Calibri" w:eastAsia="Calibri"/>
          <w:b w:val="0"/>
          <w:sz w:val="24"/>
        </w:rPr>
        <w:t>Facultad de Tecnología Informática</w:t>
      </w:r>
    </w:p>
    <w:p>
      <w:pPr>
        <w:spacing w:after="520" w:line="240" w:lineRule="auto"/>
        <w:jc w:val="center"/>
      </w:pPr>
      <w:r>
        <w:rPr>
          <w:rFonts w:ascii="Calibri" w:hAnsi="Calibri" w:eastAsia="Calibri"/>
          <w:b w:val="0"/>
          <w:sz w:val="24"/>
        </w:rPr>
        <w:t>Ingeniería en Sistemas Informáticos</w:t>
      </w:r>
    </w:p>
    <w:p>
      <w:pPr>
        <w:spacing w:after="920" w:line="240" w:lineRule="auto"/>
        <w:jc w:val="center"/>
        <w:pBdr>
          <w:bottom w:val="single" w:sz="10" w:space="0" w:color="2F5496"/>
        </w:pBdr>
      </w:pPr>
    </w:p>
    <w:p>
      <w:pPr>
        <w:spacing w:after="280" w:line="240" w:lineRule="auto"/>
        <w:jc w:val="center"/>
      </w:pPr>
      <w:r>
        <w:rPr>
          <w:rFonts w:ascii="Calibri" w:hAnsi="Calibri" w:eastAsia="Calibri"/>
          <w:b w:val="0"/>
          <w:color w:val="444444"/>
          <w:sz w:val="22"/>
        </w:rPr>
        <w:t>TRABAJO FINAL DE INGENIERÍA</w:t>
      </w:r>
    </w:p>
    <w:p>
      <w:pPr>
        <w:spacing w:after="160" w:line="240" w:lineRule="auto"/>
        <w:jc w:val="center"/>
      </w:pPr>
      <w:r>
        <w:rPr>
          <w:rFonts w:ascii="Calibri" w:hAnsi="Calibri" w:eastAsia="Calibri"/>
          <w:b/>
          <w:color w:val="2F5496"/>
          <w:sz w:val="44"/>
        </w:rPr>
        <w:t>Gestión del proyecto</w:t>
      </w:r>
    </w:p>
    <w:p>
      <w:pPr>
        <w:spacing w:after="1520" w:line="240" w:lineRule="auto"/>
        <w:jc w:val="center"/>
      </w:pPr>
      <w:r>
        <w:rPr>
          <w:rFonts w:ascii="Calibri" w:hAnsi="Calibri" w:eastAsia="Calibri"/>
          <w:b w:val="0"/>
          <w:color w:val="444444"/>
          <w:sz w:val="26"/>
        </w:rPr>
        <w:t>Plan de sprints, hoja de ruta, lo que falta y cambios sobre el documento original</w:t>
      </w:r>
    </w:p>
    <w:p>
      <w:pPr>
        <w:spacing w:after="60" w:line="240" w:lineRule="auto"/>
        <w:jc w:val="center"/>
      </w:pPr>
      <w:r>
        <w:rPr>
          <w:rFonts w:ascii="Calibri" w:hAnsi="Calibri" w:eastAsia="Calibri"/>
          <w:color w:val="444444"/>
          <w:sz w:val="22"/>
        </w:rPr>
        <w:t xml:space="preserve">Alumno: </w:t>
      </w:r>
      <w:r>
        <w:rPr>
          <w:rFonts w:ascii="Calibri" w:hAnsi="Calibri" w:eastAsia="Calibri"/>
          <w:sz w:val="22"/>
        </w:rPr>
        <w:t>Pettini, Patricio Ezequiel</w:t>
      </w:r>
    </w:p>
    <w:p>
      <w:pPr>
        <w:spacing w:after="60" w:line="240" w:lineRule="auto"/>
        <w:jc w:val="center"/>
      </w:pPr>
      <w:r>
        <w:rPr>
          <w:rFonts w:ascii="Calibri" w:hAnsi="Calibri" w:eastAsia="Calibri"/>
          <w:color w:val="444444"/>
          <w:sz w:val="22"/>
        </w:rPr>
        <w:t xml:space="preserve">Legajo: </w:t>
      </w:r>
      <w:r>
        <w:rPr>
          <w:rFonts w:ascii="Calibri" w:hAnsi="Calibri" w:eastAsia="Calibri"/>
          <w:sz w:val="22"/>
        </w:rPr>
        <w:t>B00072710-T1</w:t>
      </w:r>
    </w:p>
    <w:p>
      <w:pPr>
        <w:spacing w:after="60" w:line="240" w:lineRule="auto"/>
        <w:jc w:val="center"/>
      </w:pPr>
      <w:r>
        <w:rPr>
          <w:rFonts w:ascii="Calibri" w:hAnsi="Calibri" w:eastAsia="Calibri"/>
          <w:color w:val="444444"/>
          <w:sz w:val="22"/>
        </w:rPr>
        <w:t xml:space="preserve">Sede: </w:t>
      </w:r>
      <w:r>
        <w:rPr>
          <w:rFonts w:ascii="Calibri" w:hAnsi="Calibri" w:eastAsia="Calibri"/>
          <w:sz w:val="22"/>
        </w:rPr>
        <w:t>Sede Norte — Boulogne</w:t>
      </w:r>
    </w:p>
    <w:p>
      <w:pPr>
        <w:spacing w:after="60" w:line="240" w:lineRule="auto"/>
        <w:jc w:val="center"/>
      </w:pPr>
      <w:r>
        <w:rPr>
          <w:rFonts w:ascii="Calibri" w:hAnsi="Calibri" w:eastAsia="Calibri"/>
          <w:color w:val="444444"/>
          <w:sz w:val="22"/>
        </w:rPr>
        <w:t xml:space="preserve">Docentes: </w:t>
      </w:r>
      <w:r>
        <w:rPr>
          <w:rFonts w:ascii="Calibri" w:hAnsi="Calibri" w:eastAsia="Calibri"/>
          <w:sz w:val="22"/>
        </w:rPr>
        <w:t>Romero, Martín Miguel · Weingand, Gastón Matías</w:t>
      </w:r>
    </w:p>
    <w:p>
      <w:pPr>
        <w:spacing w:after="1280"/>
      </w:pPr>
    </w:p>
    <w:p>
      <w:pPr>
        <w:spacing w:after="0" w:line="240" w:lineRule="auto"/>
        <w:jc w:val="center"/>
      </w:pPr>
      <w:r>
        <w:rPr>
          <w:rFonts w:ascii="Calibri" w:hAnsi="Calibri" w:eastAsia="Calibri"/>
          <w:b w:val="0"/>
          <w:color w:val="666666"/>
          <w:sz w:val="20"/>
        </w:rPr>
        <w:t>Versión 1.0 · 16/09/2026</w:t>
      </w:r>
    </w:p>
    <w:p>
      <w:r>
        <w:br w:type="page"/>
      </w:r>
    </w:p>
    <w:p>
      <w:pPr>
        <w:spacing w:after="200"/>
        <w:jc w:val="left"/>
        <w:pBdr>
          <w:bottom w:val="single" w:sz="6" w:space="6" w:color="2F5496"/>
        </w:pBdr>
      </w:pPr>
      <w:r>
        <w:rPr>
          <w:rFonts w:ascii="Calibri" w:hAnsi="Calibri" w:eastAsia="Calibri"/>
          <w:b/>
          <w:color w:val="2F5496"/>
          <w:sz w:val="32"/>
        </w:rPr>
        <w:t>Índice</w:t>
      </w:r>
    </w:p>
    <w:p>
      <w:r>
        <w:fldChar w:fldCharType="begin"/>
        <w:instrText xml:space="preserve">TOC \o "1-3" \h \z \u</w:instrText>
        <w:fldChar w:fldCharType="separate"/>
        <w:fldChar w:fldCharType="end"/>
      </w:r>
    </w:p>
    <w:p>
      <w:r>
        <w:br w:type="page"/>
      </w:r>
    </w:p>
    <w:p>
      <w:r>
        <w:br w:type="page"/>
      </w:r>
    </w:p>
    <w:p>
      <w:pPr>
        <w:pStyle w:val="Heading1"/>
        <w:pBdr>
          <w:bottom w:val="single" w:sz="6" w:space="6" w:color="2F5496"/>
        </w:pBdr>
      </w:pPr>
      <w:r>
        <w:rPr>
          <w:rFonts w:ascii="Calibri" w:hAnsi="Calibri" w:eastAsia="Calibri"/>
        </w:rPr>
        <w:t>Plan de sprints</w:t>
      </w:r>
    </w:p>
    <w:p>
      <w:r>
        <w:rPr>
          <w:b/>
        </w:rPr>
        <w:t>Autor:</w:t>
      </w:r>
      <w:r>
        <w:t xml:space="preserve"> Patricio Pettini · </w:t>
      </w:r>
      <w:r>
        <w:rPr>
          <w:b/>
        </w:rPr>
        <w:t>Legajo:</w:t>
      </w:r>
      <w:r>
        <w:t xml:space="preserve"> B00072710-T1</w:t>
      </w:r>
    </w:p>
    <w:p>
      <w:r>
        <w:rPr>
          <w:b/>
        </w:rPr>
        <w:t>Período:</w:t>
      </w:r>
      <w:r>
        <w:t xml:space="preserve"> 06/07/2026 – 28/11/2026 · </w:t>
      </w:r>
      <w:r>
        <w:rPr>
          <w:b/>
        </w:rPr>
        <w:t>Ocho sprints de dos semanas, la semana de cierre y el tramo de correcciones finales</w:t>
      </w:r>
    </w:p>
    <w:p>
      <w:r>
        <w:rPr>
          <w:b/>
        </w:rPr>
        <w:t>Congelamiento propio:</w:t>
      </w:r>
      <w:r>
        <w:t xml:space="preserve"> viernes 30/10/2026 · </w:t>
      </w:r>
      <w:r>
        <w:rPr>
          <w:b/>
        </w:rPr>
        <w:t>Entrega final a la cátedra:</w:t>
      </w:r>
      <w:r>
        <w:t xml:space="preserve"> miércoles 11/11/2026</w:t>
      </w:r>
    </w:p>
    <w:tbl>
      <w:tblPr>
        <w:tblW w:type="auto" w:w="0"/>
        <w:jc w:val="center"/>
        <w:tblLook w:firstColumn="1" w:firstRow="1" w:lastColumn="0" w:lastRow="0" w:noHBand="0" w:noVBand="1" w:val="04A0"/>
      </w:tblPr>
      <w:tblGrid>
        <w:gridCol w:w="4680"/>
        <w:gridCol w:w="4680"/>
      </w:tblGrid>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Sprints cerrados</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S1 a S4</w:t>
            </w:r>
          </w:p>
        </w:tc>
      </w:tr>
      <w:tr>
        <w:trPr>
          <w:cantSplit w:val="true"/>
        </w:trPr>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b/>
                <w:sz w:val="20"/>
              </w:rPr>
              <w:t>Sprint en curso</w:t>
            </w:r>
          </w:p>
        </w:tc>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b/>
                <w:sz w:val="20"/>
              </w:rPr>
              <w:t>S5</w:t>
            </w:r>
            <w:r>
              <w:rPr>
                <w:rFonts w:ascii="Calibri" w:hAnsi="Calibri" w:eastAsia="Calibri"/>
                <w:sz w:val="20"/>
              </w:rPr>
              <w:t xml:space="preserve"> (31/08 – 11/09)</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Sprints planificados</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S6 a S8, cierre (S9) y correcciones finales (S10)</w:t>
            </w:r>
          </w:p>
        </w:tc>
      </w:tr>
    </w:tbl>
    <w:p>
      <w:pPr>
        <w:spacing w:after="80"/>
      </w:pPr>
    </w:p>
    <w:p>
      <w:pPr>
        <w:spacing w:before="120" w:after="200"/>
        <w:ind w:left="397"/>
        <w:pBdr>
          <w:left w:val="single" w:sz="18" w:space="10" w:color="2F5496"/>
        </w:pBdr>
      </w:pPr>
      <w:r>
        <w:rPr>
          <w:b/>
          <w:i/>
          <w:color w:val="444444"/>
        </w:rPr>
        <w:t>El trabajo se adelantó al calendario.</w:t>
      </w:r>
      <w:r>
        <w:rPr>
          <w:i/>
          <w:color w:val="444444"/>
        </w:rPr>
        <w:t xml:space="preserve"> Las fechas de cada sprint son las que</w:t>
      </w:r>
    </w:p>
    <w:p>
      <w:pPr>
        <w:spacing w:before="120" w:after="200"/>
        <w:ind w:left="397"/>
        <w:pBdr>
          <w:left w:val="single" w:sz="18" w:space="10" w:color="2F5496"/>
        </w:pBdr>
      </w:pPr>
      <w:r>
        <w:rPr>
          <w:i/>
          <w:color w:val="444444"/>
        </w:rPr>
        <w:t>se planificaron en julio y no se retocan; los estados de las historias son lo</w:t>
      </w:r>
    </w:p>
    <w:p>
      <w:pPr>
        <w:spacing w:before="120" w:after="200"/>
        <w:ind w:left="397"/>
        <w:pBdr>
          <w:left w:val="single" w:sz="18" w:space="10" w:color="2F5496"/>
        </w:pBdr>
      </w:pPr>
      <w:r>
        <w:rPr>
          <w:i/>
          <w:color w:val="444444"/>
        </w:rPr>
        <w:t>que efectivamente está hecho. Al 09/09/2026 están terminadas todas las de S6,</w:t>
      </w:r>
    </w:p>
    <w:p>
      <w:pPr>
        <w:spacing w:before="120" w:after="200"/>
        <w:ind w:left="397"/>
        <w:pBdr>
          <w:left w:val="single" w:sz="18" w:space="10" w:color="2F5496"/>
        </w:pBdr>
      </w:pPr>
      <w:r>
        <w:rPr>
          <w:i/>
          <w:color w:val="444444"/>
        </w:rPr>
        <w:t>S7, S8 y S10, y las dos que quedan —el ensayo de la defensa y el</w:t>
      </w:r>
    </w:p>
    <w:p>
      <w:pPr>
        <w:spacing w:before="120" w:after="200"/>
        <w:ind w:left="397"/>
        <w:pBdr>
          <w:left w:val="single" w:sz="18" w:space="10" w:color="2F5496"/>
        </w:pBdr>
      </w:pPr>
      <w:r>
        <w:rPr>
          <w:i/>
          <w:color w:val="444444"/>
        </w:rPr>
        <w:t>congelamiento— dependen de fechas que todavía no llegaron. Se deja así, con la</w:t>
      </w:r>
    </w:p>
    <w:p>
      <w:pPr>
        <w:spacing w:before="120" w:after="200"/>
        <w:ind w:left="397"/>
        <w:pBdr>
          <w:left w:val="single" w:sz="18" w:space="10" w:color="2F5496"/>
        </w:pBdr>
      </w:pPr>
      <w:r>
        <w:rPr>
          <w:i/>
          <w:color w:val="444444"/>
        </w:rPr>
        <w:t>diferencia a la vista, en lugar de correr las fechas hacia atrás para que</w:t>
      </w:r>
    </w:p>
    <w:p>
      <w:pPr>
        <w:spacing w:before="120" w:after="200"/>
        <w:ind w:left="397"/>
        <w:pBdr>
          <w:left w:val="single" w:sz="18" w:space="10" w:color="2F5496"/>
        </w:pBdr>
      </w:pPr>
      <w:r>
        <w:rPr>
          <w:i/>
          <w:color w:val="444444"/>
        </w:rPr>
        <w:t>coincidan: un cronograma que se reescribe cada vez que se cumple no sirve para</w:t>
      </w:r>
    </w:p>
    <w:p>
      <w:pPr>
        <w:spacing w:before="120" w:after="200"/>
        <w:ind w:left="397"/>
        <w:pBdr>
          <w:left w:val="single" w:sz="18" w:space="10" w:color="2F5496"/>
        </w:pBdr>
      </w:pPr>
      <w:r>
        <w:rPr>
          <w:i/>
          <w:color w:val="444444"/>
        </w:rPr>
        <w:t>medir nada.</w:t>
      </w:r>
    </w:p>
    <w:p>
      <w:pPr>
        <w:pStyle w:val="Heading2"/>
        <w:pBdr>
          <w:bottom w:val="single" w:sz="6" w:space="6" w:color="2F5496"/>
        </w:pBdr>
        <w:spacing w:before="440"/>
      </w:pPr>
      <w:r>
        <w:rPr>
          <w:rFonts w:ascii="Calibri" w:hAnsi="Calibri" w:eastAsia="Calibri"/>
          <w:color w:val="2F5496"/>
        </w:rPr>
        <w:t>Cómo se gestiona</w:t>
      </w:r>
    </w:p>
    <w:p>
      <w:r>
        <w:rPr>
          <w:b/>
        </w:rPr>
        <w:t>Scrum adaptado a un equipo de una persona.</w:t>
      </w:r>
      <w:r>
        <w:t xml:space="preserve"> La adaptación es explícita, no un recorte por comodidad:</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Ceremonia</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Cómo se aplica</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Por qué así</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Planificación</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Una hora al inicio del sprint</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Comprometer alcance, no llenar horas</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Daily</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Nota diaria de una línea en el tablero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Sin equipo no hay sincronización que hacer; lo que sí hace falta es el registro de en qué se fue el día</w:t>
            </w:r>
          </w:p>
        </w:tc>
      </w:tr>
      <w:tr>
        <w:trPr>
          <w:cantSplit w:val="true"/>
        </w:trPr>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Revisión</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Demostración sobre el sistema corriendo</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Es la única evidencia que vale: código que compila no es software que anda</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Retrospectiva</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Media hora, con </w:t>
            </w:r>
            <w:r>
              <w:rPr>
                <w:rFonts w:ascii="Calibri" w:hAnsi="Calibri" w:eastAsia="Calibri"/>
                <w:b/>
                <w:sz w:val="20"/>
              </w:rPr>
              <w:t>una</w:t>
            </w:r>
            <w:r>
              <w:rPr>
                <w:rFonts w:ascii="Calibri" w:hAnsi="Calibri" w:eastAsia="Calibri"/>
                <w:sz w:val="20"/>
              </w:rPr>
              <w:t xml:space="preserve"> acción concreta</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Sin acción, la retro es una queja</w:t>
            </w:r>
          </w:p>
        </w:tc>
      </w:tr>
    </w:tbl>
    <w:p>
      <w:pPr>
        <w:spacing w:after="80"/>
      </w:pPr>
    </w:p>
    <w:p>
      <w:r>
        <w:rPr>
          <w:b/>
        </w:rPr>
        <w:t>Tres niveles: épica a historia a tarea.</w:t>
      </w:r>
      <w:r>
        <w:t xml:space="preserve"> La historia describe un cambio observable para alguien. La tarea es trabajo técnico que por sí solo no se le puede mostrar a nadie.</w:t>
      </w:r>
    </w:p>
    <w:p>
      <w:pPr>
        <w:pStyle w:val="Heading3"/>
      </w:pPr>
      <w:r>
        <w:rPr>
          <w:rFonts w:ascii="Calibri" w:hAnsi="Calibri" w:eastAsia="Calibri"/>
        </w:rPr>
        <w:t>Definición de Terminado</w:t>
      </w:r>
    </w:p>
    <w:p>
      <w:r>
        <w:t xml:space="preserve">Una historia está terminada cuando cumple </w:t>
      </w:r>
      <w:r>
        <w:rPr>
          <w:b/>
        </w:rPr>
        <w:t>todas</w:t>
      </w:r>
      <w:r>
        <w:t>:</w:t>
      </w:r>
    </w:p>
    <w:p>
      <w:pPr>
        <w:spacing w:after="80"/>
        <w:ind w:left="510" w:hanging="510"/>
        <w:jc w:val="left"/>
      </w:pPr>
      <w:r>
        <w:t>1.</w:t>
        <w:tab/>
      </w:r>
      <w:r>
        <w:t xml:space="preserve">Compila sin advertencias — el CI usa </w:t>
      </w:r>
      <w:r>
        <w:rPr>
          <w:rFonts w:ascii="Consolas" w:hAnsi="Consolas" w:eastAsia="Consolas"/>
          <w:sz w:val="21"/>
        </w:rPr>
        <w:t>-warnaserror</w:t>
      </w:r>
      <w:r>
        <w:t>.</w:t>
      </w:r>
    </w:p>
    <w:p>
      <w:pPr>
        <w:spacing w:after="80"/>
        <w:ind w:left="510" w:hanging="510"/>
        <w:jc w:val="left"/>
      </w:pPr>
      <w:r>
        <w:t>2.</w:t>
        <w:tab/>
      </w:r>
      <w:r>
        <w:t>Tiene pruebas que fallarían si el cambio se revirtiera.</w:t>
      </w:r>
    </w:p>
    <w:p>
      <w:pPr>
        <w:spacing w:after="80"/>
        <w:ind w:left="510" w:hanging="510"/>
        <w:jc w:val="left"/>
      </w:pPr>
      <w:r>
        <w:t>3.</w:t>
        <w:tab/>
      </w:r>
      <w:r>
        <w:rPr>
          <w:rFonts w:ascii="Consolas" w:hAnsi="Consolas" w:eastAsia="Consolas"/>
          <w:sz w:val="21"/>
        </w:rPr>
        <w:t>dotnet test</w:t>
      </w:r>
      <w:r>
        <w:t xml:space="preserve"> y </w:t>
      </w:r>
      <w:r>
        <w:rPr>
          <w:rFonts w:ascii="Consolas" w:hAnsi="Consolas" w:eastAsia="Consolas"/>
          <w:sz w:val="21"/>
        </w:rPr>
        <w:t>npm test</w:t>
      </w:r>
      <w:r>
        <w:t xml:space="preserve"> pasan </w:t>
      </w:r>
      <w:r>
        <w:rPr>
          <w:b/>
        </w:rPr>
        <w:t>enteros</w:t>
      </w:r>
      <w:r>
        <w:t>, no sólo lo nuevo.</w:t>
      </w:r>
    </w:p>
    <w:p>
      <w:pPr>
        <w:spacing w:after="80"/>
        <w:ind w:left="510" w:hanging="510"/>
        <w:jc w:val="left"/>
      </w:pPr>
      <w:r>
        <w:t>4.</w:t>
        <w:tab/>
      </w:r>
      <w:r>
        <w:t xml:space="preserve">Se verificó </w:t>
      </w:r>
      <w:r>
        <w:rPr>
          <w:b/>
        </w:rPr>
        <w:t>sobre el sistema corriendo</w:t>
      </w:r>
      <w:r>
        <w:t>, no leyendo el código.</w:t>
      </w:r>
    </w:p>
    <w:p>
      <w:pPr>
        <w:spacing w:after="80"/>
        <w:ind w:left="510" w:hanging="510"/>
        <w:jc w:val="left"/>
      </w:pPr>
      <w:r>
        <w:t>5.</w:t>
        <w:tab/>
      </w:r>
      <w:r>
        <w:t xml:space="preserve">Si contradice o precisa el documento del TFI, quedó en </w:t>
      </w:r>
      <w:r>
        <w:rPr>
          <w:rFonts w:ascii="Consolas" w:hAnsi="Consolas" w:eastAsia="Consolas"/>
          <w:sz w:val="21"/>
        </w:rPr>
        <w:t>docs/CAMBIOS-DOCUMENTO.md</w:t>
      </w:r>
      <w:r>
        <w:t>.</w:t>
      </w:r>
    </w:p>
    <w:p>
      <w:pPr>
        <w:spacing w:after="80"/>
        <w:ind w:left="510" w:hanging="510"/>
        <w:jc w:val="left"/>
      </w:pPr>
      <w:r>
        <w:t>6.</w:t>
        <w:tab/>
      </w:r>
      <w:r>
        <w:t>Si fue una decisión de arquitectura, tiene su ADR.</w:t>
      </w:r>
    </w:p>
    <w:p>
      <w:pPr>
        <w:spacing w:after="80"/>
        <w:ind w:left="510" w:hanging="510"/>
        <w:jc w:val="left"/>
      </w:pPr>
      <w:r>
        <w:t>7.</w:t>
        <w:tab/>
      </w:r>
      <w:r>
        <w:t xml:space="preserve">Commiteada con un mensaje que explica </w:t>
      </w:r>
      <w:r>
        <w:rPr>
          <w:b/>
        </w:rPr>
        <w:t>por qué</w:t>
      </w:r>
      <w:r>
        <w:t>, no qué.</w:t>
      </w:r>
    </w:p>
    <w:p>
      <w:r>
        <w:t xml:space="preserve">El punto 4 no es decorativo, y es la lección más caras del proyecto. Los dos defectos más serios encontrados hasta hoy —la bitácora que no registraba ningún evento de negocio, y el motor predictivo que no se disparaba solo— eran </w:t>
      </w:r>
      <w:r>
        <w:rPr>
          <w:b/>
        </w:rPr>
        <w:t>ausencias</w:t>
      </w:r>
      <w:r>
        <w:t>, no errores. Nada fallaba, ninguna prueba se ponía en rojo, y el código leído se veía correcto. Los dos aparecieron usando el sistema.</w:t>
      </w:r>
    </w:p>
    <w:p>
      <w:pPr>
        <w:pStyle w:val="Heading3"/>
      </w:pPr>
      <w:r>
        <w:rPr>
          <w:rFonts w:ascii="Calibri" w:hAnsi="Calibri" w:eastAsia="Calibri"/>
        </w:rPr>
        <w:t>Definición de Preparada</w:t>
      </w:r>
    </w:p>
    <w:p>
      <w:r>
        <w:t xml:space="preserve">Una historia entra a un sprint cuando tiene criterios de aceptación verificables —«pasa X, entonces Y», no «que ande bien»— y cuando se sabe </w:t>
      </w:r>
      <w:r>
        <w:rPr>
          <w:b/>
        </w:rPr>
        <w:t>cómo se va a demostrar</w:t>
      </w:r>
      <w:r>
        <w:t>.</w:t>
      </w:r>
    </w:p>
    <w:p>
      <w:pPr>
        <w:pStyle w:val="Heading3"/>
      </w:pPr>
      <w:r>
        <w:rPr>
          <w:rFonts w:ascii="Calibri" w:hAnsi="Calibri" w:eastAsia="Calibri"/>
        </w:rPr>
        <w:t>Sobre los sprints cerrados</w:t>
      </w:r>
    </w:p>
    <w:p>
      <w:r>
        <w:t>S1 a S4 se documentan de forma retrospectiva: la planificación formal se incorporó durante S5. Lo que sí es verificable de esos sprints es el resultado —los ADR firmados, el esquema, las pruebas que corren y el código— y es lo que se lista en cada uno. El proceso formal, con tablero y ceremonias, corre desde S5.</w:t>
      </w:r>
    </w:p>
    <w:p>
      <w:pPr>
        <w:pStyle w:val="Heading2"/>
        <w:pBdr>
          <w:bottom w:val="single" w:sz="6" w:space="6" w:color="2F5496"/>
        </w:pBdr>
        <w:spacing w:before="440"/>
      </w:pPr>
      <w:r>
        <w:rPr>
          <w:rFonts w:ascii="Calibri" w:hAnsi="Calibri" w:eastAsia="Calibri"/>
          <w:color w:val="2F5496"/>
        </w:rPr>
        <w:t>Épicas</w:t>
      </w:r>
    </w:p>
    <w:tbl>
      <w:tblPr>
        <w:tblW w:type="auto" w:w="0"/>
        <w:jc w:val="center"/>
        <w:tblLook w:firstColumn="1" w:firstRow="1" w:lastColumn="0" w:lastRow="0" w:noHBand="0" w:noVBand="1" w:val="04A0"/>
      </w:tblPr>
      <w:tblGrid>
        <w:gridCol w:w="2340"/>
        <w:gridCol w:w="2340"/>
        <w:gridCol w:w="2340"/>
        <w:gridCol w:w="2340"/>
      </w:tblGrid>
      <w:tr>
        <w:trPr>
          <w:tblHeader w:val="true"/>
          <w:cantSplit w:val="true"/>
        </w:trPr>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w:t>
            </w:r>
          </w:p>
        </w:tc>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Épica</w:t>
            </w:r>
          </w:p>
        </w:tc>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Por qué existe</w:t>
            </w:r>
          </w:p>
        </w:tc>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Sprints</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E1</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Arquitectura y entorno</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Es lo que evalúa la cátedra y condiciona todo lo demás</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S1–S2</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E2</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Seguridad</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Req. Arq. 002 y 004, y el modelo Familia/Patente</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S3, S5, S8</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E3</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Núcleo funcional</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Los CU-001 a CU-013 del documento</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S4</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E4</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Análisis predictivo e IA</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Es lo que distingue al sistema de un ticketing</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S5</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E5</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Integración continua y entorno reproducible</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Que la verificación no dependa de que yo me acuerde</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S5</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E6</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Multiidioma e interfaz</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Req. Arq. 001, y la defensa visual</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S6–S7</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E7</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Calidad demostrable</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Que un tercero pueda ver que las pruebas cubren lo que el documento promete</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S7</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E8</w:t>
            </w:r>
          </w:p>
        </w:tc>
        <w:tc>
          <w:tcPr>
            <w:tcW w:type="dxa" w:w="234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Producto y documentación</w:t>
            </w:r>
          </w:p>
        </w:tc>
        <w:tc>
          <w:tcPr>
            <w:tcW w:type="dxa" w:w="234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Es la mitad de la nota</w:t>
            </w:r>
          </w:p>
        </w:tc>
        <w:tc>
          <w:tcPr>
            <w:tcW w:type="dxa" w:w="234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S8, cierre</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E9</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Deuda técnica</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Lo que sé que está mal y todavía no arreglé</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S5, S7</w:t>
            </w:r>
          </w:p>
        </w:tc>
      </w:tr>
    </w:tbl>
    <w:p>
      <w:pPr>
        <w:spacing w:after="80"/>
      </w:pPr>
    </w:p>
    <w:p>
      <w:pPr>
        <w:pStyle w:val="Heading2"/>
        <w:pBdr>
          <w:bottom w:val="single" w:sz="6" w:space="6" w:color="2F5496"/>
        </w:pBdr>
        <w:spacing w:before="440"/>
      </w:pPr>
      <w:r>
        <w:rPr>
          <w:rFonts w:ascii="Calibri" w:hAnsi="Calibri" w:eastAsia="Calibri"/>
          <w:color w:val="2F5496"/>
        </w:rPr>
        <w:t>S1 · Relevamiento, arquitectura y entorno [x]</w:t>
      </w:r>
    </w:p>
    <w:p>
      <w:r>
        <w:rPr>
          <w:b/>
        </w:rPr>
        <w:t>06/07 – 17/07</w:t>
      </w:r>
      <w:r>
        <w:t xml:space="preserve"> · Épica E1</w:t>
      </w:r>
    </w:p>
    <w:p>
      <w:pPr>
        <w:spacing w:before="120" w:after="200"/>
        <w:ind w:left="397"/>
        <w:pBdr>
          <w:left w:val="single" w:sz="18" w:space="10" w:color="2F5496"/>
        </w:pBdr>
      </w:pPr>
      <w:r>
        <w:rPr>
          <w:b/>
          <w:i/>
          <w:color w:val="444444"/>
        </w:rPr>
        <w:t>Objetivo.</w:t>
      </w:r>
      <w:r>
        <w:rPr>
          <w:i/>
          <w:color w:val="444444"/>
        </w:rPr>
        <w:t xml:space="preserve"> Decidir la arquitectura y dejarla firmada antes de escribir la</w:t>
      </w:r>
    </w:p>
    <w:p>
      <w:pPr>
        <w:spacing w:before="120" w:after="200"/>
        <w:ind w:left="397"/>
        <w:pBdr>
          <w:left w:val="single" w:sz="18" w:space="10" w:color="2F5496"/>
        </w:pBdr>
      </w:pPr>
      <w:r>
        <w:rPr>
          <w:i/>
          <w:color w:val="444444"/>
        </w:rPr>
        <w:t>primera línea de negocio.</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Historia</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Resultado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H-01 · Migrar el stack de Java/Spring a C#/.NET</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ADR 0002. Delta D-01 sobre la sección 10.2.5</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H-02 · Separar negocio de seguridad en dos bases</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ADR 0003. Dos cadenas de conexión; un DAO de negocio no puede leer la de seguridad</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H-03 · Acceso a datos con DAO explícito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ADR 0004. Se descartó EF Core: vacía de contenido la capa DAO y el Unit of Work, que son objeto de evaluación</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H-04 · Multi-organización desde el modelo</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ADR 0005. Delta D-02 sobre el DER</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H-05 · Esqueleto de las cinco capas y la base en Docker</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Domain / DAO / BLL / Service / Api</w:t>
            </w:r>
            <w:r>
              <w:rPr>
                <w:rFonts w:ascii="Calibri" w:hAnsi="Calibri" w:eastAsia="Calibri"/>
                <w:sz w:val="20"/>
              </w:rPr>
              <w:t>, dependencias sólo hacia abajo. SQL Server 2022 con volumen y healthcheck</w:t>
            </w:r>
          </w:p>
        </w:tc>
      </w:tr>
    </w:tbl>
    <w:p>
      <w:pPr>
        <w:spacing w:after="80"/>
      </w:pPr>
    </w:p>
    <w:p>
      <w:r>
        <w:rPr>
          <w:b/>
        </w:rPr>
        <w:t>Retrospectiva.</w:t>
      </w:r>
      <w:r>
        <w:t xml:space="preserve"> La decisión que más rindió fue escribir los ADR antes del código: cuando después apareció la tentación de usar EF Core «para ir más rápido», el motivo por el cual no ya estaba escrito.</w:t>
      </w:r>
    </w:p>
    <w:p>
      <w:pPr>
        <w:pStyle w:val="Heading2"/>
        <w:pBdr>
          <w:bottom w:val="single" w:sz="6" w:space="6" w:color="2F5496"/>
        </w:pBdr>
        <w:spacing w:before="440"/>
      </w:pPr>
      <w:r>
        <w:rPr>
          <w:rFonts w:ascii="Calibri" w:hAnsi="Calibri" w:eastAsia="Calibri"/>
          <w:color w:val="2F5496"/>
        </w:rPr>
        <w:t>S2 · Modelo de datos, DAO y patrones [x]</w:t>
      </w:r>
    </w:p>
    <w:p>
      <w:r>
        <w:rPr>
          <w:b/>
        </w:rPr>
        <w:t>20/07 – 31/07</w:t>
      </w:r>
      <w:r>
        <w:t xml:space="preserve"> · Épica E1</w:t>
      </w:r>
    </w:p>
    <w:p>
      <w:pPr>
        <w:spacing w:before="120" w:after="200"/>
        <w:ind w:left="397"/>
        <w:pBdr>
          <w:left w:val="single" w:sz="18" w:space="10" w:color="2F5496"/>
        </w:pBdr>
      </w:pPr>
      <w:r>
        <w:rPr>
          <w:b/>
          <w:i/>
          <w:color w:val="444444"/>
        </w:rPr>
        <w:t>Objetivo.</w:t>
      </w:r>
      <w:r>
        <w:rPr>
          <w:i/>
          <w:color w:val="444444"/>
        </w:rPr>
        <w:t xml:space="preserve"> Las dos bases aplicadas y el acceso a datos completo, con los</w:t>
      </w:r>
    </w:p>
    <w:p>
      <w:pPr>
        <w:spacing w:before="120" w:after="200"/>
        <w:ind w:left="397"/>
        <w:pBdr>
          <w:left w:val="single" w:sz="18" w:space="10" w:color="2F5496"/>
        </w:pBdr>
      </w:pPr>
      <w:r>
        <w:rPr>
          <w:i/>
          <w:color w:val="444444"/>
        </w:rPr>
        <w:t>patrones que la cátedra evalúa en uso real.</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Historia</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Resultado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H-06 · Esquema de negocio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16 tablas. Toda tabla lleva </w:t>
            </w:r>
            <w:r>
              <w:rPr>
                <w:rFonts w:ascii="Consolas" w:hAnsi="Consolas" w:eastAsia="Consolas"/>
                <w:sz w:val="19"/>
              </w:rPr>
              <w:t>id_organizacion</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H-07 · Esquema de servicio</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Usuario, Rol, Familia, Patente, Bitácora, Idioma, Traducción, Backup</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H-08 · DAO genérico y mappers</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IGenericDao&lt;T&gt;</w:t>
            </w:r>
            <w:r>
              <w:rPr>
                <w:rFonts w:ascii="Calibri" w:hAnsi="Calibri" w:eastAsia="Calibri"/>
                <w:sz w:val="20"/>
              </w:rPr>
              <w:t xml:space="preserve"> heredado por tres interfaces reales; </w:t>
            </w:r>
            <w:r>
              <w:rPr>
                <w:rFonts w:ascii="Consolas" w:hAnsi="Consolas" w:eastAsia="Consolas"/>
                <w:sz w:val="19"/>
              </w:rPr>
              <w:t>IObjectMapper&lt;T&gt;</w:t>
            </w:r>
            <w:r>
              <w:rPr>
                <w:rFonts w:ascii="Calibri" w:hAnsi="Calibri" w:eastAsia="Calibri"/>
                <w:sz w:val="20"/>
              </w:rPr>
              <w:t xml:space="preserve"> con 12 implementaciones</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H-09 · Fábricas y unidad de trabajo</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Abstract Factory (</w:t>
            </w:r>
            <w:r>
              <w:rPr>
                <w:rFonts w:ascii="Consolas" w:hAnsi="Consolas" w:eastAsia="Consolas"/>
                <w:sz w:val="19"/>
              </w:rPr>
              <w:t>FactoryDao</w:t>
            </w:r>
            <w:r>
              <w:rPr>
                <w:rFonts w:ascii="Calibri" w:hAnsi="Calibri" w:eastAsia="Calibri"/>
                <w:sz w:val="20"/>
              </w:rPr>
              <w:t xml:space="preserve">, </w:t>
            </w:r>
            <w:r>
              <w:rPr>
                <w:rFonts w:ascii="Consolas" w:hAnsi="Consolas" w:eastAsia="Consolas"/>
                <w:sz w:val="19"/>
              </w:rPr>
              <w:t>FactoryBusiness</w:t>
            </w:r>
            <w:r>
              <w:rPr>
                <w:rFonts w:ascii="Calibri" w:hAnsi="Calibri" w:eastAsia="Calibri"/>
                <w:sz w:val="20"/>
              </w:rPr>
              <w:t xml:space="preserve">) y </w:t>
            </w:r>
            <w:r>
              <w:rPr>
                <w:rFonts w:ascii="Consolas" w:hAnsi="Consolas" w:eastAsia="Consolas"/>
                <w:sz w:val="19"/>
              </w:rPr>
              <w:t>SqlTransactRepository</w:t>
            </w:r>
            <w:r>
              <w:rPr>
                <w:rFonts w:ascii="Calibri" w:hAnsi="Calibri" w:eastAsia="Calibri"/>
                <w:sz w:val="20"/>
              </w:rPr>
              <w:t>: el número correlativo de incidencia y la incidencia van juntos o no van</w:t>
            </w:r>
          </w:p>
        </w:tc>
      </w:tr>
      <w:tr>
        <w:trPr>
          <w:cantSplit w:val="true"/>
        </w:trPr>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H-10 · Aislamiento por organización en el DAO</w:t>
            </w:r>
          </w:p>
        </w:tc>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 xml:space="preserve">El identificador de organización </w:t>
            </w:r>
            <w:r>
              <w:rPr>
                <w:rFonts w:ascii="Calibri" w:hAnsi="Calibri" w:eastAsia="Calibri"/>
                <w:b/>
                <w:sz w:val="20"/>
              </w:rPr>
              <w:t>no viaja en la petición</w:t>
            </w:r>
            <w:r>
              <w:rPr>
                <w:rFonts w:ascii="Calibri" w:hAnsi="Calibri" w:eastAsia="Calibri"/>
                <w:sz w:val="20"/>
              </w:rPr>
              <w:t>: se resuelve del contexto de sesión, así ningún controlador puede pedir datos de otra</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H-11 · Pruebas de integración del DAO</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Contra el SQL Server del contenedor, no contra un doble: el sistema usa disparadores, </w:t>
            </w:r>
            <w:r>
              <w:rPr>
                <w:rFonts w:ascii="Consolas" w:hAnsi="Consolas" w:eastAsia="Consolas"/>
                <w:sz w:val="19"/>
              </w:rPr>
              <w:t>MERGE</w:t>
            </w:r>
            <w:r>
              <w:rPr>
                <w:rFonts w:ascii="Calibri" w:hAnsi="Calibri" w:eastAsia="Calibri"/>
                <w:sz w:val="20"/>
              </w:rPr>
              <w:t xml:space="preserve"> y </w:t>
            </w:r>
            <w:r>
              <w:rPr>
                <w:rFonts w:ascii="Consolas" w:hAnsi="Consolas" w:eastAsia="Consolas"/>
                <w:sz w:val="19"/>
              </w:rPr>
              <w:t>BACKUP/RESTORE</w:t>
            </w:r>
          </w:p>
        </w:tc>
      </w:tr>
    </w:tbl>
    <w:p>
      <w:pPr>
        <w:spacing w:after="80"/>
      </w:pPr>
    </w:p>
    <w:p>
      <w:r>
        <w:rPr>
          <w:b/>
        </w:rPr>
        <w:t>Defectos del sprint.</w:t>
      </w:r>
      <w:r>
        <w:t xml:space="preserve"> Tres invisibles al leer, que sólo aparecieron ejecutando: </w:t>
      </w:r>
      <w:r>
        <w:rPr>
          <w:rFonts w:ascii="Consolas" w:hAnsi="Consolas" w:eastAsia="Consolas"/>
          <w:sz w:val="21"/>
        </w:rPr>
        <w:t>PLAN</w:t>
      </w:r>
      <w:r>
        <w:t xml:space="preserve"> y </w:t>
      </w:r>
      <w:r>
        <w:rPr>
          <w:rFonts w:ascii="Consolas" w:hAnsi="Consolas" w:eastAsia="Consolas"/>
          <w:sz w:val="21"/>
        </w:rPr>
        <w:t>BACKUP</w:t>
      </w:r>
      <w:r>
        <w:t xml:space="preserve"> son palabras reservadas de T-SQL; un </w:t>
      </w:r>
      <w:r>
        <w:rPr>
          <w:rFonts w:ascii="Consolas" w:hAnsi="Consolas" w:eastAsia="Consolas"/>
          <w:sz w:val="21"/>
        </w:rPr>
        <w:t>VARCHAR(10)</w:t>
      </w:r>
      <w:r>
        <w:t xml:space="preserve"> truncaba </w:t>
      </w:r>
      <w:r>
        <w:rPr>
          <w:rFonts w:ascii="Consolas" w:hAnsi="Consolas" w:eastAsia="Consolas"/>
          <w:sz w:val="21"/>
        </w:rPr>
        <w:t>'ADVERTENCIA'</w:t>
      </w:r>
      <w:r>
        <w:t xml:space="preserve">; y los índices filtrados fallan si </w:t>
      </w:r>
      <w:r>
        <w:rPr>
          <w:rFonts w:ascii="Consolas" w:hAnsi="Consolas" w:eastAsia="Consolas"/>
          <w:sz w:val="21"/>
        </w:rPr>
        <w:t>sqlcmd</w:t>
      </w:r>
      <w:r>
        <w:t xml:space="preserve"> no recibe </w:t>
      </w:r>
      <w:r>
        <w:rPr>
          <w:rFonts w:ascii="Consolas" w:hAnsi="Consolas" w:eastAsia="Consolas"/>
          <w:sz w:val="21"/>
        </w:rPr>
        <w:t>-I</w:t>
      </w:r>
      <w:r>
        <w:t xml:space="preserve">, porque deja </w:t>
      </w:r>
      <w:r>
        <w:rPr>
          <w:rFonts w:ascii="Consolas" w:hAnsi="Consolas" w:eastAsia="Consolas"/>
          <w:sz w:val="21"/>
        </w:rPr>
        <w:t>QUOTED_IDENTIFIER</w:t>
      </w:r>
      <w:r>
        <w:t xml:space="preserve"> en OFF.</w:t>
      </w:r>
    </w:p>
    <w:p>
      <w:r>
        <w:rPr>
          <w:b/>
        </w:rPr>
        <w:t>Retrospectiva.</w:t>
      </w:r>
      <w:r>
        <w:t xml:space="preserve"> Acción tomada: los scripts de base se </w:t>
      </w:r>
      <w:r>
        <w:rPr>
          <w:b/>
        </w:rPr>
        <w:t>ejecutan</w:t>
      </w:r>
      <w:r>
        <w:t>, nunca se revisan. Se sostiene desde entonces.</w:t>
      </w:r>
    </w:p>
    <w:p>
      <w:pPr>
        <w:pStyle w:val="Heading2"/>
        <w:pBdr>
          <w:bottom w:val="single" w:sz="6" w:space="6" w:color="2F5496"/>
        </w:pBdr>
        <w:spacing w:before="440"/>
      </w:pPr>
      <w:r>
        <w:rPr>
          <w:rFonts w:ascii="Calibri" w:hAnsi="Calibri" w:eastAsia="Calibri"/>
          <w:color w:val="2F5496"/>
        </w:rPr>
        <w:t>S3 · Seguridad [x]</w:t>
      </w:r>
    </w:p>
    <w:p>
      <w:r>
        <w:rPr>
          <w:b/>
        </w:rPr>
        <w:t>03/08 – 14/08</w:t>
      </w:r>
      <w:r>
        <w:t xml:space="preserve"> · Épica E2</w:t>
      </w:r>
    </w:p>
    <w:p>
      <w:pPr>
        <w:spacing w:before="120" w:after="200"/>
        <w:ind w:left="397"/>
        <w:pBdr>
          <w:left w:val="single" w:sz="18" w:space="10" w:color="2F5496"/>
        </w:pBdr>
      </w:pPr>
      <w:r>
        <w:rPr>
          <w:b/>
          <w:i/>
          <w:color w:val="444444"/>
        </w:rPr>
        <w:t>Objetivo.</w:t>
      </w:r>
      <w:r>
        <w:rPr>
          <w:i/>
          <w:color w:val="444444"/>
        </w:rPr>
        <w:t xml:space="preserve"> Req. Arq. 002 y 004, y el modelo de permisos de la cátedra.</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Historia</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Resultado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H-12 · Contraseñas</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PBKDF2-HMAC-SHA256, 120 000 iteraciones, comparación en tiempo constante</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H-13 · Familias y patentes con Composite</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ComponenteSeguridad</w:t>
            </w:r>
            <w:r>
              <w:rPr>
                <w:rFonts w:ascii="Calibri" w:hAnsi="Calibri" w:eastAsia="Calibri"/>
                <w:sz w:val="20"/>
              </w:rPr>
              <w:t xml:space="preserve"> con nodo y hoja, familias anidadas y guarda de ciclos</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H-14 · Autenticación con JWT</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El token lleva usuario y organización y </w:t>
            </w:r>
            <w:r>
              <w:rPr>
                <w:rFonts w:ascii="Calibri" w:hAnsi="Calibri" w:eastAsia="Calibri"/>
                <w:b/>
                <w:sz w:val="20"/>
              </w:rPr>
              <w:t>no</w:t>
            </w:r>
            <w:r>
              <w:rPr>
                <w:rFonts w:ascii="Calibri" w:hAnsi="Calibri" w:eastAsia="Calibri"/>
                <w:sz w:val="20"/>
              </w:rPr>
              <w:t xml:space="preserve"> las patentes: si las llevara, revocar un permiso no tendría efecto hasta que expirara</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H-15 · Autorización por patente</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[RequierePatente]</w:t>
            </w:r>
            <w:r>
              <w:rPr>
                <w:rFonts w:ascii="Calibri" w:hAnsi="Calibri" w:eastAsia="Calibri"/>
                <w:sz w:val="20"/>
              </w:rPr>
              <w:t>, con las patentes leídas de la base en cada petición</w:t>
            </w:r>
          </w:p>
        </w:tc>
      </w:tr>
      <w:tr>
        <w:trPr>
          <w:cantSplit w:val="true"/>
        </w:trPr>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H-16 · Bitácora inmutable</w:t>
            </w:r>
          </w:p>
        </w:tc>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 xml:space="preserve">Disparador </w:t>
            </w:r>
            <w:r>
              <w:rPr>
                <w:rFonts w:ascii="Consolas" w:hAnsi="Consolas" w:eastAsia="Consolas"/>
                <w:sz w:val="19"/>
              </w:rPr>
              <w:t>INSTEAD OF UPDATE, DELETE</w:t>
            </w:r>
            <w:r>
              <w:rPr>
                <w:rFonts w:ascii="Calibri" w:hAnsi="Calibri" w:eastAsia="Calibri"/>
                <w:sz w:val="20"/>
              </w:rPr>
              <w:t xml:space="preserve"> que rechaza con error 50001. No alcanza con no exponer la operación en la aplicación</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H-17 · Respaldos</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BACKUP</w:t>
            </w:r>
            <w:r>
              <w:rPr>
                <w:rFonts w:ascii="Calibri" w:hAnsi="Calibri" w:eastAsia="Calibri"/>
                <w:sz w:val="20"/>
              </w:rPr>
              <w:t xml:space="preserve"> con </w:t>
            </w:r>
            <w:r>
              <w:rPr>
                <w:rFonts w:ascii="Consolas" w:hAnsi="Consolas" w:eastAsia="Consolas"/>
                <w:sz w:val="19"/>
              </w:rPr>
              <w:t>CHECKSUM</w:t>
            </w:r>
            <w:r>
              <w:rPr>
                <w:rFonts w:ascii="Calibri" w:hAnsi="Calibri" w:eastAsia="Calibri"/>
                <w:sz w:val="20"/>
              </w:rPr>
              <w:t xml:space="preserve"> y verificación con </w:t>
            </w:r>
            <w:r>
              <w:rPr>
                <w:rFonts w:ascii="Consolas" w:hAnsi="Consolas" w:eastAsia="Consolas"/>
                <w:sz w:val="19"/>
              </w:rPr>
              <w:t>RESTORE VERIFYONLY</w:t>
            </w:r>
          </w:p>
        </w:tc>
      </w:tr>
    </w:tbl>
    <w:p>
      <w:pPr>
        <w:spacing w:after="80"/>
      </w:pPr>
    </w:p>
    <w:p>
      <w:r>
        <w:rPr>
          <w:b/>
        </w:rPr>
        <w:t>Defectos del sprint.</w:t>
      </w:r>
      <w:r>
        <w:t xml:space="preserve"> Una dependencia circular </w:t>
      </w:r>
      <w:r>
        <w:rPr>
          <w:rFonts w:ascii="Consolas" w:hAnsi="Consolas" w:eastAsia="Consolas"/>
          <w:sz w:val="21"/>
        </w:rPr>
        <w:t>IContextoSesion a ISeguridadService a IFactoryDao a IContextoSesion</w:t>
      </w:r>
      <w:r>
        <w:t xml:space="preserve">: el login funcionaba y la primera petición autenticada colgaba. Se resolvió partiendo </w:t>
      </w:r>
      <w:r>
        <w:rPr>
          <w:rFonts w:ascii="Consolas" w:hAnsi="Consolas" w:eastAsia="Consolas"/>
          <w:sz w:val="21"/>
        </w:rPr>
        <w:t>IFactoryDaoSeguridad</w:t>
      </w:r>
      <w:r>
        <w:t>, que no depende del contexto.</w:t>
      </w:r>
    </w:p>
    <w:p>
      <w:r>
        <w:rPr>
          <w:b/>
        </w:rPr>
        <w:t>Retrospectiva.</w:t>
      </w:r>
      <w:r>
        <w:t xml:space="preserve"> El </w:t>
      </w:r>
      <w:r>
        <w:rPr>
          <w:rFonts w:ascii="Consolas" w:hAnsi="Consolas" w:eastAsia="Consolas"/>
          <w:sz w:val="21"/>
        </w:rPr>
        <w:t>[RequierePatente]</w:t>
      </w:r>
      <w:r>
        <w:t xml:space="preserve"> original aceptaba una sola patente y daba 403 al administrador en </w:t>
      </w:r>
      <w:r>
        <w:rPr>
          <w:rFonts w:ascii="Consolas" w:hAnsi="Consolas" w:eastAsia="Consolas"/>
          <w:sz w:val="21"/>
        </w:rPr>
        <w:t>INCIDENCIA_VER_PROPIAS</w:t>
      </w:r>
      <w:r>
        <w:t xml:space="preserve">. Acción: los permisos se verifican </w:t>
      </w:r>
      <w:r>
        <w:rPr>
          <w:b/>
        </w:rPr>
        <w:t>con un usuario de cada perfil</w:t>
      </w:r>
      <w:r>
        <w:t>, no sólo con el administrador.</w:t>
      </w:r>
    </w:p>
    <w:p>
      <w:pPr>
        <w:pStyle w:val="Heading2"/>
        <w:pBdr>
          <w:bottom w:val="single" w:sz="6" w:space="6" w:color="2F5496"/>
        </w:pBdr>
        <w:spacing w:before="440"/>
      </w:pPr>
      <w:r>
        <w:rPr>
          <w:rFonts w:ascii="Calibri" w:hAnsi="Calibri" w:eastAsia="Calibri"/>
          <w:color w:val="2F5496"/>
        </w:rPr>
        <w:t>S4 · Núcleo funcional [x]</w:t>
      </w:r>
    </w:p>
    <w:p>
      <w:r>
        <w:rPr>
          <w:b/>
        </w:rPr>
        <w:t>17/08 – 28/08</w:t>
      </w:r>
      <w:r>
        <w:t xml:space="preserve"> · Épica E3</w:t>
      </w:r>
    </w:p>
    <w:p>
      <w:pPr>
        <w:spacing w:before="120" w:after="200"/>
        <w:ind w:left="397"/>
        <w:pBdr>
          <w:left w:val="single" w:sz="18" w:space="10" w:color="2F5496"/>
        </w:pBdr>
      </w:pPr>
      <w:r>
        <w:rPr>
          <w:b/>
          <w:i/>
          <w:color w:val="444444"/>
        </w:rPr>
        <w:t>Objetivo.</w:t>
      </w:r>
      <w:r>
        <w:rPr>
          <w:i/>
          <w:color w:val="444444"/>
        </w:rPr>
        <w:t xml:space="preserve"> Los casos de uso del documento, de punta a punta y con interfaz.</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Historia</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Resultado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H-18 · Inventario de activos</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ABM, filtros, detalle con historial</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H-19 · Incidencias de punta a punta</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Alta, clasificación del texto libre, asignación, reasignación manual con la regla de permisos del documento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H-20 · Mantenimientos</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Preventivos, correctivos y predictivos, vinculados al equipo</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H-21 · Las 19 pantallas</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Panel de administración y módulo del cliente</w:t>
            </w:r>
          </w:p>
        </w:tc>
      </w:tr>
      <w:tr>
        <w:trPr>
          <w:cantSplit w:val="true"/>
        </w:trPr>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H-22 · Seis temas y tres densidades</w:t>
            </w:r>
          </w:p>
        </w:tc>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 xml:space="preserve">Sustitución de tokens: </w:t>
            </w:r>
            <w:r>
              <w:rPr>
                <w:rFonts w:ascii="Calibri" w:hAnsi="Calibri" w:eastAsia="Calibri"/>
                <w:b/>
                <w:sz w:val="20"/>
              </w:rPr>
              <w:t>ningún componente conoce el tema activo</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H-23 · Contraste AA medido</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12 fallas por tema claro, incluido el original. Cero fallas al cerrar, peor par en 4.9</w:t>
            </w:r>
          </w:p>
        </w:tc>
      </w:tr>
    </w:tbl>
    <w:p>
      <w:pPr>
        <w:spacing w:after="80"/>
      </w:pPr>
    </w:p>
    <w:p>
      <w:r>
        <w:rPr>
          <w:b/>
        </w:rPr>
        <w:t>Defectos del sprint.</w:t>
      </w:r>
      <w:r>
        <w:t xml:space="preserve"> Dos del mismo tipo, y peligrosos porque el SQL se leía correcto: el </w:t>
      </w:r>
      <w:r>
        <w:rPr>
          <w:i/>
        </w:rPr>
        <w:t>join</w:t>
      </w:r>
      <w:r>
        <w:t xml:space="preserve"> de técnicos pasaba por </w:t>
      </w:r>
      <w:r>
        <w:rPr>
          <w:rFonts w:ascii="Consolas" w:hAnsi="Consolas" w:eastAsia="Consolas"/>
          <w:sz w:val="21"/>
        </w:rPr>
        <w:t>Usuario_Organizacion</w:t>
      </w:r>
      <w:r>
        <w:t xml:space="preserve"> y devolvía cero técnicos, y </w:t>
      </w:r>
      <w:r>
        <w:rPr>
          <w:rFonts w:ascii="Consolas" w:hAnsi="Consolas" w:eastAsia="Consolas"/>
          <w:sz w:val="21"/>
        </w:rPr>
        <w:t>UsuarioDao.PorOrganizacion</w:t>
      </w:r>
      <w:r>
        <w:t xml:space="preserve"> tenía el mismo sesgo, con lo cual los nombres de los Partner salían vacíos.</w:t>
      </w:r>
    </w:p>
    <w:p>
      <w:r>
        <w:rPr>
          <w:b/>
        </w:rPr>
        <w:t>Retrospectiva.</w:t>
      </w:r>
      <w:r>
        <w:t xml:space="preserve"> Acción: toda consulta con </w:t>
      </w:r>
      <w:r>
        <w:rPr>
          <w:rFonts w:ascii="Consolas" w:hAnsi="Consolas" w:eastAsia="Consolas"/>
          <w:sz w:val="21"/>
        </w:rPr>
        <w:t>JOIN</w:t>
      </w:r>
      <w:r>
        <w:t xml:space="preserve"> sobre tablas de relación se prueba con </w:t>
      </w:r>
      <w:r>
        <w:rPr>
          <w:b/>
        </w:rPr>
        <w:t>datos de los dos lados</w:t>
      </w:r>
      <w:r>
        <w:t>, incluido el caso de la fila que no existe.</w:t>
      </w:r>
    </w:p>
    <w:p>
      <w:pPr>
        <w:pStyle w:val="Heading2"/>
        <w:pBdr>
          <w:bottom w:val="single" w:sz="6" w:space="6" w:color="2F5496"/>
        </w:pBdr>
        <w:spacing w:before="440"/>
      </w:pPr>
      <w:r>
        <w:rPr>
          <w:rFonts w:ascii="Calibri" w:hAnsi="Calibri" w:eastAsia="Calibri"/>
          <w:color w:val="2F5496"/>
        </w:rPr>
        <w:t xml:space="preserve">S5 · Predictivo, auditoría de arquitectura y CI [~] </w:t>
      </w:r>
      <w:r>
        <w:rPr>
          <w:rFonts w:ascii="Calibri" w:hAnsi="Calibri" w:eastAsia="Calibri"/>
          <w:b/>
          <w:color w:val="2F5496"/>
        </w:rPr>
        <w:t>en curso</w:t>
      </w:r>
    </w:p>
    <w:p>
      <w:r>
        <w:rPr>
          <w:b/>
        </w:rPr>
        <w:t>31/08 – 11/09</w:t>
      </w:r>
      <w:r>
        <w:t xml:space="preserve"> · Épicas E4, E5, E2, E9</w:t>
      </w:r>
    </w:p>
    <w:p>
      <w:pPr>
        <w:spacing w:before="120" w:after="200"/>
        <w:ind w:left="397"/>
        <w:pBdr>
          <w:left w:val="single" w:sz="18" w:space="10" w:color="2F5496"/>
        </w:pBdr>
      </w:pPr>
      <w:r>
        <w:rPr>
          <w:b/>
          <w:i/>
          <w:color w:val="444444"/>
        </w:rPr>
        <w:t>Objetivo.</w:t>
      </w:r>
      <w:r>
        <w:rPr>
          <w:i/>
          <w:color w:val="444444"/>
        </w:rPr>
        <w:t xml:space="preserve"> Que el análisis predictivo funcione solo, que los requisitos de</w:t>
      </w:r>
    </w:p>
    <w:p>
      <w:pPr>
        <w:spacing w:before="120" w:after="200"/>
        <w:ind w:left="397"/>
        <w:pBdr>
          <w:left w:val="single" w:sz="18" w:space="10" w:color="2F5496"/>
        </w:pBdr>
      </w:pPr>
      <w:r>
        <w:rPr>
          <w:i/>
          <w:color w:val="444444"/>
        </w:rPr>
        <w:t>arquitectura de la cátedra estén todos cubiertos, y que la verificación deje</w:t>
      </w:r>
    </w:p>
    <w:p>
      <w:pPr>
        <w:spacing w:before="120" w:after="200"/>
        <w:ind w:left="397"/>
        <w:pBdr>
          <w:left w:val="single" w:sz="18" w:space="10" w:color="2F5496"/>
        </w:pBdr>
      </w:pPr>
      <w:r>
        <w:rPr>
          <w:i/>
          <w:color w:val="444444"/>
        </w:rPr>
        <w:t>de depender de que yo me acuerde de correrla.</w:t>
      </w:r>
    </w:p>
    <w:p>
      <w:pPr>
        <w:pStyle w:val="Heading3"/>
      </w:pPr>
      <w:r>
        <w:rPr>
          <w:rFonts w:ascii="Calibri" w:hAnsi="Calibri" w:eastAsia="Calibri"/>
        </w:rPr>
        <w:t>Terminadas</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Historia</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Resultado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H-24 · Motor predictivo con estrategias</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Cinco </w:t>
            </w:r>
            <w:r>
              <w:rPr>
                <w:rFonts w:ascii="Consolas" w:hAnsi="Consolas" w:eastAsia="Consolas"/>
                <w:sz w:val="19"/>
              </w:rPr>
              <w:t>IEstrategiaRegla</w:t>
            </w:r>
            <w:r>
              <w:rPr>
                <w:rFonts w:ascii="Calibri" w:hAnsi="Calibri" w:eastAsia="Calibri"/>
                <w:sz w:val="20"/>
              </w:rPr>
              <w:t>, score ponderado por criticidad. ADR 0007</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H-25 · Proveedor de IA conmutable</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IProveedorIA</w:t>
            </w:r>
            <w:r>
              <w:rPr>
                <w:rFonts w:ascii="Calibri" w:hAnsi="Calibri" w:eastAsia="Calibri"/>
                <w:sz w:val="20"/>
              </w:rPr>
              <w:t xml:space="preserve"> con implementación real y simulada. ADR 0006. Deltas D-03, D-04</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H-26 · Disyuntor sobre el servicio externo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Decorator + Circuit Breaker. ADR 0009. Es la demostración del CP-14</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H-27 · Multiidioma en el backend</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179 claves × 2 idiomas. El diccionario se sirve </w:t>
            </w:r>
            <w:r>
              <w:rPr>
                <w:rFonts w:ascii="Calibri" w:hAnsi="Calibri" w:eastAsia="Calibri"/>
                <w:b/>
                <w:sz w:val="20"/>
              </w:rPr>
              <w:t>sin autenticar</w:t>
            </w:r>
            <w:r>
              <w:rPr>
                <w:rFonts w:ascii="Calibri" w:hAnsi="Calibri" w:eastAsia="Calibri"/>
                <w:sz w:val="20"/>
              </w:rPr>
              <w:t>, porque la pantalla de login también se traduce</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H-28 · Cifrado reversible</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AES-256-GCM, separado del hash. ADR 0010. La clave de API pasa a guardarse cifrada </w:t>
            </w:r>
            <w:r>
              <w:rPr>
                <w:rFonts w:ascii="Calibri" w:hAnsi="Calibri" w:eastAsia="Calibri"/>
                <w:b/>
                <w:sz w:val="20"/>
              </w:rPr>
              <w:t>por organización</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H-29 · </w:t>
            </w:r>
            <w:r>
              <w:rPr>
                <w:rFonts w:ascii="Consolas" w:hAnsi="Consolas" w:eastAsia="Consolas"/>
                <w:sz w:val="19"/>
              </w:rPr>
              <w:t>Patente.TipoAcceso</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11 patentes de lectura, 8 de escritura, 7 de administración. Delta D-18</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H-30 · La bitácora registra los eventos de negocio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Ocho de nueve códigos no existían en el catálogo y se descartaban en silencio. Corregido, con dos pruebas que lo sostienen</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H-31 · El motor se dispara solo</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Por hecho y por barrido programado. ADR 0011. Delta D-17</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H-32 · Bitácora por usuario y pantalla de errores</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CU.Arq.002 y CU.Arq.007. Delta D-19</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H-33 · Bulkhead </w:t>
            </w:r>
            <w:r>
              <w:rPr>
                <w:rFonts w:ascii="Calibri" w:hAnsi="Calibri" w:eastAsia="Calibri"/>
                <w:i/>
                <w:sz w:val="20"/>
              </w:rPr>
              <w:t>(E9)</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Estaba comprometido en el ADR 0009 y </w:t>
            </w:r>
            <w:r>
              <w:rPr>
                <w:rFonts w:ascii="Calibri" w:hAnsi="Calibri" w:eastAsia="Calibri"/>
                <w:b/>
                <w:sz w:val="20"/>
              </w:rPr>
              <w:t>no estaba en el código</w:t>
            </w:r>
          </w:p>
        </w:tc>
      </w:tr>
      <w:tr>
        <w:trPr>
          <w:cantSplit w:val="true"/>
        </w:trPr>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H-34 · El sistema entero en Docker</w:t>
            </w:r>
          </w:p>
        </w:tc>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onsolas" w:hAnsi="Consolas" w:eastAsia="Consolas"/>
                <w:sz w:val="19"/>
              </w:rPr>
              <w:t>docker compose up --build</w:t>
            </w:r>
            <w:r>
              <w:rPr>
                <w:rFonts w:ascii="Calibri" w:hAnsi="Calibri" w:eastAsia="Calibri"/>
                <w:sz w:val="20"/>
              </w:rPr>
              <w:t>: base, esquema, API y frontend detrás de nginx, sin .NET ni Node en la máquina</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H-35 · Integración continua</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GitHub Actions, tres trabajos: backend contra SQL Server real, frontend, y las dos imágenes</w:t>
            </w:r>
          </w:p>
        </w:tc>
      </w:tr>
    </w:tbl>
    <w:p>
      <w:pPr>
        <w:spacing w:after="80"/>
      </w:pPr>
    </w:p>
    <w:p>
      <w:pPr>
        <w:pStyle w:val="Heading3"/>
      </w:pPr>
      <w:r>
        <w:rPr>
          <w:rFonts w:ascii="Calibri" w:hAnsi="Calibri" w:eastAsia="Calibri"/>
        </w:rPr>
        <w:t>Pendientes del sprint</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Historia</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Criterio de aceptación</w:t>
            </w:r>
          </w:p>
        </w:tc>
      </w:tr>
      <w:tr>
        <w:trPr>
          <w:cantSplit w:val="true"/>
        </w:trPr>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H-36 · La bitácora de demostración en un solo huso</w:t>
            </w:r>
          </w:p>
        </w:tc>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Las filas previas al arreglo del reloj están en UTC y ordenan por encima de las nuevas. El disparador impide reescribirlas —correctamente—, así que el entregable es el procedimiento de reinicio de la base de demo, documentado y probado</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H-37 · Publicar la cobertura como línea de base</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El CI la publica y el porcentaje queda en el README. </w:t>
            </w:r>
            <w:r>
              <w:rPr>
                <w:rFonts w:ascii="Calibri" w:hAnsi="Calibri" w:eastAsia="Calibri"/>
                <w:b/>
                <w:sz w:val="20"/>
              </w:rPr>
              <w:t>Sin umbral que bloquee todavía</w:t>
            </w:r>
            <w:r>
              <w:rPr>
                <w:rFonts w:ascii="Calibri" w:hAnsi="Calibri" w:eastAsia="Calibri"/>
                <w:sz w:val="20"/>
              </w:rPr>
              <w:t>: primero se mide. Un umbral elegido sin datos se cumple escribiendo pruebas que no prueban nada</w:t>
            </w:r>
          </w:p>
        </w:tc>
      </w:tr>
    </w:tbl>
    <w:p>
      <w:pPr>
        <w:spacing w:after="80"/>
      </w:pPr>
    </w:p>
    <w:p>
      <w:r>
        <w:rPr>
          <w:b/>
        </w:rPr>
        <w:t>Defectos del sprint.</w:t>
      </w:r>
      <w:r>
        <w:t xml:space="preserve"> Los dos peores de todo el proyecto, y los dos fueron </w:t>
      </w:r>
      <w:r>
        <w:rPr>
          <w:b/>
        </w:rPr>
        <w:t>ausencias</w:t>
      </w:r>
      <w:r>
        <w:t>: la bitácora sin eventos de negocio (apareció contando filas por tipo de evento, no leyendo código) y el motor que no se disparaba solo (lo reportó el usuario). Ninguna prueba podía fallar: no había código roto, faltaba código.</w:t>
      </w:r>
    </w:p>
    <w:p>
      <w:r>
        <w:t xml:space="preserve">Y tres del entorno, invisibles hasta ejecutar: los patrones de </w:t>
      </w:r>
      <w:r>
        <w:rPr>
          <w:rFonts w:ascii="Consolas" w:hAnsi="Consolas" w:eastAsia="Consolas"/>
          <w:sz w:val="21"/>
        </w:rPr>
        <w:t>.dockerignore</w:t>
      </w:r>
      <w:r>
        <w:t xml:space="preserve"> </w:t>
      </w:r>
      <w:r>
        <w:rPr>
          <w:b/>
        </w:rPr>
        <w:t>no son recursivos</w:t>
      </w:r>
      <w:r>
        <w:t xml:space="preserve">, así que el </w:t>
      </w:r>
      <w:r>
        <w:rPr>
          <w:rFonts w:ascii="Consolas" w:hAnsi="Consolas" w:eastAsia="Consolas"/>
          <w:sz w:val="21"/>
        </w:rPr>
        <w:t>obj/</w:t>
      </w:r>
      <w:r>
        <w:t xml:space="preserve"> de los seis proyectos entraba a la imagen y el publish fallaba con un error que apuntaba a NuGet; la imagen </w:t>
      </w:r>
      <w:r>
        <w:rPr>
          <w:rFonts w:ascii="Consolas" w:hAnsi="Consolas" w:eastAsia="Consolas"/>
          <w:sz w:val="21"/>
        </w:rPr>
        <w:t>mssql-tools18</w:t>
      </w:r>
      <w:r>
        <w:t xml:space="preserve"> no existe; y la imagen de runtime de .NET no trae </w:t>
      </w:r>
      <w:r>
        <w:rPr>
          <w:rFonts w:ascii="Consolas" w:hAnsi="Consolas" w:eastAsia="Consolas"/>
          <w:sz w:val="21"/>
        </w:rPr>
        <w:t>curl</w:t>
      </w:r>
      <w:r>
        <w:t xml:space="preserve"> ni </w:t>
      </w:r>
      <w:r>
        <w:rPr>
          <w:rFonts w:ascii="Consolas" w:hAnsi="Consolas" w:eastAsia="Consolas"/>
          <w:sz w:val="21"/>
        </w:rPr>
        <w:t>wget</w:t>
      </w:r>
      <w:r>
        <w:t xml:space="preserve">, con lo cual un healthcheck que los use deja el contenedor en </w:t>
      </w:r>
      <w:r>
        <w:rPr>
          <w:i/>
        </w:rPr>
        <w:t>unhealthy</w:t>
      </w:r>
      <w:r>
        <w:t xml:space="preserve"> para siempre sin que nada esté roto.</w:t>
      </w:r>
    </w:p>
    <w:p>
      <w:r>
        <w:t>Más una que importa al negocio: el contenedor corre en UTC, y el sistema mide un SLA de cuatro horas. Tres horas de corrimiento cambian si una incidencia está en término o vencida.</w:t>
      </w:r>
    </w:p>
    <w:p>
      <w:r>
        <w:rPr>
          <w:b/>
        </w:rPr>
        <w:t>Retrospectiva.</w:t>
      </w:r>
      <w:r>
        <w:t xml:space="preserve"> Acción tomada: </w:t>
      </w:r>
      <w:r>
        <w:rPr>
          <w:b/>
        </w:rPr>
        <w:t>auditar contra datos, no contra el código.</w:t>
      </w:r>
      <w:r>
        <w:t xml:space="preserve"> Los dos hallazgos serios salieron de contar filas y de usar el sistema. Se incorpora al Definición de Terminado como el punto 4.</w:t>
      </w:r>
    </w:p>
    <w:p>
      <w:pPr>
        <w:pStyle w:val="Heading2"/>
        <w:pBdr>
          <w:bottom w:val="single" w:sz="6" w:space="6" w:color="2F5496"/>
        </w:pBdr>
        <w:spacing w:before="440"/>
      </w:pPr>
      <w:r>
        <w:rPr>
          <w:rFonts w:ascii="Calibri" w:hAnsi="Calibri" w:eastAsia="Calibri"/>
          <w:color w:val="2F5496"/>
        </w:rPr>
        <w:t>S6 · Multiidioma en la interfaz y sistema visual</w:t>
      </w:r>
    </w:p>
    <w:p>
      <w:r>
        <w:rPr>
          <w:b/>
        </w:rPr>
        <w:t>14/09 – 25/09</w:t>
      </w:r>
      <w:r>
        <w:t xml:space="preserve"> · Épica E6</w:t>
      </w:r>
    </w:p>
    <w:p>
      <w:pPr>
        <w:spacing w:before="120" w:after="200"/>
        <w:ind w:left="397"/>
        <w:pBdr>
          <w:left w:val="single" w:sz="18" w:space="10" w:color="2F5496"/>
        </w:pBdr>
      </w:pPr>
      <w:r>
        <w:rPr>
          <w:b/>
          <w:i/>
          <w:color w:val="444444"/>
        </w:rPr>
        <w:t>Objetivo.</w:t>
      </w:r>
      <w:r>
        <w:rPr>
          <w:i/>
          <w:color w:val="444444"/>
        </w:rPr>
        <w:t xml:space="preserve"> Cerrar Req. Arq. 001 de punta a punta y aplicar la primera mitad</w:t>
      </w:r>
    </w:p>
    <w:p>
      <w:pPr>
        <w:spacing w:before="120" w:after="200"/>
        <w:ind w:left="397"/>
        <w:pBdr>
          <w:left w:val="single" w:sz="18" w:space="10" w:color="2F5496"/>
        </w:pBdr>
      </w:pPr>
      <w:r>
        <w:rPr>
          <w:i/>
          <w:color w:val="444444"/>
        </w:rPr>
        <w:t>del rediseño.</w:t>
      </w:r>
    </w:p>
    <w:p>
      <w:pPr>
        <w:pStyle w:val="Heading3"/>
      </w:pPr>
      <w:r>
        <w:rPr>
          <w:rFonts w:ascii="Calibri" w:hAnsi="Calibri" w:eastAsia="Calibri"/>
        </w:rPr>
        <w:t>H-38 · Toda la interfaz sale del diccionario</w:t>
      </w:r>
    </w:p>
    <w:p>
      <w:r>
        <w:rPr>
          <w:i/>
        </w:rPr>
        <w:t>Como</w:t>
      </w:r>
      <w:r>
        <w:t xml:space="preserve"> usuario, </w:t>
      </w:r>
      <w:r>
        <w:rPr>
          <w:i/>
        </w:rPr>
        <w:t>quiero</w:t>
      </w:r>
      <w:r>
        <w:t xml:space="preserve"> cambiar el idioma y que cambie </w:t>
      </w:r>
      <w:r>
        <w:rPr>
          <w:b/>
        </w:rPr>
        <w:t>toda</w:t>
      </w:r>
      <w:r>
        <w:t xml:space="preserve"> la pantalla, </w:t>
      </w:r>
      <w:r>
        <w:rPr>
          <w:i/>
        </w:rPr>
        <w:t>para</w:t>
      </w:r>
      <w:r>
        <w:t xml:space="preserve"> usar el sistema en el idioma que elijo.</w:t>
      </w:r>
    </w:p>
    <w:p>
      <w:r>
        <w:rPr>
          <w:b/>
        </w:rPr>
        <w:t>Criterios de aceptación</w:t>
      </w:r>
    </w:p>
    <w:p>
      <w:pPr>
        <w:pStyle w:val="ListBullet"/>
      </w:pPr>
      <w:r>
        <w:t xml:space="preserve">Ningún texto visible está escrito en un componente: todos salen de </w:t>
      </w:r>
      <w:r>
        <w:rPr>
          <w:rFonts w:ascii="Consolas" w:hAnsi="Consolas" w:eastAsia="Consolas"/>
          <w:sz w:val="21"/>
        </w:rPr>
        <w:t>t(clave)</w:t>
      </w:r>
      <w:r>
        <w:t>.</w:t>
      </w:r>
    </w:p>
    <w:p>
      <w:pPr>
        <w:pStyle w:val="ListBullet"/>
      </w:pPr>
      <w:r>
        <w:t>El selector cambia la interfaz sin recargar.</w:t>
      </w:r>
    </w:p>
    <w:p>
      <w:pPr>
        <w:pStyle w:val="ListBullet"/>
      </w:pPr>
      <w:r>
        <w:t>La preferencia sobrevive a cerrar y volver a entrar.</w:t>
      </w:r>
    </w:p>
    <w:p>
      <w:pPr>
        <w:pStyle w:val="ListBullet"/>
      </w:pPr>
      <w:r>
        <w:t xml:space="preserve">La pantalla de inicio de sesión se traduce </w:t>
      </w:r>
      <w:r>
        <w:rPr>
          <w:b/>
        </w:rPr>
        <w:t>antes</w:t>
      </w:r>
      <w:r>
        <w:t xml:space="preserve"> de que haya sesión.</w:t>
      </w:r>
    </w:p>
    <w:p>
      <w:pPr>
        <w:pStyle w:val="ListBullet"/>
      </w:pPr>
      <w:r>
        <w:t>Una clave faltante cae al idioma por defecto y aparece en el panel de cobertura.</w:t>
      </w:r>
    </w:p>
    <w:p>
      <w:pPr>
        <w:pStyle w:val="ListBullet"/>
      </w:pPr>
      <w:r>
        <w:rPr>
          <w:b/>
        </w:rPr>
        <w:t>Una prueba automatizada falla si un componente trae texto literal.</w:t>
      </w:r>
    </w:p>
    <w:p>
      <w:r>
        <w:rPr>
          <w:b/>
        </w:rPr>
        <w:t>Tareas</w:t>
      </w:r>
    </w:p>
    <w:p>
      <w:pPr>
        <w:pStyle w:val="ListBullet"/>
      </w:pPr>
      <w:r>
        <w:t>T-38.1 Proveedor de i18n que consuma el endpoint anónimo del diccionario.</w:t>
      </w:r>
    </w:p>
    <w:p>
      <w:pPr>
        <w:pStyle w:val="ListBullet"/>
      </w:pPr>
      <w:r>
        <w:t>T-38.2 Reemplazar los textos de las 19 pantallas.</w:t>
      </w:r>
    </w:p>
    <w:p>
      <w:pPr>
        <w:pStyle w:val="ListBullet"/>
      </w:pPr>
      <w:r>
        <w:t>T-38.3 Selector de idioma en Apariencia y en el encabezado.</w:t>
      </w:r>
    </w:p>
    <w:p>
      <w:pPr>
        <w:pStyle w:val="ListBullet"/>
      </w:pPr>
      <w:r>
        <w:t>T-38.4 Panel de cobertura de traducción, que el backend ya expone.</w:t>
      </w:r>
    </w:p>
    <w:p>
      <w:pPr>
        <w:pStyle w:val="ListBullet"/>
      </w:pPr>
      <w:r>
        <w:t>T-38.5 La prueba de literales. Es la misma técnica que ya evitó que volvieran los códigos de bitácora sueltos: lo que el compilador no puede agarrar, lo agarra una prueba.</w:t>
      </w:r>
    </w:p>
    <w:p>
      <w:pPr>
        <w:pStyle w:val="Heading3"/>
      </w:pPr>
      <w:r>
        <w:rPr>
          <w:rFonts w:ascii="Calibri" w:hAnsi="Calibri" w:eastAsia="Calibri"/>
        </w:rPr>
        <w:t>H-39 · Sistema visual y componentes</w:t>
      </w:r>
    </w:p>
    <w:p>
      <w:r>
        <w:rPr>
          <w:b/>
        </w:rPr>
        <w:t>Criterios</w:t>
      </w:r>
    </w:p>
    <w:p>
      <w:pPr>
        <w:pStyle w:val="ListBullet"/>
      </w:pPr>
      <w:r>
        <w:t>Escala de espaciado, tipografía, radios y elevación, como tokens.</w:t>
      </w:r>
    </w:p>
    <w:p>
      <w:pPr>
        <w:pStyle w:val="ListBullet"/>
      </w:pPr>
      <w:r>
        <w:t>Los seis temas siguen funcionando sin que ningún componente conozca el activo.</w:t>
      </w:r>
    </w:p>
    <w:p>
      <w:pPr>
        <w:pStyle w:val="ListBullet"/>
      </w:pPr>
      <w:r>
        <w:t xml:space="preserve">Cero fallas de contraste AA, </w:t>
      </w:r>
      <w:r>
        <w:rPr>
          <w:b/>
        </w:rPr>
        <w:t>medidas</w:t>
      </w:r>
      <w:r>
        <w:t xml:space="preserve"> y no estimadas.</w:t>
      </w:r>
    </w:p>
    <w:p>
      <w:pPr>
        <w:pStyle w:val="ListBullet"/>
      </w:pPr>
      <w:r>
        <w:t>Las tablas de registro conservan su densidad: espejan el formulario en papel que el técnico tiene al lado mientras carga.</w:t>
      </w:r>
    </w:p>
    <w:p>
      <w:r>
        <w:rPr>
          <w:b/>
        </w:rPr>
        <w:t>Riesgo declarado:</w:t>
      </w:r>
      <w:r>
        <w:t xml:space="preserve"> depende de una entrada externa (el resultado de la</w:t>
      </w:r>
    </w:p>
    <w:p>
      <w:r>
        <w:t>herramienta de diseño). Si no llega, se adelanta H-43 y H-39 pasa a S7.</w:t>
      </w:r>
    </w:p>
    <w:p>
      <w:r>
        <w:rPr>
          <w:b/>
        </w:rPr>
        <w:t>Compromiso:</w:t>
      </w:r>
      <w:r>
        <w:t xml:space="preserve"> H-38, H-39.</w:t>
      </w:r>
    </w:p>
    <w:p>
      <w:pPr>
        <w:pStyle w:val="Heading2"/>
        <w:pBdr>
          <w:bottom w:val="single" w:sz="6" w:space="6" w:color="2F5496"/>
        </w:pBdr>
        <w:spacing w:before="440"/>
      </w:pPr>
      <w:r>
        <w:rPr>
          <w:rFonts w:ascii="Calibri" w:hAnsi="Calibri" w:eastAsia="Calibri"/>
          <w:color w:val="2F5496"/>
        </w:rPr>
        <w:t>S7 · Pantallas, calidad y deuda</w:t>
      </w:r>
    </w:p>
    <w:p>
      <w:r>
        <w:rPr>
          <w:b/>
        </w:rPr>
        <w:t>28/09 – 09/10</w:t>
      </w:r>
      <w:r>
        <w:t xml:space="preserve"> · Épicas E6, E7, E9</w:t>
      </w:r>
    </w:p>
    <w:p>
      <w:pPr>
        <w:spacing w:before="120" w:after="200"/>
        <w:ind w:left="397"/>
        <w:pBdr>
          <w:left w:val="single" w:sz="18" w:space="10" w:color="2F5496"/>
        </w:pBdr>
      </w:pPr>
      <w:r>
        <w:rPr>
          <w:b/>
          <w:i/>
          <w:color w:val="444444"/>
        </w:rPr>
        <w:t>Objetivo.</w:t>
      </w:r>
      <w:r>
        <w:rPr>
          <w:i/>
          <w:color w:val="444444"/>
        </w:rPr>
        <w:t xml:space="preserve"> Terminar el rediseño y que la calidad se pueda auditar.</w:t>
      </w:r>
    </w:p>
    <w:p>
      <w:pPr>
        <w:pStyle w:val="Heading3"/>
      </w:pPr>
      <w:r>
        <w:rPr>
          <w:rFonts w:ascii="Calibri" w:hAnsi="Calibri" w:eastAsia="Calibri"/>
        </w:rPr>
        <w:t>H-40 · Las pantallas rediseñadas</w:t>
      </w:r>
    </w:p>
    <w:p>
      <w:r>
        <w:t>Dashboard, análisis predictivo, detalle de incidencia y mis equipos, en claro y oscuro, con los estados vacío, cargando y error.</w:t>
      </w:r>
    </w:p>
    <w:p>
      <w:pPr>
        <w:pStyle w:val="Heading3"/>
      </w:pPr>
      <w:r>
        <w:rPr>
          <w:rFonts w:ascii="Calibri" w:hAnsi="Calibri" w:eastAsia="Calibri"/>
        </w:rPr>
        <w:t>H-41 · Los CP-01..CP-14 son una suite identificable</w:t>
      </w:r>
    </w:p>
    <w:p>
      <w:r>
        <w:rPr>
          <w:i/>
        </w:rPr>
        <w:t>Como</w:t>
      </w:r>
      <w:r>
        <w:t xml:space="preserve"> evaluador, </w:t>
      </w:r>
      <w:r>
        <w:rPr>
          <w:i/>
        </w:rPr>
        <w:t>quiero</w:t>
      </w:r>
      <w:r>
        <w:t xml:space="preserve"> correr los casos de prueba del documento por su número, </w:t>
      </w:r>
      <w:r>
        <w:rPr>
          <w:i/>
        </w:rPr>
        <w:t>para</w:t>
      </w:r>
      <w:r>
        <w:t xml:space="preserve"> verificar que el sistema hace lo que el capítulo 10 promete.</w:t>
      </w:r>
    </w:p>
    <w:p>
      <w:r>
        <w:rPr>
          <w:b/>
        </w:rPr>
        <w:t>Criterios</w:t>
      </w:r>
    </w:p>
    <w:p>
      <w:pPr>
        <w:pStyle w:val="ListBullet"/>
      </w:pPr>
      <w:r>
        <w:rPr>
          <w:rFonts w:ascii="Consolas" w:hAnsi="Consolas" w:eastAsia="Consolas"/>
          <w:sz w:val="21"/>
        </w:rPr>
        <w:t>dotnet test --filter "CP=CP-07"</w:t>
      </w:r>
      <w:r>
        <w:t xml:space="preserve"> corre exactamente ese caso.</w:t>
      </w:r>
    </w:p>
    <w:p>
      <w:pPr>
        <w:pStyle w:val="ListBullet"/>
      </w:pPr>
      <w:r>
        <w:rPr>
          <w:rFonts w:ascii="Consolas" w:hAnsi="Consolas" w:eastAsia="Consolas"/>
          <w:sz w:val="21"/>
        </w:rPr>
        <w:t>dotnet test --filter "Categoria=CasosDePrueba"</w:t>
      </w:r>
      <w:r>
        <w:t xml:space="preserve"> los corre a todos.</w:t>
      </w:r>
    </w:p>
    <w:p>
      <w:pPr>
        <w:pStyle w:val="ListBullet"/>
      </w:pPr>
      <w:r>
        <w:t>Cada prueba nombra el caso del documento que cubre.</w:t>
      </w:r>
    </w:p>
    <w:p>
      <w:pPr>
        <w:pStyle w:val="ListBullet"/>
      </w:pPr>
      <w:r>
        <w:t>Los no cubiertos se identifican y se escriben.</w:t>
      </w:r>
    </w:p>
    <w:p>
      <w:pPr>
        <w:pStyle w:val="ListBullet"/>
      </w:pPr>
      <w:r>
        <w:t xml:space="preserve">La tabla CP a prueba a archivo se </w:t>
      </w:r>
      <w:r>
        <w:rPr>
          <w:b/>
        </w:rPr>
        <w:t>genera</w:t>
      </w:r>
      <w:r>
        <w:t>, no se escribe a mano.</w:t>
      </w:r>
    </w:p>
    <w:p>
      <w:pPr>
        <w:pStyle w:val="Heading3"/>
      </w:pPr>
      <w:r>
        <w:rPr>
          <w:rFonts w:ascii="Calibri" w:hAnsi="Calibri" w:eastAsia="Calibri"/>
        </w:rPr>
        <w:t>H-42 · El RNF de carga está medido</w:t>
      </w:r>
    </w:p>
    <w:p>
      <w:r>
        <w:t xml:space="preserve">El ADR 0008 compromete 500 activos y 5 000 incidencias con respuesta bajo dos segundos. </w:t>
      </w:r>
      <w:r>
        <w:rPr>
          <w:b/>
        </w:rPr>
        <w:t>Está afirmado y no medido.</w:t>
      </w:r>
    </w:p>
    <w:p>
      <w:r>
        <w:rPr>
          <w:b/>
        </w:rPr>
        <w:t>Criterios</w:t>
      </w:r>
    </w:p>
    <w:p>
      <w:pPr>
        <w:pStyle w:val="ListBullet"/>
      </w:pPr>
      <w:r>
        <w:t>Un generador con semilla fija carga ese volumen.</w:t>
      </w:r>
    </w:p>
    <w:p>
      <w:pPr>
        <w:pStyle w:val="ListBullet"/>
      </w:pPr>
      <w:r>
        <w:t>Se miden el listado, el panel predictivo y el dashboard: tres corridas, mediana.</w:t>
      </w:r>
    </w:p>
    <w:p>
      <w:pPr>
        <w:pStyle w:val="ListBullet"/>
      </w:pPr>
      <w:r>
        <w:t xml:space="preserve">El resultado se publica </w:t>
      </w:r>
      <w:r>
        <w:rPr>
          <w:b/>
        </w:rPr>
        <w:t>sea cual sea</w:t>
      </w:r>
      <w:r>
        <w:t>. Si no cumple, el hallazgo es el entregable y se abre la historia de optimización. Un RNF incumplido y declarado es defendible; uno afirmado sin medir, no.</w:t>
      </w:r>
    </w:p>
    <w:p>
      <w:pPr>
        <w:pStyle w:val="Heading3"/>
      </w:pPr>
      <w:r>
        <w:rPr>
          <w:rFonts w:ascii="Calibri" w:hAnsi="Calibri" w:eastAsia="Calibri"/>
        </w:rPr>
        <w:t xml:space="preserve">H-43 · Partir </w:t>
      </w:r>
      <w:r>
        <w:rPr>
          <w:rFonts w:ascii="Calibri" w:hAnsi="Calibri" w:eastAsia="Calibri"/>
          <w:sz w:val="21"/>
        </w:rPr>
        <w:t>IAdministracionBusiness</w:t>
      </w:r>
      <w:r>
        <w:rPr>
          <w:rFonts w:ascii="Calibri" w:hAnsi="Calibri" w:eastAsia="Calibri"/>
        </w:rPr>
        <w:t xml:space="preserve"> </w:t>
      </w:r>
      <w:r>
        <w:rPr>
          <w:rFonts w:ascii="Calibri" w:hAnsi="Calibri" w:eastAsia="Calibri"/>
          <w:i/>
        </w:rPr>
        <w:t>(E9)</w:t>
      </w:r>
    </w:p>
    <w:p>
      <w:r>
        <w:t>Hoy tiene 18 métodos de cinco temas —mantenimientos, usuarios, bitácora, IA, respaldos—. Todo consumidor depende de las cinco cosas: es una violación de segregación de interfaces, y es propia.</w:t>
      </w:r>
    </w:p>
    <w:p>
      <w:r>
        <w:rPr>
          <w:b/>
        </w:rPr>
        <w:t>Criterio:</w:t>
      </w:r>
      <w:r>
        <w:t xml:space="preserve"> cuatro interfaces por tema, cada consumidor dependiendo sólo de la</w:t>
      </w:r>
    </w:p>
    <w:p>
      <w:r>
        <w:t>suya, sin cambiar comportamiento y con las pruebas pasando igual.</w:t>
      </w:r>
    </w:p>
    <w:p>
      <w:pPr>
        <w:pStyle w:val="Heading3"/>
      </w:pPr>
      <w:r>
        <w:rPr>
          <w:rFonts w:ascii="Calibri" w:hAnsi="Calibri" w:eastAsia="Calibri"/>
        </w:rPr>
        <w:t>H-44 · Las pruebas no dejan residuo</w:t>
      </w:r>
    </w:p>
    <w:p>
      <w:r>
        <w:t>Correr la suite dos veces seguidas da el mismo resultado y no agrega filas a la base de demostración.</w:t>
      </w:r>
    </w:p>
    <w:p>
      <w:r>
        <w:rPr>
          <w:b/>
        </w:rPr>
        <w:t>Compromiso:</w:t>
      </w:r>
      <w:r>
        <w:t xml:space="preserve"> H-40, H-41, H-42, H-43, H-44.</w:t>
      </w:r>
    </w:p>
    <w:p>
      <w:pPr>
        <w:pStyle w:val="Heading2"/>
        <w:pBdr>
          <w:bottom w:val="single" w:sz="6" w:space="6" w:color="2F5496"/>
        </w:pBdr>
        <w:spacing w:before="440"/>
      </w:pPr>
      <w:r>
        <w:rPr>
          <w:rFonts w:ascii="Calibri" w:hAnsi="Calibri" w:eastAsia="Calibri"/>
          <w:color w:val="2F5496"/>
        </w:rPr>
        <w:t>S8 · Endurecimiento, producto y documentación</w:t>
      </w:r>
    </w:p>
    <w:p>
      <w:r>
        <w:rPr>
          <w:b/>
        </w:rPr>
        <w:t>12/10 – 23/10</w:t>
      </w:r>
      <w:r>
        <w:t xml:space="preserve"> · Épicas E2, E8</w:t>
      </w:r>
    </w:p>
    <w:p>
      <w:pPr>
        <w:pStyle w:val="Heading3"/>
      </w:pPr>
      <w:r>
        <w:rPr>
          <w:rFonts w:ascii="Calibri" w:hAnsi="Calibri" w:eastAsia="Calibri"/>
        </w:rPr>
        <w:t>H-45 · Revisión contra OWASP Top 10</w:t>
      </w:r>
    </w:p>
    <w:p>
      <w:r>
        <w:rPr>
          <w:b/>
        </w:rPr>
        <w:t>Criterios</w:t>
      </w:r>
    </w:p>
    <w:p>
      <w:pPr>
        <w:pStyle w:val="ListBullet"/>
      </w:pPr>
      <w:r>
        <w:t>Cada punto tiene una fila: cómo está mitigado o por qué no aplica.</w:t>
      </w:r>
    </w:p>
    <w:p>
      <w:pPr>
        <w:pStyle w:val="ListBullet"/>
      </w:pPr>
      <w:r>
        <w:t>Los hallazgos se corrigen o se documentan como riesgo aceptado, con el motivo.</w:t>
      </w:r>
    </w:p>
    <w:p>
      <w:pPr>
        <w:pStyle w:val="ListBullet"/>
      </w:pPr>
      <w:r>
        <w:t>Queda como anexo del documento.</w:t>
      </w:r>
    </w:p>
    <w:p>
      <w:r>
        <w:rPr>
          <w:b/>
        </w:rPr>
        <w:t>Tareas</w:t>
      </w:r>
    </w:p>
    <w:p>
      <w:pPr>
        <w:pStyle w:val="ListBullet"/>
      </w:pPr>
      <w:r>
        <w:t xml:space="preserve">T-45.1 Límite de intentos </w:t>
      </w:r>
      <w:r>
        <w:rPr>
          <w:b/>
        </w:rPr>
        <w:t>por IP</w:t>
      </w:r>
      <w:r>
        <w:t xml:space="preserve"> en el login. Hoy hay bloqueo por usuario, que no frena a quien prueba una contraseña contra cien usuarios distintos —que es como se hace el ataque de verdad.</w:t>
      </w:r>
    </w:p>
    <w:p>
      <w:pPr>
        <w:pStyle w:val="ListBullet"/>
      </w:pPr>
      <w:r>
        <w:t xml:space="preserve">T-45.2 Cabeceras: HSTS, CSP, </w:t>
      </w:r>
      <w:r>
        <w:rPr>
          <w:rFonts w:ascii="Consolas" w:hAnsi="Consolas" w:eastAsia="Consolas"/>
          <w:sz w:val="21"/>
        </w:rPr>
        <w:t>X-Content-Type-Options</w:t>
      </w:r>
      <w:r>
        <w:t xml:space="preserve">, </w:t>
      </w:r>
      <w:r>
        <w:rPr>
          <w:rFonts w:ascii="Consolas" w:hAnsi="Consolas" w:eastAsia="Consolas"/>
          <w:sz w:val="21"/>
        </w:rPr>
        <w:t>Referrer-Policy</w:t>
      </w:r>
      <w:r>
        <w:t>.</w:t>
      </w:r>
    </w:p>
    <w:p>
      <w:pPr>
        <w:pStyle w:val="ListBullet"/>
      </w:pPr>
      <w:r>
        <w:t>T-45.3 Verificar que ningún mensaje revele si un usuario existe.</w:t>
      </w:r>
    </w:p>
    <w:p>
      <w:pPr>
        <w:pStyle w:val="ListBullet"/>
      </w:pPr>
      <w:r>
        <w:t xml:space="preserve">T-45.4 Probar el aislamiento entre organizaciones </w:t>
      </w:r>
      <w:r>
        <w:rPr>
          <w:b/>
        </w:rPr>
        <w:t>endpoint por endpoint</w:t>
      </w:r>
      <w:r>
        <w:t>, con un usuario de una intentando leer datos de otra.</w:t>
      </w:r>
    </w:p>
    <w:p>
      <w:pPr>
        <w:pStyle w:val="Heading3"/>
      </w:pPr>
      <w:r>
        <w:rPr>
          <w:rFonts w:ascii="Calibri" w:hAnsi="Calibri" w:eastAsia="Calibri"/>
        </w:rPr>
        <w:t>H-46 · ADR sobre gestión de identidad</w:t>
      </w:r>
    </w:p>
    <w:p>
      <w:r>
        <w:t xml:space="preserve">No se implementa un IAM externo: se </w:t>
      </w:r>
      <w:r>
        <w:rPr>
          <w:b/>
        </w:rPr>
        <w:t>decide y se documenta</w:t>
      </w:r>
      <w:r>
        <w:t>, con el análisis y la ruta de migración para un despliegue real. El modelo Familia/Patente con Composite es objeto de evaluación, y delegarlo en un producto externo convertiría lo evaluado en configuración de un contenedor ajeno.</w:t>
      </w:r>
    </w:p>
    <w:p>
      <w:pPr>
        <w:pStyle w:val="Heading3"/>
      </w:pPr>
      <w:r>
        <w:rPr>
          <w:rFonts w:ascii="Calibri" w:hAnsi="Calibri" w:eastAsia="Calibri"/>
        </w:rPr>
        <w:t>H-47 · Estados vacíos y esqueletos de carga</w:t>
      </w:r>
    </w:p>
    <w:p>
      <w:r>
        <w:t>Hoy una tabla vacía se ve igual que una que todavía no cargó, y eso es un error de producto. Cada listado distingue «no hay nada», «todavía no cargó» y «falló», y cada vacío dice qué hacer.</w:t>
      </w:r>
    </w:p>
    <w:p>
      <w:pPr>
        <w:pStyle w:val="Heading3"/>
      </w:pPr>
      <w:r>
        <w:rPr>
          <w:rFonts w:ascii="Calibri" w:hAnsi="Calibri" w:eastAsia="Calibri"/>
        </w:rPr>
        <w:t>H-48 · Panel de calibración de reglas</w:t>
      </w:r>
    </w:p>
    <w:p>
      <w:r>
        <w:rPr>
          <w:i/>
        </w:rPr>
        <w:t>Como</w:t>
      </w:r>
      <w:r>
        <w:t xml:space="preserve"> administrador, </w:t>
      </w:r>
      <w:r>
        <w:rPr>
          <w:i/>
        </w:rPr>
        <w:t>quiero</w:t>
      </w:r>
      <w:r>
        <w:t xml:space="preserve"> ver cuántas alertas de cada regla se atendieron y cuántas se descartaron, </w:t>
      </w:r>
      <w:r>
        <w:rPr>
          <w:i/>
        </w:rPr>
        <w:t>para</w:t>
      </w:r>
      <w:r>
        <w:t xml:space="preserve"> ajustar los umbrales con datos y no a ojo.</w:t>
      </w:r>
    </w:p>
    <w:p>
      <w:r>
        <w:rPr>
          <w:b/>
        </w:rPr>
        <w:t>Criterio:</w:t>
      </w:r>
      <w:r>
        <w:t xml:space="preserve"> por regla, generadas, atendidas, descartadas y la tasa de descarte.</w:t>
      </w:r>
    </w:p>
    <w:p>
      <w:r>
        <w:t>Una regla con 90 % de descarte está mal calibrada, y el panel tiene que hacerlo evidente.</w:t>
      </w:r>
    </w:p>
    <w:p>
      <w:pPr>
        <w:pStyle w:val="Heading3"/>
      </w:pPr>
      <w:r>
        <w:rPr>
          <w:rFonts w:ascii="Calibri" w:hAnsi="Calibri" w:eastAsia="Calibri"/>
        </w:rPr>
        <w:t>H-49 · Los manuales</w:t>
      </w:r>
    </w:p>
    <w:p>
      <w:r>
        <w:t>Instalación, Usuario Gerente, Usuario Empleado y Programador, con los nombres del modelo de referencia, generados desde Markdown como el anexo de trazabilidad.</w:t>
      </w:r>
    </w:p>
    <w:p>
      <w:pPr>
        <w:pStyle w:val="Heading3"/>
      </w:pPr>
      <w:r>
        <w:rPr>
          <w:rFonts w:ascii="Calibri" w:hAnsi="Calibri" w:eastAsia="Calibri"/>
        </w:rPr>
        <w:t>H-50 · El documento del TFI al día</w:t>
      </w:r>
    </w:p>
    <w:p>
      <w:r>
        <w:t xml:space="preserve">Aplicar los deltas D-01 a D-19 al </w:t>
      </w:r>
      <w:r>
        <w:rPr>
          <w:rFonts w:ascii="Consolas" w:hAnsi="Consolas" w:eastAsia="Consolas"/>
          <w:sz w:val="21"/>
        </w:rPr>
        <w:t>.docx</w:t>
      </w:r>
      <w:r>
        <w:t>, con las capturas del sistema rediseñado.</w:t>
      </w:r>
    </w:p>
    <w:p>
      <w:r>
        <w:rPr>
          <w:b/>
        </w:rPr>
        <w:t>Compromiso:</w:t>
      </w:r>
      <w:r>
        <w:t xml:space="preserve"> H-45 a H-50.</w:t>
      </w:r>
    </w:p>
    <w:p>
      <w:pPr>
        <w:pStyle w:val="Heading2"/>
        <w:pBdr>
          <w:bottom w:val="single" w:sz="6" w:space="6" w:color="2F5496"/>
        </w:pBdr>
        <w:spacing w:before="440"/>
      </w:pPr>
      <w:r>
        <w:rPr>
          <w:rFonts w:ascii="Calibri" w:hAnsi="Calibri" w:eastAsia="Calibri"/>
          <w:color w:val="2F5496"/>
        </w:rPr>
        <w:t>Cierre · Entrega</w:t>
      </w:r>
    </w:p>
    <w:p>
      <w:r>
        <w:rPr>
          <w:b/>
        </w:rPr>
        <w:t>26/10 – 30/10</w:t>
      </w:r>
      <w:r>
        <w:t xml:space="preserve"> · Épica E8</w:t>
      </w:r>
    </w:p>
    <w:p>
      <w:pPr>
        <w:pStyle w:val="Heading3"/>
      </w:pPr>
      <w:r>
        <w:rPr>
          <w:rFonts w:ascii="Calibri" w:hAnsi="Calibri" w:eastAsia="Calibri"/>
        </w:rPr>
        <w:t>H-51 · El horizonte financiero, resuelto</w:t>
      </w:r>
    </w:p>
    <w:p>
      <w:r>
        <w:t xml:space="preserve">El VAN a cuatro años queda en −193,9 M porque la ventana termina justo cuando el proyecto da vuelta. </w:t>
      </w:r>
      <w:r>
        <w:rPr>
          <w:b/>
        </w:rPr>
        <w:t>Es una decisión del autor</w:t>
      </w:r>
      <w:r>
        <w:t>, no un error del modelo: extender a 5–6 años o incorporar valor terminal. Se aplica la elegida y se justifica en el plan de negocio.</w:t>
      </w:r>
    </w:p>
    <w:p>
      <w:pPr>
        <w:pStyle w:val="Heading3"/>
      </w:pPr>
      <w:r>
        <w:rPr>
          <w:rFonts w:ascii="Calibri" w:hAnsi="Calibri" w:eastAsia="Calibri"/>
        </w:rPr>
        <w:t>H-52 · Ensayo de la defensa</w:t>
      </w:r>
    </w:p>
    <w:p>
      <w:r>
        <w:rPr>
          <w:b/>
        </w:rPr>
        <w:t>Criterios</w:t>
      </w:r>
    </w:p>
    <w:p>
      <w:pPr>
        <w:pStyle w:val="ListBullet"/>
      </w:pPr>
      <w:r>
        <w:t>Recorrido completo de punta a punta, cronometrado.</w:t>
      </w:r>
    </w:p>
    <w:p>
      <w:pPr>
        <w:pStyle w:val="ListBullet"/>
      </w:pPr>
      <w:r>
        <w:t xml:space="preserve">Las tres demostraciones que dependen de que el sistema ande —CP-14 con la IA caída, el barrido predictivo generando alertas, el 403 por patente— probadas </w:t>
      </w:r>
      <w:r>
        <w:rPr>
          <w:b/>
        </w:rPr>
        <w:t>en la máquina donde se va a defender</w:t>
      </w:r>
      <w:r>
        <w:t>.</w:t>
      </w:r>
    </w:p>
    <w:p>
      <w:pPr>
        <w:pStyle w:val="ListBullet"/>
      </w:pPr>
      <w:r>
        <w:t>Las diez preguntas más probables, con su respuesta y dónde está la evidencia.</w:t>
      </w:r>
    </w:p>
    <w:p>
      <w:pPr>
        <w:pStyle w:val="Heading3"/>
      </w:pPr>
      <w:r>
        <w:rPr>
          <w:rFonts w:ascii="Calibri" w:hAnsi="Calibri" w:eastAsia="Calibri"/>
        </w:rPr>
        <w:t>H-53 · Congelamiento</w:t>
      </w:r>
    </w:p>
    <w:p>
      <w:r>
        <w:rPr>
          <w:b/>
        </w:rPr>
        <w:t>Criterios</w:t>
      </w:r>
    </w:p>
    <w:p>
      <w:pPr>
        <w:pStyle w:val="ListBullet"/>
      </w:pPr>
      <w:r>
        <w:t xml:space="preserve">Etiqueta </w:t>
      </w:r>
      <w:r>
        <w:rPr>
          <w:b/>
        </w:rPr>
        <w:t>anotada</w:t>
      </w:r>
      <w:r>
        <w:t xml:space="preserve"> </w:t>
      </w:r>
      <w:r>
        <w:rPr>
          <w:rFonts w:ascii="Consolas" w:hAnsi="Consolas" w:eastAsia="Consolas"/>
          <w:sz w:val="21"/>
        </w:rPr>
        <w:t>v1</w:t>
      </w:r>
      <w:r>
        <w:t xml:space="preserve"> sobre el commit que ese día pase la verificación completa. Anotada y no liviana porque deja escritos autor, fecha y motivo, que es lo que se pregunta de un congelamiento.</w:t>
      </w:r>
    </w:p>
    <w:p>
      <w:pPr>
        <w:pStyle w:val="ListBullet"/>
      </w:pPr>
      <w:r>
        <w:t xml:space="preserve">La base de demostración </w:t>
      </w:r>
      <w:r>
        <w:rPr>
          <w:b/>
        </w:rPr>
        <w:t>regenerada desde la semilla</w:t>
      </w:r>
      <w:r>
        <w:t xml:space="preserve"> y recién ahí respaldada, con el respaldo en Drive </w:t>
      </w:r>
      <w:r>
        <w:rPr>
          <w:b/>
        </w:rPr>
        <w:t>y</w:t>
      </w:r>
      <w:r>
        <w:t xml:space="preserve"> en un pendrive. La de desarrollo arrastra restos —una incidencia llamada «Prueba de reevaluacion automatica» y saltos en la numeración— y eso se ve en pantalla. Regenerarla no cuesta trabajo manual: aplicando </w:t>
      </w:r>
      <w:r>
        <w:rPr>
          <w:rFonts w:ascii="Consolas" w:hAnsi="Consolas" w:eastAsia="Consolas"/>
          <w:sz w:val="21"/>
        </w:rPr>
        <w:t>db/</w:t>
      </w:r>
      <w:r>
        <w:t xml:space="preserve"> y esperando dos minutos, el barrido predictivo deja el parque evaluado solo.</w:t>
      </w:r>
    </w:p>
    <w:p>
      <w:pPr>
        <w:pStyle w:val="ListBullet"/>
      </w:pPr>
      <w:r>
        <w:t xml:space="preserve">Un clon limpio levanta con </w:t>
      </w:r>
      <w:r>
        <w:rPr>
          <w:rFonts w:ascii="Consolas" w:hAnsi="Consolas" w:eastAsia="Consolas"/>
          <w:sz w:val="21"/>
        </w:rPr>
        <w:t>docker compose up --build</w:t>
      </w:r>
      <w:r>
        <w:t xml:space="preserve"> y pasa todo </w:t>
      </w:r>
      <w:r>
        <w:rPr>
          <w:b/>
        </w:rPr>
        <w:t>en la notebook donde se va a defender</w:t>
      </w:r>
      <w:r>
        <w:t xml:space="preserve">, con las imágenes ya bajadas. Son 2,3 GB de SQL Server más lo que se construye: bajarlas el mismo día no es una opción. La corrida de prueba sobre la máquina de desarrollo está en </w:t>
      </w:r>
      <w:r>
        <w:rPr>
          <w:rFonts w:ascii="Consolas" w:hAnsi="Consolas" w:eastAsia="Consolas"/>
          <w:sz w:val="21"/>
        </w:rPr>
        <w:t>docs/tecnico/CLON-LIMPIO.md</w:t>
      </w:r>
      <w:r>
        <w:t>.</w:t>
      </w:r>
    </w:p>
    <w:p>
      <w:r>
        <w:rPr>
          <w:b/>
        </w:rPr>
        <w:t>La regla de alcance, escrita antes y no después.</w:t>
      </w:r>
      <w:r>
        <w:t xml:space="preserve"> A partir del 30/10 entra lo que corrige algo que ya existe y lo que pida la devolución de la Entrega 2. No entra ninguna pantalla, endpoint ni tabla nueva. Se fija ahora porque después del congelamiento cualquier cosa se justifica como corrección.</w:t>
      </w:r>
    </w:p>
    <w:p>
      <w:r>
        <w:rPr>
          <w:b/>
        </w:rPr>
        <w:t>La demostración va con el servicio de IA real.</w:t>
      </w:r>
      <w:r>
        <w:t xml:space="preserve"> Se carga crédito antes de la defensa; hoy el sistema corre con el proveedor simulado, que es el valor por defecto. Conmutar es cargar la clave en Configuración › Integración de IA —por organización, y se guarda cifrada— sin tocar código. Queda una cosa por resolver en el ensayo: con el proveedor real activo, </w:t>
      </w:r>
      <w:r>
        <w:rPr>
          <w:rFonts w:ascii="Consolas" w:hAnsi="Consolas" w:eastAsia="Consolas"/>
          <w:sz w:val="21"/>
        </w:rPr>
        <w:t>PREDICTIT_IA_FALLAR_CADA</w:t>
      </w:r>
      <w:r>
        <w:t xml:space="preserve"> ya no sirve para demostrar el CP-14 porque sólo afecta al simulado, así que la caída se muestra volviendo esa organización a Simulado con la variable en 1.</w:t>
      </w:r>
    </w:p>
    <w:p>
      <w:r>
        <w:rPr>
          <w:b/>
        </w:rPr>
        <w:t>Por qué el 30/10 y no la segunda entrega.</w:t>
      </w:r>
      <w:r>
        <w:t xml:space="preserve"> Se evaluó moverlo. La Entrega 2 de negocio es el 16/10 y congelaría el sistema antes de la entrega que lo evalúa; la de tecnología todavía no tiene fecha confirmada con la cátedra. El 30/10 cae después de las dos en cualquier escenario razonable.</w:t>
      </w:r>
    </w:p>
    <w:p>
      <w:r>
        <w:rPr>
          <w:b/>
        </w:rPr>
        <w:t>Congelamiento: viernes 30/10/2026.</w:t>
      </w:r>
      <w:r>
        <w:t xml:space="preserve"> No es la fecha de la cátedra —la entrega final es el </w:t>
      </w:r>
      <w:r>
        <w:rPr>
          <w:b/>
        </w:rPr>
        <w:t>miércoles 11/11/2026</w:t>
      </w:r>
      <w:r>
        <w:t xml:space="preserve">, y la Entrega 2 de negocio el </w:t>
      </w:r>
      <w:r>
        <w:rPr>
          <w:b/>
        </w:rPr>
        <w:t>16/10</w:t>
      </w:r>
      <w:r>
        <w:t>—: es la fecha en que este proyecto deja de sumar alcance.</w:t>
      </w:r>
    </w:p>
    <w:p>
      <w:r>
        <w:t>Los doce días que quedan entre una y otra son el colchón. Se reservaron sin alcance asignado —un plan sin colchón es un plan que ya sabe que va a incumplirse— y se usan para las correcciones que traiga la Entrega 2, para el ensayo de la defensa y para el video.</w:t>
      </w:r>
    </w:p>
    <w:p>
      <w:pPr>
        <w:pStyle w:val="Heading2"/>
        <w:pBdr>
          <w:bottom w:val="single" w:sz="6" w:space="6" w:color="2F5496"/>
        </w:pBdr>
        <w:spacing w:before="440"/>
      </w:pPr>
      <w:r>
        <w:rPr>
          <w:rFonts w:ascii="Calibri" w:hAnsi="Calibri" w:eastAsia="Calibri"/>
          <w:color w:val="2F5496"/>
        </w:rPr>
        <w:t>S10 · Correcciones finales</w:t>
      </w:r>
    </w:p>
    <w:p>
      <w:r>
        <w:rPr>
          <w:b/>
        </w:rPr>
        <w:t>31/10 – 28/11</w:t>
      </w:r>
      <w:r>
        <w:t xml:space="preserve"> · Épicas E6, E8, E9</w:t>
      </w:r>
    </w:p>
    <w:p>
      <w:r>
        <w:t>El tramo que absorbe lo que sale de revisar lo hecho. Se planificó vacío y hoy tiene diecisiete historias terminadas, todas del mismo tipo: cosas que aparecieron al mirar el sistema y los documentos con el criterio de alguien de afuera, y no al construir una funcionalidad nueva.</w:t>
      </w:r>
    </w:p>
    <w:p>
      <w:pPr>
        <w:pStyle w:val="ListBullet"/>
      </w:pPr>
      <w:r>
        <w:rPr>
          <w:b/>
        </w:rPr>
        <w:t>H-78 a H-83</w:t>
      </w:r>
      <w:r>
        <w:t xml:space="preserve"> · Las pantallas que la documentación no describía, la guía de reparación y el módulo del solicitante con el rediseño puesto.</w:t>
      </w:r>
    </w:p>
    <w:p>
      <w:pPr>
        <w:pStyle w:val="ListBullet"/>
      </w:pPr>
      <w:r>
        <w:rPr>
          <w:b/>
        </w:rPr>
        <w:t>H-84 a H-86</w:t>
      </w:r>
      <w:r>
        <w:t xml:space="preserve"> · El CP-15 automatizado sobre el recorrido completo, los veintidós diagramas saliendo del modelo y las capturas rehechas.</w:t>
      </w:r>
    </w:p>
    <w:p>
      <w:pPr>
        <w:pStyle w:val="ListBullet"/>
      </w:pPr>
      <w:r>
        <w:rPr>
          <w:b/>
        </w:rPr>
        <w:t>H-87</w:t>
      </w:r>
      <w:r>
        <w:t xml:space="preserve"> · El multiidioma cumpliendo lo que el requisito no funcional promete: se veía bien en castellano y en inglés mostraba castellano.</w:t>
      </w:r>
    </w:p>
    <w:p>
      <w:pPr>
        <w:pStyle w:val="ListBullet"/>
      </w:pPr>
      <w:r>
        <w:rPr>
          <w:b/>
        </w:rPr>
        <w:t>H-88</w:t>
      </w:r>
      <w:r>
        <w:t xml:space="preserve"> · La revisión de coherencia de punta a punta entre los documentos y el sistema, con los dos controles que deja.</w:t>
      </w:r>
    </w:p>
    <w:p>
      <w:r>
        <w:t>Que este tramo tenga contenido y los anteriores estén cerrados es el efecto buscado del colchón: el alcance nuevo se congela el 30/10 y lo que entra después son correcciones, no funcionalidad.</w:t>
      </w:r>
    </w:p>
    <w:p>
      <w:pPr>
        <w:pStyle w:val="Heading2"/>
        <w:pBdr>
          <w:bottom w:val="single" w:sz="6" w:space="6" w:color="2F5496"/>
        </w:pBdr>
        <w:spacing w:before="440"/>
      </w:pPr>
      <w:r>
        <w:rPr>
          <w:rFonts w:ascii="Calibri" w:hAnsi="Calibri" w:eastAsia="Calibri"/>
          <w:color w:val="2F5496"/>
        </w:rPr>
        <w:t>Métricas del proceso</w:t>
      </w:r>
    </w:p>
    <w:p>
      <w:r>
        <w:t>Tres, y ninguna de vanidad:</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Métrica</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Qué mide</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Cómo se registra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Compromiso vs. entregado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Si estoy planificando de forma realista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Por sprint, en la retrospectiva</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Defectos encontrados usando el sistema</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 xml:space="preserve">Cuántos se me escapan al código </w:t>
            </w:r>
            <w:r>
              <w:rPr>
                <w:rFonts w:ascii="Calibri" w:hAnsi="Calibri" w:eastAsia="Calibri"/>
                <w:i/>
                <w:sz w:val="20"/>
              </w:rPr>
              <w:t>y</w:t>
            </w:r>
            <w:r>
              <w:rPr>
                <w:rFonts w:ascii="Calibri" w:hAnsi="Calibri" w:eastAsia="Calibri"/>
                <w:sz w:val="20"/>
              </w:rPr>
              <w:t xml:space="preserve"> a las pruebas</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 xml:space="preserve">Etiqueta </w:t>
            </w:r>
            <w:r>
              <w:rPr>
                <w:rFonts w:ascii="Consolas" w:hAnsi="Consolas" w:eastAsia="Consolas"/>
                <w:sz w:val="19"/>
              </w:rPr>
              <w:t>defecto-de-uso</w:t>
            </w:r>
            <w:r>
              <w:rPr>
                <w:rFonts w:ascii="Calibri" w:hAnsi="Calibri" w:eastAsia="Calibri"/>
                <w:sz w:val="20"/>
              </w:rPr>
              <w:t xml:space="preserve"> en el tablero</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Cobertura de pruebas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Tendencia, no valor absoluto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Publicada por el CI</w:t>
            </w:r>
          </w:p>
        </w:tc>
      </w:tr>
    </w:tbl>
    <w:p>
      <w:pPr>
        <w:spacing w:after="80"/>
      </w:pPr>
    </w:p>
    <w:p>
      <w:r>
        <w:t>La segunda es la que más importa acá, y el proyecto ya tiene la evidencia: los dos defectos más graves no los encontró ninguna prueba. Si ese número no baja, el problema es cómo pruebo, no cuánto pruebo.</w:t>
      </w:r>
    </w:p>
    <w:p>
      <w:pPr>
        <w:pStyle w:val="Heading2"/>
        <w:pBdr>
          <w:bottom w:val="single" w:sz="6" w:space="6" w:color="2F5496"/>
        </w:pBdr>
        <w:spacing w:before="440"/>
      </w:pPr>
      <w:r>
        <w:rPr>
          <w:rFonts w:ascii="Calibri" w:hAnsi="Calibri" w:eastAsia="Calibri"/>
          <w:color w:val="2F5496"/>
        </w:rPr>
        <w:t>Riesgos</w:t>
      </w:r>
    </w:p>
    <w:tbl>
      <w:tblPr>
        <w:tblW w:type="auto" w:w="0"/>
        <w:jc w:val="center"/>
        <w:tblLook w:firstColumn="1" w:firstRow="1" w:lastColumn="0" w:lastRow="0" w:noHBand="0" w:noVBand="1" w:val="04A0"/>
      </w:tblPr>
      <w:tblGrid>
        <w:gridCol w:w="2340"/>
        <w:gridCol w:w="2340"/>
        <w:gridCol w:w="2340"/>
        <w:gridCol w:w="2340"/>
      </w:tblGrid>
      <w:tr>
        <w:trPr>
          <w:tblHeader w:val="true"/>
          <w:cantSplit w:val="true"/>
        </w:trPr>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Riesgo</w:t>
            </w:r>
          </w:p>
        </w:tc>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Prob.</w:t>
            </w:r>
          </w:p>
        </w:tc>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Impacto</w:t>
            </w:r>
          </w:p>
        </w:tc>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Mitigación</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El rediseño llega tarde o no sirve</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Media</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Alto</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S6 tiene H-38 como alcance independiente; H-39 se corre a S7 sin romper el plan</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La medición de carga incumple el RNF</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Media</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Medio</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El resultado se publica igual y se abre la historia de optimización</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Sobreestimar el sprint</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Alta</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Medio</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Es lo que mide la primera métrica. Se ajusta con datos, no con voluntad</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El CI con SQL Server es inestable</w:t>
            </w:r>
          </w:p>
        </w:tc>
        <w:tc>
          <w:tcPr>
            <w:tcW w:type="dxa" w:w="234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Media</w:t>
            </w:r>
          </w:p>
        </w:tc>
        <w:tc>
          <w:tcPr>
            <w:tcW w:type="dxa" w:w="234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Bajo</w:t>
            </w:r>
          </w:p>
        </w:tc>
        <w:tc>
          <w:tcPr>
            <w:tcW w:type="dxa" w:w="234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Las pruebas de integración pasan a un trabajo aparte durante un sprint</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Cambio de alcance del tutor</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Baja</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Alto</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El mes de noviembre</w:t>
            </w:r>
          </w:p>
        </w:tc>
      </w:tr>
    </w:tbl>
    <w:p>
      <w:pPr>
        <w:spacing w:after="80"/>
      </w:pPr>
    </w:p>
    <w:p>
      <w:pPr>
        <w:pStyle w:val="Heading2"/>
        <w:pBdr>
          <w:bottom w:val="single" w:sz="6" w:space="6" w:color="2F5496"/>
        </w:pBdr>
        <w:spacing w:before="440"/>
      </w:pPr>
      <w:r>
        <w:rPr>
          <w:rFonts w:ascii="Calibri" w:hAnsi="Calibri" w:eastAsia="Calibri"/>
          <w:color w:val="2F5496"/>
        </w:rPr>
        <w:t>Tablero</w:t>
      </w:r>
    </w:p>
    <w:p>
      <w:r>
        <w:t xml:space="preserve">Siete columnas: </w:t>
      </w:r>
      <w:r>
        <w:rPr>
          <w:b/>
        </w:rPr>
        <w:t>Backlog · Preparada · Sprint actual · En curso · En revisión · Bloqueada · Terminada</w:t>
      </w:r>
      <w:r>
        <w:t>.</w:t>
      </w:r>
    </w:p>
    <w:p>
      <w:r>
        <w:t>Dos reglas que hacen que el tablero sirva:</w:t>
      </w:r>
    </w:p>
    <w:p>
      <w:pPr>
        <w:spacing w:after="80"/>
        <w:ind w:left="510" w:hanging="510"/>
        <w:jc w:val="left"/>
      </w:pPr>
      <w:r>
        <w:t>1.</w:t>
        <w:tab/>
      </w:r>
      <w:r>
        <w:rPr>
          <w:b/>
        </w:rPr>
        <w:t>Un solo ítem en «En curso».</w:t>
      </w:r>
      <w:r>
        <w:t xml:space="preserve"> Con una persona, tener tres cosas empezadas y ninguna terminada es el estado más fácil de alcanzar y el menos útil.</w:t>
      </w:r>
    </w:p>
    <w:p>
      <w:pPr>
        <w:spacing w:after="80"/>
        <w:ind w:left="510" w:hanging="510"/>
        <w:jc w:val="left"/>
      </w:pPr>
      <w:r>
        <w:t>2.</w:t>
        <w:tab/>
      </w:r>
      <w:r>
        <w:rPr>
          <w:b/>
        </w:rPr>
        <w:t>«Bloqueada» exige decir por qué y desde cuándo.</w:t>
      </w:r>
      <w:r>
        <w:t xml:space="preserve"> Un bloqueo sin fecha no se resuelve: se olvida.</w:t>
      </w:r>
    </w:p>
    <w:p>
      <w:r>
        <w:t xml:space="preserve">Cada tarjeta lleva épica, criterios de aceptación, sprint, y al cerrarse </w:t>
      </w:r>
      <w:r>
        <w:rPr>
          <w:b/>
        </w:rPr>
        <w:t>el enlace al commit</w:t>
      </w:r>
      <w:r>
        <w:t>. Esa última parte es la que convierte el tablero en evidencia: cada historia terminada se puede seguir hasta el código que la implementa.</w:t>
      </w:r>
    </w:p>
    <w:p>
      <w:r>
        <w:br w:type="page"/>
      </w:r>
    </w:p>
    <w:p>
      <w:pPr>
        <w:pStyle w:val="Heading1"/>
        <w:pBdr>
          <w:bottom w:val="single" w:sz="6" w:space="6" w:color="2F5496"/>
        </w:pBdr>
      </w:pPr>
      <w:r>
        <w:rPr>
          <w:rFonts w:ascii="Calibri" w:hAnsi="Calibri" w:eastAsia="Calibri"/>
        </w:rPr>
        <w:t>Hoja de ruta</w:t>
      </w:r>
    </w:p>
    <w:p>
      <w:pPr>
        <w:spacing w:before="120" w:after="200"/>
        <w:ind w:left="397"/>
        <w:pBdr>
          <w:left w:val="single" w:sz="18" w:space="10" w:color="2F5496"/>
        </w:pBdr>
      </w:pPr>
      <w:r>
        <w:rPr>
          <w:i/>
          <w:color w:val="444444"/>
        </w:rPr>
        <w:t>Trabajo Final de Ingenieria - UAI - Pettini, Patricio Ezequiel (B00072710-T1)</w:t>
      </w:r>
    </w:p>
    <w:p>
      <w:r>
        <w:t>![CI](https://github.com/PatricioPettini/trabajo-final-ingenier-a/actions/workflows/ci.yml) ![](https://img.shields.io/badge/progreso-98%25-2E7D4F?style=flat-square) ![](https://img.shields.io/badge/historias-90%2F92-1F5FA8?style=flat-square) ![](https://img.shields.io/badge/sprints-4%2F10%20cerrados-5B4B8A?style=flat-square) ![](https://img.shields.io/badge/pruebas-361%20+%2091-2E7D4F?style=flat-square) ![](https://img.shields.io/badge/entrega-2026--10--30-A8447A?style=flat-square)</w:t>
      </w:r>
    </w:p>
    <w:p>
      <w:pPr>
        <w:spacing w:before="120" w:after="200"/>
        <w:ind w:left="397"/>
        <w:pBdr>
          <w:left w:val="single" w:sz="18" w:space="10" w:color="2F5496"/>
        </w:pBdr>
      </w:pPr>
      <w:r>
        <w:rPr>
          <w:b/>
          <w:i/>
          <w:color w:val="444444"/>
        </w:rPr>
        <w:t>Nota.</w:t>
      </w:r>
      <w:r>
        <w:rPr>
          <w:i/>
          <w:color w:val="444444"/>
        </w:rPr>
        <w:t xml:space="preserve"> El trabajo se adelanto al calendario. Las fechas de cada sprint son las planificadas en julio y no se retocan; los estados de las historias son lo que efectivamente esta hecho. Al 09/09/2026 estan terminadas todas las de S6, S7, S8 y S10, y las dos que quedan -el ensayo de la defensa y el congelamiento- dependen de fechas que todavia no llegaron. Se deja asi, con la diferencia a la vista, en lugar de correr las fechas hacia atras para que coincidan: un cronograma que se reescribe cada vez que se cumple no sirve para medir nada.</w:t>
      </w:r>
    </w:p>
    <w:p>
      <w:r>
        <w:rPr>
          <w:b/>
        </w:rPr>
        <w:t>Sprint en curso:</w:t>
      </w:r>
      <w:r>
        <w:t xml:space="preserve"> </w:t>
      </w:r>
      <w:r>
        <w:rPr>
          <w:rFonts w:ascii="Consolas" w:hAnsi="Consolas" w:eastAsia="Consolas"/>
          <w:sz w:val="21"/>
        </w:rPr>
        <w:t>S5</w:t>
      </w:r>
      <w:r>
        <w:t xml:space="preserve"> Predictivo, auditoria de arquitectura y CI — cierra el 2026-09-11</w:t>
      </w:r>
    </w:p>
    <w:p>
      <w:pPr>
        <w:spacing w:before="120" w:after="200"/>
        <w:ind w:left="397"/>
        <w:pBdr>
          <w:left w:val="single" w:sz="18" w:space="10" w:color="2F5496"/>
        </w:pBdr>
      </w:pPr>
      <w:r>
        <w:rPr>
          <w:i/>
          <w:color w:val="444444"/>
        </w:rPr>
        <w:t>Que el analisis predictivo funcione solo, que los requisitos de arquitectura de la catedra esten todos cubiertos, y que la verificacion deje de depender de que yo me acuerde de correrla.</w:t>
      </w:r>
    </w:p>
    <w:p>
      <w:pPr>
        <w:pStyle w:val="Heading2"/>
        <w:pBdr>
          <w:bottom w:val="single" w:sz="6" w:space="6" w:color="2F5496"/>
        </w:pBdr>
        <w:spacing w:before="440"/>
      </w:pPr>
      <w:r>
        <w:rPr>
          <w:rFonts w:ascii="Calibri" w:hAnsi="Calibri" w:eastAsia="Calibri"/>
          <w:color w:val="2F5496"/>
        </w:rPr>
        <w:t>Calendario</w:t>
      </w:r>
    </w:p>
    <w:p>
      <w:pPr>
        <w:spacing w:line="240" w:lineRule="auto" w:after="0"/>
        <w:ind w:left="283" w:right="113"/>
        <w:jc w:val="left"/>
        <w:shd w:val="clear" w:fill="F4F6F7"/>
      </w:pPr>
      <w:r>
        <w:rPr>
          <w:rFonts w:ascii="Consolas" w:hAnsi="Consolas" w:eastAsia="Consolas"/>
          <w:sz w:val="19"/>
        </w:rPr>
        <w:t>gantt</w:t>
      </w:r>
    </w:p>
    <w:p>
      <w:pPr>
        <w:spacing w:line="240" w:lineRule="auto" w:after="0"/>
        <w:ind w:left="283" w:right="113"/>
        <w:jc w:val="left"/>
        <w:shd w:val="clear" w:fill="F4F6F7"/>
      </w:pPr>
      <w:r>
        <w:rPr>
          <w:rFonts w:ascii="Consolas" w:hAnsi="Consolas" w:eastAsia="Consolas"/>
          <w:sz w:val="19"/>
        </w:rPr>
        <w:t xml:space="preserve">    title PredictIT — del relevamiento a la entrega</w:t>
      </w:r>
    </w:p>
    <w:p>
      <w:pPr>
        <w:spacing w:line="240" w:lineRule="auto" w:after="0"/>
        <w:ind w:left="283" w:right="113"/>
        <w:jc w:val="left"/>
        <w:shd w:val="clear" w:fill="F4F6F7"/>
      </w:pPr>
      <w:r>
        <w:rPr>
          <w:rFonts w:ascii="Consolas" w:hAnsi="Consolas" w:eastAsia="Consolas"/>
          <w:sz w:val="19"/>
        </w:rPr>
        <w:t xml:space="preserve">    dateFormat YYYY-MM-DD</w:t>
      </w:r>
    </w:p>
    <w:p>
      <w:pPr>
        <w:spacing w:line="240" w:lineRule="auto" w:after="0"/>
        <w:ind w:left="283" w:right="113"/>
        <w:jc w:val="left"/>
        <w:shd w:val="clear" w:fill="F4F6F7"/>
      </w:pPr>
      <w:r>
        <w:rPr>
          <w:rFonts w:ascii="Consolas" w:hAnsi="Consolas" w:eastAsia="Consolas"/>
          <w:sz w:val="19"/>
        </w:rPr>
        <w:t xml:space="preserve">    axisFormat %d/%m</w:t>
      </w:r>
    </w:p>
    <w:p>
      <w:pPr>
        <w:spacing w:line="240" w:lineRule="auto" w:after="0"/>
        <w:ind w:left="283" w:right="113"/>
        <w:jc w:val="left"/>
        <w:shd w:val="clear" w:fill="F4F6F7"/>
      </w:pPr>
      <w:r>
        <w:rPr>
          <w:rFonts w:ascii="Consolas" w:hAnsi="Consolas" w:eastAsia="Consolas"/>
          <w:sz w:val="19"/>
        </w:rPr>
        <w:t xml:space="preserve">    todayMarker stroke-width:3px,stroke:#A03030,opacity:0.6</w:t>
      </w:r>
    </w:p>
    <w:p>
      <w:pPr>
        <w:spacing w:line="240" w:lineRule="auto" w:after="0"/>
        <w:ind w:left="283" w:right="113"/>
        <w:jc w:val="left"/>
        <w:shd w:val="clear" w:fill="F4F6F7"/>
      </w:pPr>
      <w:r>
        <w:rPr>
          <w:rFonts w:ascii="Consolas" w:hAnsi="Consolas" w:eastAsia="Consolas"/>
          <w:sz w:val="19"/>
        </w:rPr>
        <w:t xml:space="preserve"> </w:t>
      </w:r>
    </w:p>
    <w:p>
      <w:pPr>
        <w:spacing w:line="240" w:lineRule="auto" w:after="0"/>
        <w:ind w:left="283" w:right="113"/>
        <w:jc w:val="left"/>
        <w:shd w:val="clear" w:fill="F4F6F7"/>
      </w:pPr>
      <w:r>
        <w:rPr>
          <w:rFonts w:ascii="Consolas" w:hAnsi="Consolas" w:eastAsia="Consolas"/>
          <w:sz w:val="19"/>
        </w:rPr>
        <w:t xml:space="preserve">    section Construido</w:t>
      </w:r>
    </w:p>
    <w:p>
      <w:pPr>
        <w:spacing w:line="240" w:lineRule="auto" w:after="0"/>
        <w:ind w:left="283" w:right="113"/>
        <w:jc w:val="left"/>
        <w:shd w:val="clear" w:fill="F4F6F7"/>
      </w:pPr>
      <w:r>
        <w:rPr>
          <w:rFonts w:ascii="Consolas" w:hAnsi="Consolas" w:eastAsia="Consolas"/>
          <w:sz w:val="19"/>
        </w:rPr>
        <w:t xml:space="preserve">    S1 · Relevamiento, arquitectura y entorno :done, 2026-07-06, 2026-07-17</w:t>
      </w:r>
    </w:p>
    <w:p>
      <w:pPr>
        <w:spacing w:line="240" w:lineRule="auto" w:after="0"/>
        <w:ind w:left="283" w:right="113"/>
        <w:jc w:val="left"/>
        <w:shd w:val="clear" w:fill="F4F6F7"/>
      </w:pPr>
      <w:r>
        <w:rPr>
          <w:rFonts w:ascii="Consolas" w:hAnsi="Consolas" w:eastAsia="Consolas"/>
          <w:sz w:val="19"/>
        </w:rPr>
        <w:t xml:space="preserve">    S2 · Modelo de datos, DAO y patrones :done, 2026-07-20, 2026-07-31</w:t>
      </w:r>
    </w:p>
    <w:p>
      <w:pPr>
        <w:spacing w:line="240" w:lineRule="auto" w:after="0"/>
        <w:ind w:left="283" w:right="113"/>
        <w:jc w:val="left"/>
        <w:shd w:val="clear" w:fill="F4F6F7"/>
      </w:pPr>
      <w:r>
        <w:rPr>
          <w:rFonts w:ascii="Consolas" w:hAnsi="Consolas" w:eastAsia="Consolas"/>
          <w:sz w:val="19"/>
        </w:rPr>
        <w:t xml:space="preserve">    S3 · Seguridad :done, 2026-08-03, 2026-08-14</w:t>
      </w:r>
    </w:p>
    <w:p>
      <w:pPr>
        <w:spacing w:line="240" w:lineRule="auto" w:after="0"/>
        <w:ind w:left="283" w:right="113"/>
        <w:jc w:val="left"/>
        <w:shd w:val="clear" w:fill="F4F6F7"/>
      </w:pPr>
      <w:r>
        <w:rPr>
          <w:rFonts w:ascii="Consolas" w:hAnsi="Consolas" w:eastAsia="Consolas"/>
          <w:sz w:val="19"/>
        </w:rPr>
        <w:t xml:space="preserve">    S4 · Nucleo funcional :done, 2026-08-17, 2026-08-28</w:t>
      </w:r>
    </w:p>
    <w:p>
      <w:pPr>
        <w:spacing w:line="240" w:lineRule="auto" w:after="0"/>
        <w:ind w:left="283" w:right="113"/>
        <w:jc w:val="left"/>
        <w:shd w:val="clear" w:fill="F4F6F7"/>
      </w:pPr>
      <w:r>
        <w:rPr>
          <w:rFonts w:ascii="Consolas" w:hAnsi="Consolas" w:eastAsia="Consolas"/>
          <w:sz w:val="19"/>
        </w:rPr>
        <w:t xml:space="preserve"> </w:t>
      </w:r>
    </w:p>
    <w:p>
      <w:pPr>
        <w:spacing w:line="240" w:lineRule="auto" w:after="0"/>
        <w:ind w:left="283" w:right="113"/>
        <w:jc w:val="left"/>
        <w:shd w:val="clear" w:fill="F4F6F7"/>
      </w:pPr>
      <w:r>
        <w:rPr>
          <w:rFonts w:ascii="Consolas" w:hAnsi="Consolas" w:eastAsia="Consolas"/>
          <w:sz w:val="19"/>
        </w:rPr>
        <w:t xml:space="preserve">    section En curso</w:t>
      </w:r>
    </w:p>
    <w:p>
      <w:pPr>
        <w:spacing w:line="240" w:lineRule="auto" w:after="0"/>
        <w:ind w:left="283" w:right="113"/>
        <w:jc w:val="left"/>
        <w:shd w:val="clear" w:fill="F4F6F7"/>
      </w:pPr>
      <w:r>
        <w:rPr>
          <w:rFonts w:ascii="Consolas" w:hAnsi="Consolas" w:eastAsia="Consolas"/>
          <w:sz w:val="19"/>
        </w:rPr>
        <w:t xml:space="preserve">    S5 · Predictivo, auditoria de arquitectura y CI :active, 2026-08-31, 2026-09-11</w:t>
      </w:r>
    </w:p>
    <w:p>
      <w:pPr>
        <w:spacing w:line="240" w:lineRule="auto" w:after="0"/>
        <w:ind w:left="283" w:right="113"/>
        <w:jc w:val="left"/>
        <w:shd w:val="clear" w:fill="F4F6F7"/>
      </w:pPr>
      <w:r>
        <w:rPr>
          <w:rFonts w:ascii="Consolas" w:hAnsi="Consolas" w:eastAsia="Consolas"/>
          <w:sz w:val="19"/>
        </w:rPr>
        <w:t xml:space="preserve"> </w:t>
      </w:r>
    </w:p>
    <w:p>
      <w:pPr>
        <w:spacing w:line="240" w:lineRule="auto" w:after="0"/>
        <w:ind w:left="283" w:right="113"/>
        <w:jc w:val="left"/>
        <w:shd w:val="clear" w:fill="F4F6F7"/>
      </w:pPr>
      <w:r>
        <w:rPr>
          <w:rFonts w:ascii="Consolas" w:hAnsi="Consolas" w:eastAsia="Consolas"/>
          <w:sz w:val="19"/>
        </w:rPr>
        <w:t xml:space="preserve">    section Planificado</w:t>
      </w:r>
    </w:p>
    <w:p>
      <w:pPr>
        <w:spacing w:line="240" w:lineRule="auto" w:after="0"/>
        <w:ind w:left="283" w:right="113"/>
        <w:jc w:val="left"/>
        <w:shd w:val="clear" w:fill="F4F6F7"/>
      </w:pPr>
      <w:r>
        <w:rPr>
          <w:rFonts w:ascii="Consolas" w:hAnsi="Consolas" w:eastAsia="Consolas"/>
          <w:sz w:val="19"/>
        </w:rPr>
        <w:t xml:space="preserve">    S6 · Multiidioma en la interfaz y sistema visual :2026-09-14, 2026-09-25</w:t>
      </w:r>
    </w:p>
    <w:p>
      <w:pPr>
        <w:spacing w:line="240" w:lineRule="auto" w:after="0"/>
        <w:ind w:left="283" w:right="113"/>
        <w:jc w:val="left"/>
        <w:shd w:val="clear" w:fill="F4F6F7"/>
      </w:pPr>
      <w:r>
        <w:rPr>
          <w:rFonts w:ascii="Consolas" w:hAnsi="Consolas" w:eastAsia="Consolas"/>
          <w:sz w:val="19"/>
        </w:rPr>
        <w:t xml:space="preserve">    S7 · Pantallas, calidad y deuda :2026-09-28, 2026-10-09</w:t>
      </w:r>
    </w:p>
    <w:p>
      <w:pPr>
        <w:spacing w:line="240" w:lineRule="auto" w:after="0"/>
        <w:ind w:left="283" w:right="113"/>
        <w:jc w:val="left"/>
        <w:shd w:val="clear" w:fill="F4F6F7"/>
      </w:pPr>
      <w:r>
        <w:rPr>
          <w:rFonts w:ascii="Consolas" w:hAnsi="Consolas" w:eastAsia="Consolas"/>
          <w:sz w:val="19"/>
        </w:rPr>
        <w:t xml:space="preserve">    S8 · Endurecimiento, producto y documentacion :2026-10-12, 2026-10-23</w:t>
      </w:r>
    </w:p>
    <w:p>
      <w:pPr>
        <w:spacing w:line="240" w:lineRule="auto" w:after="0"/>
        <w:ind w:left="283" w:right="113"/>
        <w:jc w:val="left"/>
        <w:shd w:val="clear" w:fill="F4F6F7"/>
      </w:pPr>
      <w:r>
        <w:rPr>
          <w:rFonts w:ascii="Consolas" w:hAnsi="Consolas" w:eastAsia="Consolas"/>
          <w:sz w:val="19"/>
        </w:rPr>
        <w:t xml:space="preserve">    S9 · Cierre y entrega :crit, 2026-10-26, 2026-10-30</w:t>
      </w:r>
    </w:p>
    <w:p>
      <w:pPr>
        <w:spacing w:line="240" w:lineRule="auto" w:after="0"/>
        <w:ind w:left="283" w:right="113"/>
        <w:jc w:val="left"/>
        <w:shd w:val="clear" w:fill="F4F6F7"/>
      </w:pPr>
      <w:r>
        <w:rPr>
          <w:rFonts w:ascii="Consolas" w:hAnsi="Consolas" w:eastAsia="Consolas"/>
          <w:sz w:val="19"/>
        </w:rPr>
        <w:t xml:space="preserve">    S10 · Correcciones finales :2026-10-31, 2026-11-28</w:t>
      </w:r>
    </w:p>
    <w:p>
      <w:pPr>
        <w:spacing w:line="240" w:lineRule="auto" w:after="0"/>
        <w:ind w:left="283" w:right="113"/>
        <w:jc w:val="left"/>
        <w:shd w:val="clear" w:fill="F4F6F7"/>
      </w:pPr>
      <w:r>
        <w:rPr>
          <w:rFonts w:ascii="Consolas" w:hAnsi="Consolas" w:eastAsia="Consolas"/>
          <w:sz w:val="19"/>
        </w:rPr>
        <w:t xml:space="preserve"> </w:t>
      </w:r>
    </w:p>
    <w:p>
      <w:pPr>
        <w:spacing w:line="240" w:lineRule="auto" w:after="0"/>
        <w:ind w:left="283" w:right="113"/>
        <w:jc w:val="left"/>
        <w:shd w:val="clear" w:fill="F4F6F7"/>
      </w:pPr>
      <w:r>
        <w:rPr>
          <w:rFonts w:ascii="Consolas" w:hAnsi="Consolas" w:eastAsia="Consolas"/>
          <w:sz w:val="19"/>
        </w:rPr>
        <w:t xml:space="preserve">    section Después de la entrega</w:t>
      </w:r>
    </w:p>
    <w:p>
      <w:pPr>
        <w:spacing w:line="240" w:lineRule="auto" w:after="0"/>
        <w:ind w:left="283" w:right="113"/>
        <w:jc w:val="left"/>
        <w:shd w:val="clear" w:fill="F4F6F7"/>
      </w:pPr>
      <w:r>
        <w:rPr>
          <w:rFonts w:ascii="Consolas" w:hAnsi="Consolas" w:eastAsia="Consolas"/>
          <w:sz w:val="19"/>
        </w:rPr>
        <w:t xml:space="preserve">    Correcciones y ajustes finales :2026-11-02, 2026-11-27</w:t>
      </w:r>
    </w:p>
    <w:p>
      <w:pPr>
        <w:pStyle w:val="Heading2"/>
        <w:pBdr>
          <w:bottom w:val="single" w:sz="6" w:space="6" w:color="2F5496"/>
        </w:pBdr>
        <w:spacing w:before="440"/>
      </w:pPr>
      <w:r>
        <w:rPr>
          <w:rFonts w:ascii="Calibri" w:hAnsi="Calibri" w:eastAsia="Calibri"/>
          <w:color w:val="2F5496"/>
        </w:rPr>
        <w:t>Avance por épica</w:t>
      </w:r>
    </w:p>
    <w:tbl>
      <w:tblPr>
        <w:tblW w:type="auto" w:w="0"/>
        <w:jc w:val="center"/>
        <w:tblLook w:firstColumn="1" w:firstRow="1" w:lastColumn="0" w:lastRow="0" w:noHBand="0" w:noVBand="1" w:val="04A0"/>
      </w:tblPr>
      <w:tblGrid>
        <w:gridCol w:w="1872"/>
        <w:gridCol w:w="1872"/>
        <w:gridCol w:w="1872"/>
        <w:gridCol w:w="1872"/>
        <w:gridCol w:w="1872"/>
      </w:tblGrid>
      <w:tr>
        <w:trPr>
          <w:tblHeader w:val="true"/>
          <w:cantSplit w:val="true"/>
        </w:trPr>
        <w:tc>
          <w:tcPr>
            <w:tcW w:type="dxa" w:w="1872"/>
            <w:tcBorders>
              <w:top w:val="single" w:sz="4" w:color="BFBFBF"/>
              <w:left w:val="single" w:sz="4" w:color="BFBFBF"/>
              <w:bottom w:val="single" w:sz="4" w:color="BFBFBF"/>
              <w:right w:val="single" w:sz="4" w:color="BFBFBF"/>
            </w:tcBorders>
            <w:shd w:val="clear" w:fill="EDF3F4"/>
          </w:tcPr>
          <w:p>
            <w:pPr>
              <w:keepNext/>
              <w:spacing w:line="240" w:lineRule="auto" w:after="40"/>
              <w:jc w:val="left"/>
            </w:pPr>
          </w:p>
        </w:tc>
        <w:tc>
          <w:tcPr>
            <w:tcW w:type="dxa" w:w="1872"/>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Épica</w:t>
            </w:r>
          </w:p>
        </w:tc>
        <w:tc>
          <w:tcPr>
            <w:tcW w:type="dxa" w:w="1872"/>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Avance</w:t>
            </w:r>
          </w:p>
        </w:tc>
        <w:tc>
          <w:tcPr>
            <w:tcW w:type="dxa" w:w="1872"/>
            <w:tcBorders>
              <w:top w:val="single" w:sz="4" w:color="BFBFBF"/>
              <w:left w:val="single" w:sz="4" w:color="BFBFBF"/>
              <w:bottom w:val="single" w:sz="4" w:color="BFBFBF"/>
              <w:right w:val="single" w:sz="4" w:color="BFBFBF"/>
            </w:tcBorders>
            <w:shd w:val="clear" w:fill="EDF3F4"/>
          </w:tcPr>
          <w:p>
            <w:pPr>
              <w:keepNext/>
              <w:spacing w:line="240" w:lineRule="auto" w:after="40"/>
              <w:jc w:val="left"/>
            </w:pPr>
          </w:p>
        </w:tc>
        <w:tc>
          <w:tcPr>
            <w:tcW w:type="dxa" w:w="1872"/>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Por qué existe</w:t>
            </w:r>
          </w:p>
        </w:tc>
      </w:tr>
      <w:tr>
        <w:trPr>
          <w:cantSplit w:val="true"/>
        </w:trPr>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E1</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Arquitectura y entorno</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10/10</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Es lo que evalua la catedra y condiciona todo lo demas</w:t>
            </w:r>
          </w:p>
        </w:tc>
      </w:tr>
      <w:tr>
        <w:trPr>
          <w:cantSplit w:val="true"/>
        </w:trPr>
        <w:tc>
          <w:tcPr>
            <w:tcW w:type="dxa" w:w="1872"/>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E2</w:t>
            </w:r>
          </w:p>
        </w:tc>
        <w:tc>
          <w:tcPr>
            <w:tcW w:type="dxa" w:w="1872"/>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Seguridad</w:t>
            </w:r>
          </w:p>
        </w:tc>
        <w:tc>
          <w:tcPr>
            <w:tcW w:type="dxa" w:w="1872"/>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w:t>
            </w:r>
          </w:p>
        </w:tc>
        <w:tc>
          <w:tcPr>
            <w:tcW w:type="dxa" w:w="1872"/>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14/14</w:t>
            </w:r>
          </w:p>
        </w:tc>
        <w:tc>
          <w:tcPr>
            <w:tcW w:type="dxa" w:w="1872"/>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Req. Arq. 002 y 004, y el modelo Familia/Patente</w:t>
            </w:r>
          </w:p>
        </w:tc>
      </w:tr>
      <w:tr>
        <w:trPr>
          <w:cantSplit w:val="true"/>
        </w:trPr>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E3</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Nucleo funcional</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10/10</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Los CU-001 a CU-013 del documento</w:t>
            </w:r>
          </w:p>
        </w:tc>
      </w:tr>
      <w:tr>
        <w:trPr>
          <w:cantSplit w:val="true"/>
        </w:trPr>
        <w:tc>
          <w:tcPr>
            <w:tcW w:type="dxa" w:w="1872"/>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E4</w:t>
            </w:r>
          </w:p>
        </w:tc>
        <w:tc>
          <w:tcPr>
            <w:tcW w:type="dxa" w:w="1872"/>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Analisis predictivo e IA</w:t>
            </w:r>
          </w:p>
        </w:tc>
        <w:tc>
          <w:tcPr>
            <w:tcW w:type="dxa" w:w="1872"/>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w:t>
            </w:r>
          </w:p>
        </w:tc>
        <w:tc>
          <w:tcPr>
            <w:tcW w:type="dxa" w:w="1872"/>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4/4</w:t>
            </w:r>
          </w:p>
        </w:tc>
        <w:tc>
          <w:tcPr>
            <w:tcW w:type="dxa" w:w="1872"/>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Es lo que distingue al sistema de un ticketing</w:t>
            </w:r>
          </w:p>
        </w:tc>
      </w:tr>
      <w:tr>
        <w:trPr>
          <w:cantSplit w:val="true"/>
        </w:trPr>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E5</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Integracion continua</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3/3</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Que la verificacion no dependa de que yo me acuerde</w:t>
            </w:r>
          </w:p>
        </w:tc>
      </w:tr>
      <w:tr>
        <w:trPr>
          <w:cantSplit w:val="true"/>
        </w:trPr>
        <w:tc>
          <w:tcPr>
            <w:tcW w:type="dxa" w:w="1872"/>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E6</w:t>
            </w:r>
          </w:p>
        </w:tc>
        <w:tc>
          <w:tcPr>
            <w:tcW w:type="dxa" w:w="1872"/>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Multiidioma e interfaz</w:t>
            </w:r>
          </w:p>
        </w:tc>
        <w:tc>
          <w:tcPr>
            <w:tcW w:type="dxa" w:w="1872"/>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w:t>
            </w:r>
          </w:p>
        </w:tc>
        <w:tc>
          <w:tcPr>
            <w:tcW w:type="dxa" w:w="1872"/>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9/9</w:t>
            </w:r>
          </w:p>
        </w:tc>
        <w:tc>
          <w:tcPr>
            <w:tcW w:type="dxa" w:w="1872"/>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Req. Arq. 001, y la defensa visual</w:t>
            </w:r>
          </w:p>
        </w:tc>
      </w:tr>
      <w:tr>
        <w:trPr>
          <w:cantSplit w:val="true"/>
        </w:trPr>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E7</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Calidad demostrable</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8/8</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Que un tercero pueda ver que las pruebas cubren lo que el documento promete</w:t>
            </w:r>
          </w:p>
        </w:tc>
      </w:tr>
      <w:tr>
        <w:trPr>
          <w:cantSplit w:val="true"/>
        </w:trPr>
        <w:tc>
          <w:tcPr>
            <w:tcW w:type="dxa" w:w="1872"/>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onsolas" w:hAnsi="Consolas" w:eastAsia="Consolas"/>
                <w:sz w:val="19"/>
              </w:rPr>
              <w:t>E8</w:t>
            </w:r>
          </w:p>
        </w:tc>
        <w:tc>
          <w:tcPr>
            <w:tcW w:type="dxa" w:w="1872"/>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Producto y documentacion</w:t>
            </w:r>
          </w:p>
        </w:tc>
        <w:tc>
          <w:tcPr>
            <w:tcW w:type="dxa" w:w="1872"/>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onsolas" w:hAnsi="Consolas" w:eastAsia="Consolas"/>
                <w:sz w:val="19"/>
              </w:rPr>
              <w:t>█████████████░</w:t>
            </w:r>
          </w:p>
        </w:tc>
        <w:tc>
          <w:tcPr>
            <w:tcW w:type="dxa" w:w="1872"/>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29/31</w:t>
            </w:r>
          </w:p>
        </w:tc>
        <w:tc>
          <w:tcPr>
            <w:tcW w:type="dxa" w:w="1872"/>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Es la mitad de la nota</w:t>
            </w:r>
          </w:p>
        </w:tc>
      </w:tr>
      <w:tr>
        <w:trPr>
          <w:cantSplit w:val="true"/>
        </w:trPr>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E9</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Deuda tecnica</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3/3</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Lo que se que esta mal y todavia no arregle</w:t>
            </w:r>
          </w:p>
        </w:tc>
      </w:tr>
    </w:tbl>
    <w:p>
      <w:pPr>
        <w:spacing w:after="80"/>
      </w:pPr>
    </w:p>
    <w:p>
      <w:pPr>
        <w:pStyle w:val="Heading2"/>
        <w:pBdr>
          <w:bottom w:val="single" w:sz="6" w:space="6" w:color="2F5496"/>
        </w:pBdr>
        <w:spacing w:before="440"/>
      </w:pPr>
      <w:r>
        <w:rPr>
          <w:rFonts w:ascii="Calibri" w:hAnsi="Calibri" w:eastAsia="Calibri"/>
          <w:color w:val="2F5496"/>
        </w:rPr>
        <w:t>Reparto del backlog</w:t>
      </w:r>
    </w:p>
    <w:p>
      <w:pPr>
        <w:spacing w:line="240" w:lineRule="auto" w:after="0"/>
        <w:ind w:left="283" w:right="113"/>
        <w:jc w:val="left"/>
        <w:shd w:val="clear" w:fill="F4F6F7"/>
      </w:pPr>
      <w:r>
        <w:rPr>
          <w:rFonts w:ascii="Consolas" w:hAnsi="Consolas" w:eastAsia="Consolas"/>
          <w:sz w:val="19"/>
        </w:rPr>
        <w:t>pie showData</w:t>
      </w:r>
    </w:p>
    <w:p>
      <w:pPr>
        <w:spacing w:line="240" w:lineRule="auto" w:after="0"/>
        <w:ind w:left="283" w:right="113"/>
        <w:jc w:val="left"/>
        <w:shd w:val="clear" w:fill="F4F6F7"/>
      </w:pPr>
      <w:r>
        <w:rPr>
          <w:rFonts w:ascii="Consolas" w:hAnsi="Consolas" w:eastAsia="Consolas"/>
          <w:sz w:val="19"/>
        </w:rPr>
        <w:t xml:space="preserve">    title Historias por estado</w:t>
      </w:r>
    </w:p>
    <w:p>
      <w:pPr>
        <w:spacing w:line="240" w:lineRule="auto" w:after="0"/>
        <w:ind w:left="283" w:right="113"/>
        <w:jc w:val="left"/>
        <w:shd w:val="clear" w:fill="F4F6F7"/>
      </w:pPr>
      <w:r>
        <w:rPr>
          <w:rFonts w:ascii="Consolas" w:hAnsi="Consolas" w:eastAsia="Consolas"/>
          <w:sz w:val="19"/>
        </w:rPr>
        <w:t xml:space="preserve">    "Terminada" : 90</w:t>
      </w:r>
    </w:p>
    <w:p>
      <w:pPr>
        <w:spacing w:line="240" w:lineRule="auto" w:after="0"/>
        <w:ind w:left="283" w:right="113"/>
        <w:jc w:val="left"/>
        <w:shd w:val="clear" w:fill="F4F6F7"/>
      </w:pPr>
      <w:r>
        <w:rPr>
          <w:rFonts w:ascii="Consolas" w:hAnsi="Consolas" w:eastAsia="Consolas"/>
          <w:sz w:val="19"/>
        </w:rPr>
        <w:t xml:space="preserve">    "Pendiente" : 2</w:t>
      </w:r>
    </w:p>
    <w:p>
      <w:pPr>
        <w:spacing w:line="240" w:lineRule="auto" w:after="0"/>
        <w:ind w:left="283" w:right="113"/>
        <w:jc w:val="left"/>
        <w:shd w:val="clear" w:fill="F4F6F7"/>
      </w:pPr>
      <w:r>
        <w:rPr>
          <w:rFonts w:ascii="Consolas" w:hAnsi="Consolas" w:eastAsia="Consolas"/>
          <w:sz w:val="19"/>
        </w:rPr>
        <w:t>pie showData</w:t>
      </w:r>
    </w:p>
    <w:p>
      <w:pPr>
        <w:spacing w:line="240" w:lineRule="auto" w:after="0"/>
        <w:ind w:left="283" w:right="113"/>
        <w:jc w:val="left"/>
        <w:shd w:val="clear" w:fill="F4F6F7"/>
      </w:pPr>
      <w:r>
        <w:rPr>
          <w:rFonts w:ascii="Consolas" w:hAnsi="Consolas" w:eastAsia="Consolas"/>
          <w:sz w:val="19"/>
        </w:rPr>
        <w:t xml:space="preserve">    title Historias por épica</w:t>
      </w:r>
    </w:p>
    <w:p>
      <w:pPr>
        <w:spacing w:line="240" w:lineRule="auto" w:after="0"/>
        <w:ind w:left="283" w:right="113"/>
        <w:jc w:val="left"/>
        <w:shd w:val="clear" w:fill="F4F6F7"/>
      </w:pPr>
      <w:r>
        <w:rPr>
          <w:rFonts w:ascii="Consolas" w:hAnsi="Consolas" w:eastAsia="Consolas"/>
          <w:sz w:val="19"/>
        </w:rPr>
        <w:t xml:space="preserve">    "Arquitectura y entorno" : 10</w:t>
      </w:r>
    </w:p>
    <w:p>
      <w:pPr>
        <w:spacing w:line="240" w:lineRule="auto" w:after="0"/>
        <w:ind w:left="283" w:right="113"/>
        <w:jc w:val="left"/>
        <w:shd w:val="clear" w:fill="F4F6F7"/>
      </w:pPr>
      <w:r>
        <w:rPr>
          <w:rFonts w:ascii="Consolas" w:hAnsi="Consolas" w:eastAsia="Consolas"/>
          <w:sz w:val="19"/>
        </w:rPr>
        <w:t xml:space="preserve">    "Seguridad" : 14</w:t>
      </w:r>
    </w:p>
    <w:p>
      <w:pPr>
        <w:spacing w:line="240" w:lineRule="auto" w:after="0"/>
        <w:ind w:left="283" w:right="113"/>
        <w:jc w:val="left"/>
        <w:shd w:val="clear" w:fill="F4F6F7"/>
      </w:pPr>
      <w:r>
        <w:rPr>
          <w:rFonts w:ascii="Consolas" w:hAnsi="Consolas" w:eastAsia="Consolas"/>
          <w:sz w:val="19"/>
        </w:rPr>
        <w:t xml:space="preserve">    "Nucleo funcional" : 10</w:t>
      </w:r>
    </w:p>
    <w:p>
      <w:pPr>
        <w:spacing w:line="240" w:lineRule="auto" w:after="0"/>
        <w:ind w:left="283" w:right="113"/>
        <w:jc w:val="left"/>
        <w:shd w:val="clear" w:fill="F4F6F7"/>
      </w:pPr>
      <w:r>
        <w:rPr>
          <w:rFonts w:ascii="Consolas" w:hAnsi="Consolas" w:eastAsia="Consolas"/>
          <w:sz w:val="19"/>
        </w:rPr>
        <w:t xml:space="preserve">    "Analisis predictivo e IA" : 4</w:t>
      </w:r>
    </w:p>
    <w:p>
      <w:pPr>
        <w:spacing w:line="240" w:lineRule="auto" w:after="0"/>
        <w:ind w:left="283" w:right="113"/>
        <w:jc w:val="left"/>
        <w:shd w:val="clear" w:fill="F4F6F7"/>
      </w:pPr>
      <w:r>
        <w:rPr>
          <w:rFonts w:ascii="Consolas" w:hAnsi="Consolas" w:eastAsia="Consolas"/>
          <w:sz w:val="19"/>
        </w:rPr>
        <w:t xml:space="preserve">    "Integracion continua" : 3</w:t>
      </w:r>
    </w:p>
    <w:p>
      <w:pPr>
        <w:spacing w:line="240" w:lineRule="auto" w:after="0"/>
        <w:ind w:left="283" w:right="113"/>
        <w:jc w:val="left"/>
        <w:shd w:val="clear" w:fill="F4F6F7"/>
      </w:pPr>
      <w:r>
        <w:rPr>
          <w:rFonts w:ascii="Consolas" w:hAnsi="Consolas" w:eastAsia="Consolas"/>
          <w:sz w:val="19"/>
        </w:rPr>
        <w:t xml:space="preserve">    "Multiidioma e interfaz" : 9</w:t>
      </w:r>
    </w:p>
    <w:p>
      <w:pPr>
        <w:spacing w:line="240" w:lineRule="auto" w:after="0"/>
        <w:ind w:left="283" w:right="113"/>
        <w:jc w:val="left"/>
        <w:shd w:val="clear" w:fill="F4F6F7"/>
      </w:pPr>
      <w:r>
        <w:rPr>
          <w:rFonts w:ascii="Consolas" w:hAnsi="Consolas" w:eastAsia="Consolas"/>
          <w:sz w:val="19"/>
        </w:rPr>
        <w:t xml:space="preserve">    "Calidad demostrable" : 8</w:t>
      </w:r>
    </w:p>
    <w:p>
      <w:pPr>
        <w:spacing w:line="240" w:lineRule="auto" w:after="0"/>
        <w:ind w:left="283" w:right="113"/>
        <w:jc w:val="left"/>
        <w:shd w:val="clear" w:fill="F4F6F7"/>
      </w:pPr>
      <w:r>
        <w:rPr>
          <w:rFonts w:ascii="Consolas" w:hAnsi="Consolas" w:eastAsia="Consolas"/>
          <w:sz w:val="19"/>
        </w:rPr>
        <w:t xml:space="preserve">    "Producto y documentacion" : 31</w:t>
      </w:r>
    </w:p>
    <w:p>
      <w:pPr>
        <w:spacing w:line="240" w:lineRule="auto" w:after="0"/>
        <w:ind w:left="283" w:right="113"/>
        <w:jc w:val="left"/>
        <w:shd w:val="clear" w:fill="F4F6F7"/>
      </w:pPr>
      <w:r>
        <w:rPr>
          <w:rFonts w:ascii="Consolas" w:hAnsi="Consolas" w:eastAsia="Consolas"/>
          <w:sz w:val="19"/>
        </w:rPr>
        <w:t xml:space="preserve">    "Deuda tecnica" : 3</w:t>
      </w:r>
    </w:p>
    <w:p>
      <w:pPr>
        <w:pStyle w:val="Heading2"/>
        <w:pBdr>
          <w:bottom w:val="single" w:sz="6" w:space="6" w:color="2F5496"/>
        </w:pBdr>
        <w:spacing w:before="440"/>
      </w:pPr>
      <w:r>
        <w:rPr>
          <w:rFonts w:ascii="Calibri" w:hAnsi="Calibri" w:eastAsia="Calibri"/>
          <w:color w:val="2F5496"/>
        </w:rPr>
        <w:t>Sprints</w:t>
      </w:r>
    </w:p>
    <w:p>
      <w:pPr>
        <w:pStyle w:val="Heading3"/>
      </w:pPr>
      <w:r>
        <w:rPr>
          <w:rFonts w:ascii="Calibri" w:hAnsi="Calibri" w:eastAsia="Calibri"/>
        </w:rPr>
        <w:t xml:space="preserve">[x] </w:t>
      </w:r>
      <w:r>
        <w:rPr>
          <w:rFonts w:ascii="Calibri" w:hAnsi="Calibri" w:eastAsia="Calibri"/>
          <w:sz w:val="21"/>
        </w:rPr>
        <w:t>S1</w:t>
      </w:r>
      <w:r>
        <w:rPr>
          <w:rFonts w:ascii="Calibri" w:hAnsi="Calibri" w:eastAsia="Calibri"/>
        </w:rPr>
        <w:t xml:space="preserve"> · Relevamiento, arquitectura y entorno</w:t>
      </w:r>
    </w:p>
    <w:p>
      <w:r>
        <w:rPr>
          <w:rFonts w:ascii="Consolas" w:hAnsi="Consolas" w:eastAsia="Consolas"/>
          <w:sz w:val="21"/>
        </w:rPr>
        <w:t>██████████████</w:t>
      </w:r>
      <w:r>
        <w:t xml:space="preserve">  </w:t>
      </w:r>
      <w:r>
        <w:rPr>
          <w:b/>
        </w:rPr>
        <w:t>5/5</w:t>
      </w:r>
      <w:r>
        <w:t xml:space="preserve">  ·  2026-07-06 a 2026-07-17</w:t>
      </w:r>
    </w:p>
    <w:p>
      <w:pPr>
        <w:spacing w:before="120" w:after="200"/>
        <w:ind w:left="397"/>
        <w:pBdr>
          <w:left w:val="single" w:sz="18" w:space="10" w:color="2F5496"/>
        </w:pBdr>
      </w:pPr>
      <w:r>
        <w:rPr>
          <w:b/>
          <w:i/>
          <w:color w:val="444444"/>
        </w:rPr>
        <w:t>Objetivo.</w:t>
      </w:r>
      <w:r>
        <w:rPr>
          <w:i/>
          <w:color w:val="444444"/>
        </w:rPr>
        <w:t xml:space="preserve"> Decidir la arquitectura y dejarla firmada antes de escribir la primera linea de negocio.</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Historia</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Épica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H-01</w:t>
            </w:r>
            <w:r>
              <w:rPr>
                <w:rFonts w:ascii="Calibri" w:hAnsi="Calibri" w:eastAsia="Calibri"/>
                <w:sz w:val="20"/>
              </w:rPr>
              <w:t xml:space="preserve"> Migrar el stack de Java/Spring a C#/.NET</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E1</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H-02</w:t>
            </w:r>
            <w:r>
              <w:rPr>
                <w:rFonts w:ascii="Calibri" w:hAnsi="Calibri" w:eastAsia="Calibri"/>
                <w:sz w:val="20"/>
              </w:rPr>
              <w:t xml:space="preserve"> Separar negocio de seguridad en dos bases</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E1</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H-03</w:t>
            </w:r>
            <w:r>
              <w:rPr>
                <w:rFonts w:ascii="Calibri" w:hAnsi="Calibri" w:eastAsia="Calibri"/>
                <w:sz w:val="20"/>
              </w:rPr>
              <w:t xml:space="preserve"> Acceso a datos con DAO explicito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E1</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H-04</w:t>
            </w:r>
            <w:r>
              <w:rPr>
                <w:rFonts w:ascii="Calibri" w:hAnsi="Calibri" w:eastAsia="Calibri"/>
                <w:sz w:val="20"/>
              </w:rPr>
              <w:t xml:space="preserve"> Multi-organizacion desde el modelo de datos</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onsolas" w:hAnsi="Consolas" w:eastAsia="Consolas"/>
                <w:sz w:val="19"/>
              </w:rPr>
              <w:t>E1</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H-05</w:t>
            </w:r>
            <w:r>
              <w:rPr>
                <w:rFonts w:ascii="Calibri" w:hAnsi="Calibri" w:eastAsia="Calibri"/>
                <w:sz w:val="20"/>
              </w:rPr>
              <w:t xml:space="preserve"> Esqueleto de las cinco capas y la base en Docker</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E1</w:t>
            </w:r>
          </w:p>
        </w:tc>
      </w:tr>
    </w:tbl>
    <w:p>
      <w:pPr>
        <w:spacing w:after="80"/>
      </w:pPr>
    </w:p>
    <w:p>
      <w:r>
        <w:rPr>
          <w:b/>
        </w:rPr>
        <w:t>Retrospectiva.</w:t>
      </w:r>
      <w:r>
        <w:t xml:space="preserve"> La decision que mas rindio fue escribir los ADR antes del codigo: cuando despues aparecio la tentacion de usar EF Core para ir mas rapido, el motivo por el cual no ya estaba escrito.</w:t>
      </w:r>
    </w:p>
    <w:p>
      <w:pPr>
        <w:pStyle w:val="Heading3"/>
      </w:pPr>
      <w:r>
        <w:rPr>
          <w:rFonts w:ascii="Calibri" w:hAnsi="Calibri" w:eastAsia="Calibri"/>
        </w:rPr>
        <w:t xml:space="preserve">[x] </w:t>
      </w:r>
      <w:r>
        <w:rPr>
          <w:rFonts w:ascii="Calibri" w:hAnsi="Calibri" w:eastAsia="Calibri"/>
          <w:sz w:val="21"/>
        </w:rPr>
        <w:t>S2</w:t>
      </w:r>
      <w:r>
        <w:rPr>
          <w:rFonts w:ascii="Calibri" w:hAnsi="Calibri" w:eastAsia="Calibri"/>
        </w:rPr>
        <w:t xml:space="preserve"> · Modelo de datos, DAO y patrones</w:t>
      </w:r>
    </w:p>
    <w:p>
      <w:r>
        <w:rPr>
          <w:rFonts w:ascii="Consolas" w:hAnsi="Consolas" w:eastAsia="Consolas"/>
          <w:sz w:val="21"/>
        </w:rPr>
        <w:t>██████████████</w:t>
      </w:r>
      <w:r>
        <w:t xml:space="preserve">  </w:t>
      </w:r>
      <w:r>
        <w:rPr>
          <w:b/>
        </w:rPr>
        <w:t>6/6</w:t>
      </w:r>
      <w:r>
        <w:t xml:space="preserve">  ·  2026-07-20 a 2026-07-31</w:t>
      </w:r>
    </w:p>
    <w:p>
      <w:pPr>
        <w:spacing w:before="120" w:after="200"/>
        <w:ind w:left="397"/>
        <w:pBdr>
          <w:left w:val="single" w:sz="18" w:space="10" w:color="2F5496"/>
        </w:pBdr>
      </w:pPr>
      <w:r>
        <w:rPr>
          <w:b/>
          <w:i/>
          <w:color w:val="444444"/>
        </w:rPr>
        <w:t>Objetivo.</w:t>
      </w:r>
      <w:r>
        <w:rPr>
          <w:i/>
          <w:color w:val="444444"/>
        </w:rPr>
        <w:t xml:space="preserve"> Las dos bases aplicadas y el acceso a datos completo, con los patrones que la catedra evalua en uso real.</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Historia</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Épica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H-06</w:t>
            </w:r>
            <w:r>
              <w:rPr>
                <w:rFonts w:ascii="Calibri" w:hAnsi="Calibri" w:eastAsia="Calibri"/>
                <w:sz w:val="20"/>
              </w:rPr>
              <w:t xml:space="preserve"> Esquema de la base de negocio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E1</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H-07</w:t>
            </w:r>
            <w:r>
              <w:rPr>
                <w:rFonts w:ascii="Calibri" w:hAnsi="Calibri" w:eastAsia="Calibri"/>
                <w:sz w:val="20"/>
              </w:rPr>
              <w:t xml:space="preserve"> Esquema de la base de servicio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E1</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H-08</w:t>
            </w:r>
            <w:r>
              <w:rPr>
                <w:rFonts w:ascii="Calibri" w:hAnsi="Calibri" w:eastAsia="Calibri"/>
                <w:sz w:val="20"/>
              </w:rPr>
              <w:t xml:space="preserve"> DAO generico y mappers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E1</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H-09</w:t>
            </w:r>
            <w:r>
              <w:rPr>
                <w:rFonts w:ascii="Calibri" w:hAnsi="Calibri" w:eastAsia="Calibri"/>
                <w:sz w:val="20"/>
              </w:rPr>
              <w:t xml:space="preserve"> Fabricas y unidad de trabajo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E1</w:t>
            </w:r>
          </w:p>
        </w:tc>
      </w:tr>
      <w:tr>
        <w:trPr>
          <w:cantSplit w:val="true"/>
        </w:trPr>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b/>
                <w:sz w:val="20"/>
              </w:rPr>
              <w:t>H-10</w:t>
            </w:r>
            <w:r>
              <w:rPr>
                <w:rFonts w:ascii="Calibri" w:hAnsi="Calibri" w:eastAsia="Calibri"/>
                <w:sz w:val="20"/>
              </w:rPr>
              <w:t xml:space="preserve"> Aislamiento por organizacion aplicado en el DAO</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onsolas" w:hAnsi="Consolas" w:eastAsia="Consolas"/>
                <w:sz w:val="19"/>
              </w:rPr>
              <w:t>E1</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H-11</w:t>
            </w:r>
            <w:r>
              <w:rPr>
                <w:rFonts w:ascii="Calibri" w:hAnsi="Calibri" w:eastAsia="Calibri"/>
                <w:sz w:val="20"/>
              </w:rPr>
              <w:t xml:space="preserve"> Pruebas de integracion del DAO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E7</w:t>
            </w:r>
          </w:p>
        </w:tc>
      </w:tr>
    </w:tbl>
    <w:p>
      <w:pPr>
        <w:spacing w:after="80"/>
      </w:pPr>
    </w:p>
    <w:p>
      <w:r>
        <w:t>&lt;details&gt;&lt;summary&gt;&lt;b&gt;Defectos del sprint&lt;/b&gt;&lt;/summary&gt;</w:t>
      </w:r>
    </w:p>
    <w:p>
      <w:r>
        <w:t>Tres invisibles al leer, que solo aparecieron ejecutando: PLAN y BACKUP son palabras reservadas de T-SQL; un VARCHAR(10) truncaba 'ADVERTENCIA'; y los indices filtrados fallan si sqlcmd no recibe -I, porque deja QUOTED_IDENTIFIER en OFF.</w:t>
      </w:r>
    </w:p>
    <w:p>
      <w:r>
        <w:t>&lt;/details&gt;</w:t>
      </w:r>
    </w:p>
    <w:p>
      <w:r>
        <w:rPr>
          <w:b/>
        </w:rPr>
        <w:t>Retrospectiva.</w:t>
      </w:r>
      <w:r>
        <w:t xml:space="preserve"> Accion tomada: los scripts de base se ejecutan, nunca se revisan.</w:t>
      </w:r>
    </w:p>
    <w:p>
      <w:pPr>
        <w:pStyle w:val="Heading3"/>
      </w:pPr>
      <w:r>
        <w:rPr>
          <w:rFonts w:ascii="Calibri" w:hAnsi="Calibri" w:eastAsia="Calibri"/>
        </w:rPr>
        <w:t xml:space="preserve">[x] </w:t>
      </w:r>
      <w:r>
        <w:rPr>
          <w:rFonts w:ascii="Calibri" w:hAnsi="Calibri" w:eastAsia="Calibri"/>
          <w:sz w:val="21"/>
        </w:rPr>
        <w:t>S3</w:t>
      </w:r>
      <w:r>
        <w:rPr>
          <w:rFonts w:ascii="Calibri" w:hAnsi="Calibri" w:eastAsia="Calibri"/>
        </w:rPr>
        <w:t xml:space="preserve"> · Seguridad</w:t>
      </w:r>
    </w:p>
    <w:p>
      <w:r>
        <w:rPr>
          <w:rFonts w:ascii="Consolas" w:hAnsi="Consolas" w:eastAsia="Consolas"/>
          <w:sz w:val="21"/>
        </w:rPr>
        <w:t>██████████████</w:t>
      </w:r>
      <w:r>
        <w:t xml:space="preserve">  </w:t>
      </w:r>
      <w:r>
        <w:rPr>
          <w:b/>
        </w:rPr>
        <w:t>6/6</w:t>
      </w:r>
      <w:r>
        <w:t xml:space="preserve">  ·  2026-08-03 a 2026-08-14</w:t>
      </w:r>
    </w:p>
    <w:p>
      <w:pPr>
        <w:spacing w:before="120" w:after="200"/>
        <w:ind w:left="397"/>
        <w:pBdr>
          <w:left w:val="single" w:sz="18" w:space="10" w:color="2F5496"/>
        </w:pBdr>
      </w:pPr>
      <w:r>
        <w:rPr>
          <w:b/>
          <w:i/>
          <w:color w:val="444444"/>
        </w:rPr>
        <w:t>Objetivo.</w:t>
      </w:r>
      <w:r>
        <w:rPr>
          <w:i/>
          <w:color w:val="444444"/>
        </w:rPr>
        <w:t xml:space="preserve"> Req. Arq. 002 y 004, y el modelo de permisos de la catedra.</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Historia</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Épica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H-12</w:t>
            </w:r>
            <w:r>
              <w:rPr>
                <w:rFonts w:ascii="Calibri" w:hAnsi="Calibri" w:eastAsia="Calibri"/>
                <w:sz w:val="20"/>
              </w:rPr>
              <w:t xml:space="preserve"> Hash de contrasenas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E2</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H-13</w:t>
            </w:r>
            <w:r>
              <w:rPr>
                <w:rFonts w:ascii="Calibri" w:hAnsi="Calibri" w:eastAsia="Calibri"/>
                <w:sz w:val="20"/>
              </w:rPr>
              <w:t xml:space="preserve"> Familias y patentes con Composite</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E2</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H-14</w:t>
            </w:r>
            <w:r>
              <w:rPr>
                <w:rFonts w:ascii="Calibri" w:hAnsi="Calibri" w:eastAsia="Calibri"/>
                <w:sz w:val="20"/>
              </w:rPr>
              <w:t xml:space="preserve"> Autenticacion con JWT</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E2</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H-15</w:t>
            </w:r>
            <w:r>
              <w:rPr>
                <w:rFonts w:ascii="Calibri" w:hAnsi="Calibri" w:eastAsia="Calibri"/>
                <w:sz w:val="20"/>
              </w:rPr>
              <w:t xml:space="preserve"> Autorizacion por patente</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E2</w:t>
            </w:r>
          </w:p>
        </w:tc>
      </w:tr>
      <w:tr>
        <w:trPr>
          <w:cantSplit w:val="true"/>
        </w:trPr>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b/>
                <w:sz w:val="20"/>
              </w:rPr>
              <w:t>H-16</w:t>
            </w:r>
            <w:r>
              <w:rPr>
                <w:rFonts w:ascii="Calibri" w:hAnsi="Calibri" w:eastAsia="Calibri"/>
                <w:sz w:val="20"/>
              </w:rPr>
              <w:t xml:space="preserve"> Bitacora inmutable</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onsolas" w:hAnsi="Consolas" w:eastAsia="Consolas"/>
                <w:sz w:val="19"/>
              </w:rPr>
              <w:t>E2</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H-17</w:t>
            </w:r>
            <w:r>
              <w:rPr>
                <w:rFonts w:ascii="Calibri" w:hAnsi="Calibri" w:eastAsia="Calibri"/>
                <w:sz w:val="20"/>
              </w:rPr>
              <w:t xml:space="preserve"> Respaldo y restauracion</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E2</w:t>
            </w:r>
          </w:p>
        </w:tc>
      </w:tr>
    </w:tbl>
    <w:p>
      <w:pPr>
        <w:spacing w:after="80"/>
      </w:pPr>
    </w:p>
    <w:p>
      <w:r>
        <w:t>&lt;details&gt;&lt;summary&gt;&lt;b&gt;Defectos del sprint&lt;/b&gt;&lt;/summary&gt;</w:t>
      </w:r>
    </w:p>
    <w:p>
      <w:r>
        <w:t>Una dependencia circular contexto -&gt; seguridad -&gt; DAO -&gt; contexto: el login funcionaba y la primera peticion autenticada colgaba. Se resolvio partiendo IFactoryDaoSeguridad, que no depende del contexto.</w:t>
      </w:r>
    </w:p>
    <w:p>
      <w:r>
        <w:t>&lt;/details&gt;</w:t>
      </w:r>
    </w:p>
    <w:p>
      <w:r>
        <w:rPr>
          <w:b/>
        </w:rPr>
        <w:t>Retrospectiva.</w:t>
      </w:r>
      <w:r>
        <w:t xml:space="preserve"> El [RequierePatente] original aceptaba una sola patente y daba 403 al administrador. Accion: los permisos se verifican con un usuario de cada perfil, no solo con el administrador.</w:t>
      </w:r>
    </w:p>
    <w:p>
      <w:pPr>
        <w:pStyle w:val="Heading3"/>
      </w:pPr>
      <w:r>
        <w:rPr>
          <w:rFonts w:ascii="Calibri" w:hAnsi="Calibri" w:eastAsia="Calibri"/>
        </w:rPr>
        <w:t xml:space="preserve">[x] </w:t>
      </w:r>
      <w:r>
        <w:rPr>
          <w:rFonts w:ascii="Calibri" w:hAnsi="Calibri" w:eastAsia="Calibri"/>
          <w:sz w:val="21"/>
        </w:rPr>
        <w:t>S4</w:t>
      </w:r>
      <w:r>
        <w:rPr>
          <w:rFonts w:ascii="Calibri" w:hAnsi="Calibri" w:eastAsia="Calibri"/>
        </w:rPr>
        <w:t xml:space="preserve"> · Nucleo funcional</w:t>
      </w:r>
    </w:p>
    <w:p>
      <w:r>
        <w:rPr>
          <w:rFonts w:ascii="Consolas" w:hAnsi="Consolas" w:eastAsia="Consolas"/>
          <w:sz w:val="21"/>
        </w:rPr>
        <w:t>██████████████</w:t>
      </w:r>
      <w:r>
        <w:t xml:space="preserve">  </w:t>
      </w:r>
      <w:r>
        <w:rPr>
          <w:b/>
        </w:rPr>
        <w:t>6/6</w:t>
      </w:r>
      <w:r>
        <w:t xml:space="preserve">  ·  2026-08-17 a 2026-08-28</w:t>
      </w:r>
    </w:p>
    <w:p>
      <w:pPr>
        <w:spacing w:before="120" w:after="200"/>
        <w:ind w:left="397"/>
        <w:pBdr>
          <w:left w:val="single" w:sz="18" w:space="10" w:color="2F5496"/>
        </w:pBdr>
      </w:pPr>
      <w:r>
        <w:rPr>
          <w:b/>
          <w:i/>
          <w:color w:val="444444"/>
        </w:rPr>
        <w:t>Objetivo.</w:t>
      </w:r>
      <w:r>
        <w:rPr>
          <w:i/>
          <w:color w:val="444444"/>
        </w:rPr>
        <w:t xml:space="preserve"> Los casos de uso del documento, de punta a punta y con interfaz.</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Historia</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Épica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H-18</w:t>
            </w:r>
            <w:r>
              <w:rPr>
                <w:rFonts w:ascii="Calibri" w:hAnsi="Calibri" w:eastAsia="Calibri"/>
                <w:sz w:val="20"/>
              </w:rPr>
              <w:t xml:space="preserve"> Inventario de activos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E3</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H-19</w:t>
            </w:r>
            <w:r>
              <w:rPr>
                <w:rFonts w:ascii="Calibri" w:hAnsi="Calibri" w:eastAsia="Calibri"/>
                <w:sz w:val="20"/>
              </w:rPr>
              <w:t xml:space="preserve"> Incidencias de punta a punta</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E3</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H-20</w:t>
            </w:r>
            <w:r>
              <w:rPr>
                <w:rFonts w:ascii="Calibri" w:hAnsi="Calibri" w:eastAsia="Calibri"/>
                <w:sz w:val="20"/>
              </w:rPr>
              <w:t xml:space="preserve"> Mantenimientos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E3</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H-21</w:t>
            </w:r>
            <w:r>
              <w:rPr>
                <w:rFonts w:ascii="Calibri" w:hAnsi="Calibri" w:eastAsia="Calibri"/>
                <w:sz w:val="20"/>
              </w:rPr>
              <w:t xml:space="preserve"> Las 19 pantallas</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E3</w:t>
            </w:r>
          </w:p>
        </w:tc>
      </w:tr>
      <w:tr>
        <w:trPr>
          <w:cantSplit w:val="true"/>
        </w:trPr>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b/>
                <w:sz w:val="20"/>
              </w:rPr>
              <w:t>H-22</w:t>
            </w:r>
            <w:r>
              <w:rPr>
                <w:rFonts w:ascii="Calibri" w:hAnsi="Calibri" w:eastAsia="Calibri"/>
                <w:sz w:val="20"/>
              </w:rPr>
              <w:t xml:space="preserve"> Seis temas y tres densidades</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onsolas" w:hAnsi="Consolas" w:eastAsia="Consolas"/>
                <w:sz w:val="19"/>
              </w:rPr>
              <w:t>E6</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H-23</w:t>
            </w:r>
            <w:r>
              <w:rPr>
                <w:rFonts w:ascii="Calibri" w:hAnsi="Calibri" w:eastAsia="Calibri"/>
                <w:sz w:val="20"/>
              </w:rPr>
              <w:t xml:space="preserve"> Contraste AA medido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E6</w:t>
            </w:r>
          </w:p>
        </w:tc>
      </w:tr>
    </w:tbl>
    <w:p>
      <w:pPr>
        <w:spacing w:after="80"/>
      </w:pPr>
    </w:p>
    <w:p>
      <w:r>
        <w:t>&lt;details&gt;&lt;summary&gt;&lt;b&gt;Defectos del sprint&lt;/b&gt;&lt;/summary&gt;</w:t>
      </w:r>
    </w:p>
    <w:p>
      <w:r>
        <w:t>Dos del mismo tipo, peligrosos porque el SQL se leia correcto: el join de tecnicos pasaba por Usuario_Organizacion y devolvia cero tecnicos, y UsuarioDao.PorOrganizacion tenia el mismo sesgo, con lo cual los nombres de los Partner salian vacios.</w:t>
      </w:r>
    </w:p>
    <w:p>
      <w:r>
        <w:t>&lt;/details&gt;</w:t>
      </w:r>
    </w:p>
    <w:p>
      <w:r>
        <w:rPr>
          <w:b/>
        </w:rPr>
        <w:t>Retrospectiva.</w:t>
      </w:r>
      <w:r>
        <w:t xml:space="preserve"> Accion: toda consulta con JOIN sobre tablas de relacion se prueba con datos de los dos lados, incluido el caso de la fila que no existe.</w:t>
      </w:r>
    </w:p>
    <w:p>
      <w:pPr>
        <w:pStyle w:val="Heading3"/>
      </w:pPr>
      <w:r>
        <w:rPr>
          <w:rFonts w:ascii="Calibri" w:hAnsi="Calibri" w:eastAsia="Calibri"/>
        </w:rPr>
        <w:t xml:space="preserve">[~] </w:t>
      </w:r>
      <w:r>
        <w:rPr>
          <w:rFonts w:ascii="Calibri" w:hAnsi="Calibri" w:eastAsia="Calibri"/>
          <w:sz w:val="21"/>
        </w:rPr>
        <w:t>S5</w:t>
      </w:r>
      <w:r>
        <w:rPr>
          <w:rFonts w:ascii="Calibri" w:hAnsi="Calibri" w:eastAsia="Calibri"/>
        </w:rPr>
        <w:t xml:space="preserve"> · Predictivo, auditoria de arquitectura y CI</w:t>
      </w:r>
    </w:p>
    <w:p>
      <w:r>
        <w:rPr>
          <w:rFonts w:ascii="Consolas" w:hAnsi="Consolas" w:eastAsia="Consolas"/>
          <w:sz w:val="21"/>
        </w:rPr>
        <w:t>██████████████</w:t>
      </w:r>
      <w:r>
        <w:t xml:space="preserve">  </w:t>
      </w:r>
      <w:r>
        <w:rPr>
          <w:b/>
        </w:rPr>
        <w:t>19/19</w:t>
      </w:r>
      <w:r>
        <w:t xml:space="preserve">  ·  2026-08-31 a 2026-09-11</w:t>
      </w:r>
    </w:p>
    <w:p>
      <w:pPr>
        <w:spacing w:before="120" w:after="200"/>
        <w:ind w:left="397"/>
        <w:pBdr>
          <w:left w:val="single" w:sz="18" w:space="10" w:color="2F5496"/>
        </w:pBdr>
      </w:pPr>
      <w:r>
        <w:rPr>
          <w:b/>
          <w:i/>
          <w:color w:val="444444"/>
        </w:rPr>
        <w:t>Objetivo.</w:t>
      </w:r>
      <w:r>
        <w:rPr>
          <w:i/>
          <w:color w:val="444444"/>
        </w:rPr>
        <w:t xml:space="preserve"> Que el analisis predictivo funcione solo, que los requisitos de arquitectura de la catedra esten todos cubiertos, y que la verificacion deje de depender de que yo me acuerde de correrla.</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Historia</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Épica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H-24</w:t>
            </w:r>
            <w:r>
              <w:rPr>
                <w:rFonts w:ascii="Calibri" w:hAnsi="Calibri" w:eastAsia="Calibri"/>
                <w:sz w:val="20"/>
              </w:rPr>
              <w:t xml:space="preserve"> Motor predictivo con estrategias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E4</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H-25</w:t>
            </w:r>
            <w:r>
              <w:rPr>
                <w:rFonts w:ascii="Calibri" w:hAnsi="Calibri" w:eastAsia="Calibri"/>
                <w:sz w:val="20"/>
              </w:rPr>
              <w:t xml:space="preserve"> Proveedor de IA conmutable</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E4</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H-26</w:t>
            </w:r>
            <w:r>
              <w:rPr>
                <w:rFonts w:ascii="Calibri" w:hAnsi="Calibri" w:eastAsia="Calibri"/>
                <w:sz w:val="20"/>
              </w:rPr>
              <w:t xml:space="preserve"> Disyuntor sobre el servicio externo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E4</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H-27</w:t>
            </w:r>
            <w:r>
              <w:rPr>
                <w:rFonts w:ascii="Calibri" w:hAnsi="Calibri" w:eastAsia="Calibri"/>
                <w:sz w:val="20"/>
              </w:rPr>
              <w:t xml:space="preserve"> Multiidioma en el backend</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E6</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H-28</w:t>
            </w:r>
            <w:r>
              <w:rPr>
                <w:rFonts w:ascii="Calibri" w:hAnsi="Calibri" w:eastAsia="Calibri"/>
                <w:sz w:val="20"/>
              </w:rPr>
              <w:t xml:space="preserve"> Cifrado reversible</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E2</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H-29</w:t>
            </w:r>
            <w:r>
              <w:rPr>
                <w:rFonts w:ascii="Calibri" w:hAnsi="Calibri" w:eastAsia="Calibri"/>
                <w:sz w:val="20"/>
              </w:rPr>
              <w:t xml:space="preserve"> Patente.TipoAcceso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E2</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H-30</w:t>
            </w:r>
            <w:r>
              <w:rPr>
                <w:rFonts w:ascii="Calibri" w:hAnsi="Calibri" w:eastAsia="Calibri"/>
                <w:sz w:val="20"/>
              </w:rPr>
              <w:t xml:space="preserve"> La bitacora registra los eventos de negocio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E2</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H-31</w:t>
            </w:r>
            <w:r>
              <w:rPr>
                <w:rFonts w:ascii="Calibri" w:hAnsi="Calibri" w:eastAsia="Calibri"/>
                <w:sz w:val="20"/>
              </w:rPr>
              <w:t xml:space="preserve"> El motor predictivo se dispara solo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E4</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H-32</w:t>
            </w:r>
            <w:r>
              <w:rPr>
                <w:rFonts w:ascii="Calibri" w:hAnsi="Calibri" w:eastAsia="Calibri"/>
                <w:sz w:val="20"/>
              </w:rPr>
              <w:t xml:space="preserve"> Bitacora por usuario y pantalla de errores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E2</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H-33</w:t>
            </w:r>
            <w:r>
              <w:rPr>
                <w:rFonts w:ascii="Calibri" w:hAnsi="Calibri" w:eastAsia="Calibri"/>
                <w:sz w:val="20"/>
              </w:rPr>
              <w:t xml:space="preserve"> Bulkhead para los procesos en segundo plano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E9</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H-34</w:t>
            </w:r>
            <w:r>
              <w:rPr>
                <w:rFonts w:ascii="Calibri" w:hAnsi="Calibri" w:eastAsia="Calibri"/>
                <w:sz w:val="20"/>
              </w:rPr>
              <w:t xml:space="preserve"> El sistema entero en Docker</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E5</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H-35</w:t>
            </w:r>
            <w:r>
              <w:rPr>
                <w:rFonts w:ascii="Calibri" w:hAnsi="Calibri" w:eastAsia="Calibri"/>
                <w:sz w:val="20"/>
              </w:rPr>
              <w:t xml:space="preserve"> Integracion continua</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E5</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H-36</w:t>
            </w:r>
            <w:r>
              <w:rPr>
                <w:rFonts w:ascii="Calibri" w:hAnsi="Calibri" w:eastAsia="Calibri"/>
                <w:sz w:val="20"/>
              </w:rPr>
              <w:t xml:space="preserve"> La bitacora de demostracion en un solo huso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E9</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H-37</w:t>
            </w:r>
            <w:r>
              <w:rPr>
                <w:rFonts w:ascii="Calibri" w:hAnsi="Calibri" w:eastAsia="Calibri"/>
                <w:sz w:val="20"/>
              </w:rPr>
              <w:t xml:space="preserve"> Publicar la cobertura como línea de base</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E7</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H-54</w:t>
            </w:r>
            <w:r>
              <w:rPr>
                <w:rFonts w:ascii="Calibri" w:hAnsi="Calibri" w:eastAsia="Calibri"/>
                <w:sz w:val="20"/>
              </w:rPr>
              <w:t xml:space="preserve"> El ciclo de vida completo de la incidencia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E3</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H-55</w:t>
            </w:r>
            <w:r>
              <w:rPr>
                <w:rFonts w:ascii="Calibri" w:hAnsi="Calibri" w:eastAsia="Calibri"/>
                <w:sz w:val="20"/>
              </w:rPr>
              <w:t xml:space="preserve"> Cambio de estado operativo del equipo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E3</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H-56</w:t>
            </w:r>
            <w:r>
              <w:rPr>
                <w:rFonts w:ascii="Calibri" w:hAnsi="Calibri" w:eastAsia="Calibri"/>
                <w:sz w:val="20"/>
              </w:rPr>
              <w:t xml:space="preserve"> Reportes exportables a PDF</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E3</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H-57</w:t>
            </w:r>
            <w:r>
              <w:rPr>
                <w:rFonts w:ascii="Calibri" w:hAnsi="Calibri" w:eastAsia="Calibri"/>
                <w:sz w:val="20"/>
              </w:rPr>
              <w:t xml:space="preserve"> Historial técnico de la organización</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onsolas" w:hAnsi="Consolas" w:eastAsia="Consolas"/>
                <w:sz w:val="19"/>
              </w:rPr>
              <w:t>E3</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H-58</w:t>
            </w:r>
            <w:r>
              <w:rPr>
                <w:rFonts w:ascii="Calibri" w:hAnsi="Calibri" w:eastAsia="Calibri"/>
                <w:sz w:val="20"/>
              </w:rPr>
              <w:t xml:space="preserve"> Cierre de sesión con rastro, y restauración expuesta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E2</w:t>
            </w:r>
          </w:p>
        </w:tc>
      </w:tr>
    </w:tbl>
    <w:p>
      <w:pPr>
        <w:spacing w:after="80"/>
      </w:pPr>
    </w:p>
    <w:p>
      <w:r>
        <w:t>&lt;details&gt;&lt;summary&gt;&lt;b&gt;Defectos del sprint&lt;/b&gt;&lt;/summary&gt;</w:t>
      </w:r>
    </w:p>
    <w:p>
      <w:r>
        <w:t>Los dos peores del proyecto, y los dos fueron ausencias: la bitacora sin eventos de negocio (aparecio contando filas por tipo de evento) y el motor que no se disparaba solo (lo reporto el usuario). Ninguna prueba podia fallar: no habia codigo roto, faltaba codigo. Mas tres del entorno: los patrones de .dockerignore no son recursivos, la imagen mssql-tools18 no existe, y el runtime de .NET no trae curl ni wget. Y una que importa al negocio: el contenedor corre en UTC y el sistema mide un SLA de 4 horas.</w:t>
      </w:r>
    </w:p>
    <w:p>
      <w:r>
        <w:t>&lt;/details&gt;</w:t>
      </w:r>
    </w:p>
    <w:p>
      <w:r>
        <w:rPr>
          <w:b/>
        </w:rPr>
        <w:t>Retrospectiva.</w:t>
      </w:r>
      <w:r>
        <w:t xml:space="preserve"> Accion tomada: auditar contra datos, no contra el codigo. Se incorpora a la Definicion de Terminado como el punto 4.</w:t>
      </w:r>
    </w:p>
    <w:p>
      <w:pPr>
        <w:pStyle w:val="Heading3"/>
      </w:pPr>
      <w:r>
        <w:rPr>
          <w:rFonts w:ascii="Calibri" w:hAnsi="Calibri" w:eastAsia="Calibri"/>
        </w:rPr>
        <w:t xml:space="preserve">[ ] </w:t>
      </w:r>
      <w:r>
        <w:rPr>
          <w:rFonts w:ascii="Calibri" w:hAnsi="Calibri" w:eastAsia="Calibri"/>
          <w:sz w:val="21"/>
        </w:rPr>
        <w:t>S6</w:t>
      </w:r>
      <w:r>
        <w:rPr>
          <w:rFonts w:ascii="Calibri" w:hAnsi="Calibri" w:eastAsia="Calibri"/>
        </w:rPr>
        <w:t xml:space="preserve"> · Multiidioma en la interfaz y sistema visual</w:t>
      </w:r>
    </w:p>
    <w:p>
      <w:r>
        <w:rPr>
          <w:rFonts w:ascii="Consolas" w:hAnsi="Consolas" w:eastAsia="Consolas"/>
          <w:sz w:val="21"/>
        </w:rPr>
        <w:t>██████████████</w:t>
      </w:r>
      <w:r>
        <w:t xml:space="preserve">  </w:t>
      </w:r>
      <w:r>
        <w:rPr>
          <w:b/>
        </w:rPr>
        <w:t>3/3</w:t>
      </w:r>
      <w:r>
        <w:t xml:space="preserve">  ·  2026-09-14 a 2026-09-25</w:t>
      </w:r>
    </w:p>
    <w:p>
      <w:pPr>
        <w:spacing w:before="120" w:after="200"/>
        <w:ind w:left="397"/>
        <w:pBdr>
          <w:left w:val="single" w:sz="18" w:space="10" w:color="2F5496"/>
        </w:pBdr>
      </w:pPr>
      <w:r>
        <w:rPr>
          <w:b/>
          <w:i/>
          <w:color w:val="444444"/>
        </w:rPr>
        <w:t>Objetivo.</w:t>
      </w:r>
      <w:r>
        <w:rPr>
          <w:i/>
          <w:color w:val="444444"/>
        </w:rPr>
        <w:t xml:space="preserve"> Cerrar Req. Arq. 001 de punta a punta y aplicar la primera mitad del rediseño.</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Historia</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Épica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H-38</w:t>
            </w:r>
            <w:r>
              <w:rPr>
                <w:rFonts w:ascii="Calibri" w:hAnsi="Calibri" w:eastAsia="Calibri"/>
                <w:sz w:val="20"/>
              </w:rPr>
              <w:t xml:space="preserve"> Toda la interfaz sale del diccionario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E6</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H-39</w:t>
            </w:r>
            <w:r>
              <w:rPr>
                <w:rFonts w:ascii="Calibri" w:hAnsi="Calibri" w:eastAsia="Calibri"/>
                <w:sz w:val="20"/>
              </w:rPr>
              <w:t xml:space="preserve"> Sistema visual y componentes del rediseño</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onsolas" w:hAnsi="Consolas" w:eastAsia="Consolas"/>
                <w:sz w:val="19"/>
              </w:rPr>
              <w:t>E6</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H-59</w:t>
            </w:r>
            <w:r>
              <w:rPr>
                <w:rFonts w:ascii="Calibri" w:hAnsi="Calibri" w:eastAsia="Calibri"/>
                <w:sz w:val="20"/>
              </w:rPr>
              <w:t xml:space="preserve"> El front cablea el ciclo de vida y el ABM de equipos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E6</w:t>
            </w:r>
          </w:p>
        </w:tc>
      </w:tr>
    </w:tbl>
    <w:p>
      <w:pPr>
        <w:spacing w:after="80"/>
      </w:pPr>
    </w:p>
    <w:p>
      <w:pPr>
        <w:pStyle w:val="Heading3"/>
      </w:pPr>
      <w:r>
        <w:rPr>
          <w:rFonts w:ascii="Calibri" w:hAnsi="Calibri" w:eastAsia="Calibri"/>
        </w:rPr>
        <w:t xml:space="preserve">[ ] </w:t>
      </w:r>
      <w:r>
        <w:rPr>
          <w:rFonts w:ascii="Calibri" w:hAnsi="Calibri" w:eastAsia="Calibri"/>
          <w:sz w:val="21"/>
        </w:rPr>
        <w:t>S7</w:t>
      </w:r>
      <w:r>
        <w:rPr>
          <w:rFonts w:ascii="Calibri" w:hAnsi="Calibri" w:eastAsia="Calibri"/>
        </w:rPr>
        <w:t xml:space="preserve"> · Pantallas, calidad y deuda</w:t>
      </w:r>
    </w:p>
    <w:p>
      <w:r>
        <w:rPr>
          <w:rFonts w:ascii="Consolas" w:hAnsi="Consolas" w:eastAsia="Consolas"/>
          <w:sz w:val="21"/>
        </w:rPr>
        <w:t>██████████████</w:t>
      </w:r>
      <w:r>
        <w:t xml:space="preserve">  </w:t>
      </w:r>
      <w:r>
        <w:rPr>
          <w:b/>
        </w:rPr>
        <w:t>5/5</w:t>
      </w:r>
      <w:r>
        <w:t xml:space="preserve">  ·  2026-09-28 a 2026-10-09</w:t>
      </w:r>
    </w:p>
    <w:p>
      <w:pPr>
        <w:spacing w:before="120" w:after="200"/>
        <w:ind w:left="397"/>
        <w:pBdr>
          <w:left w:val="single" w:sz="18" w:space="10" w:color="2F5496"/>
        </w:pBdr>
      </w:pPr>
      <w:r>
        <w:rPr>
          <w:b/>
          <w:i/>
          <w:color w:val="444444"/>
        </w:rPr>
        <w:t>Objetivo.</w:t>
      </w:r>
      <w:r>
        <w:rPr>
          <w:i/>
          <w:color w:val="444444"/>
        </w:rPr>
        <w:t xml:space="preserve"> Terminar el rediseno y que la calidad se pueda auditar.</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Historia</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Épica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H-40</w:t>
            </w:r>
            <w:r>
              <w:rPr>
                <w:rFonts w:ascii="Calibri" w:hAnsi="Calibri" w:eastAsia="Calibri"/>
                <w:sz w:val="20"/>
              </w:rPr>
              <w:t xml:space="preserve"> Las pantallas rediseñadas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E6</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H-41</w:t>
            </w:r>
            <w:r>
              <w:rPr>
                <w:rFonts w:ascii="Calibri" w:hAnsi="Calibri" w:eastAsia="Calibri"/>
                <w:sz w:val="20"/>
              </w:rPr>
              <w:t xml:space="preserve"> Los CP-01 a CP-14 son una suite identificable</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E7</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H-42</w:t>
            </w:r>
            <w:r>
              <w:rPr>
                <w:rFonts w:ascii="Calibri" w:hAnsi="Calibri" w:eastAsia="Calibri"/>
                <w:sz w:val="20"/>
              </w:rPr>
              <w:t xml:space="preserve"> El RNF de carga está medido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E7</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H-43</w:t>
            </w:r>
            <w:r>
              <w:rPr>
                <w:rFonts w:ascii="Calibri" w:hAnsi="Calibri" w:eastAsia="Calibri"/>
                <w:sz w:val="20"/>
              </w:rPr>
              <w:t xml:space="preserve"> Partir IAdministracionBusiness</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onsolas" w:hAnsi="Consolas" w:eastAsia="Consolas"/>
                <w:sz w:val="19"/>
              </w:rPr>
              <w:t>E9</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H-44</w:t>
            </w:r>
            <w:r>
              <w:rPr>
                <w:rFonts w:ascii="Calibri" w:hAnsi="Calibri" w:eastAsia="Calibri"/>
                <w:sz w:val="20"/>
              </w:rPr>
              <w:t xml:space="preserve"> Las pruebas no dejan residuo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E7</w:t>
            </w:r>
          </w:p>
        </w:tc>
      </w:tr>
    </w:tbl>
    <w:p>
      <w:pPr>
        <w:spacing w:after="80"/>
      </w:pPr>
    </w:p>
    <w:p>
      <w:pPr>
        <w:pStyle w:val="Heading3"/>
      </w:pPr>
      <w:r>
        <w:rPr>
          <w:rFonts w:ascii="Calibri" w:hAnsi="Calibri" w:eastAsia="Calibri"/>
        </w:rPr>
        <w:t xml:space="preserve">[ ] </w:t>
      </w:r>
      <w:r>
        <w:rPr>
          <w:rFonts w:ascii="Calibri" w:hAnsi="Calibri" w:eastAsia="Calibri"/>
          <w:sz w:val="21"/>
        </w:rPr>
        <w:t>S8</w:t>
      </w:r>
      <w:r>
        <w:rPr>
          <w:rFonts w:ascii="Calibri" w:hAnsi="Calibri" w:eastAsia="Calibri"/>
        </w:rPr>
        <w:t xml:space="preserve"> · Endurecimiento, producto y documentacion</w:t>
      </w:r>
    </w:p>
    <w:p>
      <w:r>
        <w:rPr>
          <w:rFonts w:ascii="Consolas" w:hAnsi="Consolas" w:eastAsia="Consolas"/>
          <w:sz w:val="21"/>
        </w:rPr>
        <w:t>██████████████</w:t>
      </w:r>
      <w:r>
        <w:t xml:space="preserve">  </w:t>
      </w:r>
      <w:r>
        <w:rPr>
          <w:b/>
        </w:rPr>
        <w:t>9/9</w:t>
      </w:r>
      <w:r>
        <w:t xml:space="preserve">  ·  2026-10-12 a 2026-10-23</w:t>
      </w:r>
    </w:p>
    <w:p>
      <w:pPr>
        <w:spacing w:before="120" w:after="200"/>
        <w:ind w:left="397"/>
        <w:pBdr>
          <w:left w:val="single" w:sz="18" w:space="10" w:color="2F5496"/>
        </w:pBdr>
      </w:pPr>
      <w:r>
        <w:rPr>
          <w:b/>
          <w:i/>
          <w:color w:val="444444"/>
        </w:rPr>
        <w:t>Objetivo.</w:t>
      </w:r>
      <w:r>
        <w:rPr>
          <w:i/>
          <w:color w:val="444444"/>
        </w:rPr>
        <w:t xml:space="preserve"> Cerrar la seguridad con una revision sistematica y dejar el producto y los documentos presentables.</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Historia</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Épica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H-45</w:t>
            </w:r>
            <w:r>
              <w:rPr>
                <w:rFonts w:ascii="Calibri" w:hAnsi="Calibri" w:eastAsia="Calibri"/>
                <w:sz w:val="20"/>
              </w:rPr>
              <w:t xml:space="preserve"> Revisión contra OWASP Top 10</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E2</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H-46</w:t>
            </w:r>
            <w:r>
              <w:rPr>
                <w:rFonts w:ascii="Calibri" w:hAnsi="Calibri" w:eastAsia="Calibri"/>
                <w:sz w:val="20"/>
              </w:rPr>
              <w:t xml:space="preserve"> ADR sobre gestión de identidad</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E2</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H-47</w:t>
            </w:r>
            <w:r>
              <w:rPr>
                <w:rFonts w:ascii="Calibri" w:hAnsi="Calibri" w:eastAsia="Calibri"/>
                <w:sz w:val="20"/>
              </w:rPr>
              <w:t xml:space="preserve"> Estados vacíos y esqueletos de carga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H-48</w:t>
            </w:r>
            <w:r>
              <w:rPr>
                <w:rFonts w:ascii="Calibri" w:hAnsi="Calibri" w:eastAsia="Calibri"/>
                <w:sz w:val="20"/>
              </w:rPr>
              <w:t xml:space="preserve"> Panel de calibración de reglas</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H-49</w:t>
            </w:r>
            <w:r>
              <w:rPr>
                <w:rFonts w:ascii="Calibri" w:hAnsi="Calibri" w:eastAsia="Calibri"/>
                <w:sz w:val="20"/>
              </w:rPr>
              <w:t xml:space="preserve"> Los manuales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H-50</w:t>
            </w:r>
            <w:r>
              <w:rPr>
                <w:rFonts w:ascii="Calibri" w:hAnsi="Calibri" w:eastAsia="Calibri"/>
                <w:sz w:val="20"/>
              </w:rPr>
              <w:t xml:space="preserve"> El documento del TFI al dia</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H-60</w:t>
            </w:r>
            <w:r>
              <w:rPr>
                <w:rFonts w:ascii="Calibri" w:hAnsi="Calibri" w:eastAsia="Calibri"/>
                <w:sz w:val="20"/>
              </w:rPr>
              <w:t xml:space="preserve"> Diccionario de datos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H-61</w:t>
            </w:r>
            <w:r>
              <w:rPr>
                <w:rFonts w:ascii="Calibri" w:hAnsi="Calibri" w:eastAsia="Calibri"/>
                <w:sz w:val="20"/>
              </w:rPr>
              <w:t xml:space="preserve"> Diagramas del sistema</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H-62</w:t>
            </w:r>
            <w:r>
              <w:rPr>
                <w:rFonts w:ascii="Calibri" w:hAnsi="Calibri" w:eastAsia="Calibri"/>
                <w:sz w:val="20"/>
              </w:rPr>
              <w:t xml:space="preserve"> La carpeta de entregables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E8</w:t>
            </w:r>
          </w:p>
        </w:tc>
      </w:tr>
    </w:tbl>
    <w:p>
      <w:pPr>
        <w:spacing w:after="80"/>
      </w:pPr>
    </w:p>
    <w:p>
      <w:pPr>
        <w:pStyle w:val="Heading3"/>
      </w:pPr>
      <w:r>
        <w:rPr>
          <w:rFonts w:ascii="Calibri" w:hAnsi="Calibri" w:eastAsia="Calibri"/>
        </w:rPr>
        <w:t xml:space="preserve">[ ] </w:t>
      </w:r>
      <w:r>
        <w:rPr>
          <w:rFonts w:ascii="Calibri" w:hAnsi="Calibri" w:eastAsia="Calibri"/>
          <w:sz w:val="21"/>
        </w:rPr>
        <w:t>S9</w:t>
      </w:r>
      <w:r>
        <w:rPr>
          <w:rFonts w:ascii="Calibri" w:hAnsi="Calibri" w:eastAsia="Calibri"/>
        </w:rPr>
        <w:t xml:space="preserve"> · Cierre y entrega</w:t>
      </w:r>
    </w:p>
    <w:p>
      <w:r>
        <w:rPr>
          <w:rFonts w:ascii="Consolas" w:hAnsi="Consolas" w:eastAsia="Consolas"/>
          <w:sz w:val="21"/>
        </w:rPr>
        <w:t>████████████░░</w:t>
      </w:r>
      <w:r>
        <w:t xml:space="preserve">  </w:t>
      </w:r>
      <w:r>
        <w:rPr>
          <w:b/>
        </w:rPr>
        <w:t>10/12</w:t>
      </w:r>
      <w:r>
        <w:t xml:space="preserve">  ·  2026-10-26 a 2026-10-30</w:t>
      </w:r>
    </w:p>
    <w:p>
      <w:pPr>
        <w:spacing w:before="120" w:after="200"/>
        <w:ind w:left="397"/>
        <w:pBdr>
          <w:left w:val="single" w:sz="18" w:space="10" w:color="2F5496"/>
        </w:pBdr>
      </w:pPr>
      <w:r>
        <w:rPr>
          <w:b/>
          <w:i/>
          <w:color w:val="444444"/>
        </w:rPr>
        <w:t>Objetivo.</w:t>
      </w:r>
      <w:r>
        <w:rPr>
          <w:i/>
          <w:color w:val="444444"/>
        </w:rPr>
        <w:t xml:space="preserve"> Entregar el 30/10. Noviembre queda entero para correcciones.</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Historia</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Épica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H-51</w:t>
            </w:r>
            <w:r>
              <w:rPr>
                <w:rFonts w:ascii="Calibri" w:hAnsi="Calibri" w:eastAsia="Calibri"/>
                <w:sz w:val="20"/>
              </w:rPr>
              <w:t xml:space="preserve"> El horizonte financiero, resuelto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H-52</w:t>
            </w:r>
            <w:r>
              <w:rPr>
                <w:rFonts w:ascii="Calibri" w:hAnsi="Calibri" w:eastAsia="Calibri"/>
                <w:sz w:val="20"/>
              </w:rPr>
              <w:t xml:space="preserve"> Ensayo de la defensa</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H-53</w:t>
            </w:r>
            <w:r>
              <w:rPr>
                <w:rFonts w:ascii="Calibri" w:hAnsi="Calibri" w:eastAsia="Calibri"/>
                <w:sz w:val="20"/>
              </w:rPr>
              <w:t xml:space="preserve"> Congelamiento y entrega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H-63</w:t>
            </w:r>
            <w:r>
              <w:rPr>
                <w:rFonts w:ascii="Calibri" w:hAnsi="Calibri" w:eastAsia="Calibri"/>
                <w:sz w:val="20"/>
              </w:rPr>
              <w:t xml:space="preserve"> Las capturas del documento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H-64</w:t>
            </w:r>
            <w:r>
              <w:rPr>
                <w:rFonts w:ascii="Calibri" w:hAnsi="Calibri" w:eastAsia="Calibri"/>
                <w:sz w:val="20"/>
              </w:rPr>
              <w:t xml:space="preserve"> Los diagramas del documento salen del código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H-65</w:t>
            </w:r>
            <w:r>
              <w:rPr>
                <w:rFonts w:ascii="Calibri" w:hAnsi="Calibri" w:eastAsia="Calibri"/>
                <w:sz w:val="20"/>
              </w:rPr>
              <w:t xml:space="preserve"> Numeración de figuras y tablas en el documento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H-66</w:t>
            </w:r>
            <w:r>
              <w:rPr>
                <w:rFonts w:ascii="Calibri" w:hAnsi="Calibri" w:eastAsia="Calibri"/>
                <w:sz w:val="20"/>
              </w:rPr>
              <w:t xml:space="preserve"> Los entregables toman el formato del documento principal</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H-67</w:t>
            </w:r>
            <w:r>
              <w:rPr>
                <w:rFonts w:ascii="Calibri" w:hAnsi="Calibri" w:eastAsia="Calibri"/>
                <w:sz w:val="20"/>
              </w:rPr>
              <w:t xml:space="preserve"> La ficha de equipo muestra el historial y el riesgo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H-68</w:t>
            </w:r>
            <w:r>
              <w:rPr>
                <w:rFonts w:ascii="Calibri" w:hAnsi="Calibri" w:eastAsia="Calibri"/>
                <w:sz w:val="20"/>
              </w:rPr>
              <w:t xml:space="preserve"> Presentación de la defensa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H-69</w:t>
            </w:r>
            <w:r>
              <w:rPr>
                <w:rFonts w:ascii="Calibri" w:hAnsi="Calibri" w:eastAsia="Calibri"/>
                <w:sz w:val="20"/>
              </w:rPr>
              <w:t xml:space="preserve"> Revisión de estilo de la prosa de los documentos</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b/>
                <w:sz w:val="20"/>
              </w:rPr>
              <w:t>H-70</w:t>
            </w:r>
            <w:r>
              <w:rPr>
                <w:rFonts w:ascii="Calibri" w:hAnsi="Calibri" w:eastAsia="Calibri"/>
                <w:sz w:val="20"/>
              </w:rPr>
              <w:t xml:space="preserve"> Rediseño 02: capa de tokens, tres temas y riesgo sin color</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H-76</w:t>
            </w:r>
            <w:r>
              <w:rPr>
                <w:rFonts w:ascii="Calibri" w:hAnsi="Calibri" w:eastAsia="Calibri"/>
                <w:sz w:val="20"/>
              </w:rPr>
              <w:t xml:space="preserve"> Los diagramas salen de Enterprise Architect</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E8</w:t>
            </w:r>
          </w:p>
        </w:tc>
      </w:tr>
    </w:tbl>
    <w:p>
      <w:pPr>
        <w:spacing w:after="80"/>
      </w:pPr>
    </w:p>
    <w:p>
      <w:pPr>
        <w:pStyle w:val="Heading3"/>
      </w:pPr>
      <w:r>
        <w:rPr>
          <w:rFonts w:ascii="Calibri" w:hAnsi="Calibri" w:eastAsia="Calibri"/>
        </w:rPr>
        <w:t xml:space="preserve">[ ] </w:t>
      </w:r>
      <w:r>
        <w:rPr>
          <w:rFonts w:ascii="Calibri" w:hAnsi="Calibri" w:eastAsia="Calibri"/>
          <w:sz w:val="21"/>
        </w:rPr>
        <w:t>S10</w:t>
      </w:r>
      <w:r>
        <w:rPr>
          <w:rFonts w:ascii="Calibri" w:hAnsi="Calibri" w:eastAsia="Calibri"/>
        </w:rPr>
        <w:t xml:space="preserve"> · Correcciones finales</w:t>
      </w:r>
    </w:p>
    <w:p>
      <w:r>
        <w:rPr>
          <w:rFonts w:ascii="Consolas" w:hAnsi="Consolas" w:eastAsia="Consolas"/>
          <w:sz w:val="21"/>
        </w:rPr>
        <w:t>██████████████</w:t>
      </w:r>
      <w:r>
        <w:t xml:space="preserve">  </w:t>
      </w:r>
      <w:r>
        <w:rPr>
          <w:b/>
        </w:rPr>
        <w:t>21/21</w:t>
      </w:r>
      <w:r>
        <w:t xml:space="preserve">  ·  2026-10-31 a 2026-11-28</w:t>
      </w:r>
    </w:p>
    <w:p>
      <w:pPr>
        <w:spacing w:before="120" w:after="200"/>
        <w:ind w:left="397"/>
        <w:pBdr>
          <w:left w:val="single" w:sz="18" w:space="10" w:color="2F5496"/>
        </w:pBdr>
      </w:pPr>
      <w:r>
        <w:rPr>
          <w:b/>
          <w:i/>
          <w:color w:val="444444"/>
        </w:rPr>
        <w:t>Objetivo.</w:t>
      </w:r>
      <w:r>
        <w:rPr>
          <w:i/>
          <w:color w:val="444444"/>
        </w:rPr>
        <w:t xml:space="preserve"> Lo que quedó abierto después de congelar la entrega del sistema. No entra en la versión que se entrega el 30/10: entra en el mes de ajustes previo a la defensa.</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Historia</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Épica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H-71</w:t>
            </w:r>
            <w:r>
              <w:rPr>
                <w:rFonts w:ascii="Calibri" w:hAnsi="Calibri" w:eastAsia="Calibri"/>
                <w:sz w:val="20"/>
              </w:rPr>
              <w:t xml:space="preserve"> Pruebas de la capa de negocio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E5</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H-72</w:t>
            </w:r>
            <w:r>
              <w:rPr>
                <w:rFonts w:ascii="Calibri" w:hAnsi="Calibri" w:eastAsia="Calibri"/>
                <w:sz w:val="20"/>
              </w:rPr>
              <w:t xml:space="preserve"> El cuerpo de las pantallas también sale del diccionario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E7</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H-73</w:t>
            </w:r>
            <w:r>
              <w:rPr>
                <w:rFonts w:ascii="Calibri" w:hAnsi="Calibri" w:eastAsia="Calibri"/>
                <w:sz w:val="20"/>
              </w:rPr>
              <w:t xml:space="preserve"> Cerrar A05 del OWASP Top 10</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E6</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H-74</w:t>
            </w:r>
            <w:r>
              <w:rPr>
                <w:rFonts w:ascii="Calibri" w:hAnsi="Calibri" w:eastAsia="Calibri"/>
                <w:sz w:val="20"/>
              </w:rPr>
              <w:t xml:space="preserve"> Licencia del repositorio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H-75</w:t>
            </w:r>
            <w:r>
              <w:rPr>
                <w:rFonts w:ascii="Calibri" w:hAnsi="Calibri" w:eastAsia="Calibri"/>
                <w:sz w:val="20"/>
              </w:rPr>
              <w:t xml:space="preserve"> La descripción de las 17 pantallas del capítulo 10.5</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H-77</w:t>
            </w:r>
            <w:r>
              <w:rPr>
                <w:rFonts w:ascii="Calibri" w:hAnsi="Calibri" w:eastAsia="Calibri"/>
                <w:sz w:val="20"/>
              </w:rPr>
              <w:t xml:space="preserve"> Los textos que viven dentro del código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E7</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H-78</w:t>
            </w:r>
            <w:r>
              <w:rPr>
                <w:rFonts w:ascii="Calibri" w:hAnsi="Calibri" w:eastAsia="Calibri"/>
                <w:sz w:val="20"/>
              </w:rPr>
              <w:t xml:space="preserve"> Tres pantallas que ni el capitulo 10.5 ni los manuales describen</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H-79</w:t>
            </w:r>
            <w:r>
              <w:rPr>
                <w:rFonts w:ascii="Calibri" w:hAnsi="Calibri" w:eastAsia="Calibri"/>
                <w:sz w:val="20"/>
              </w:rPr>
              <w:t xml:space="preserve"> Los cuatro casos de uso que el modelo de permisos promete (D-22)</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H-80</w:t>
            </w:r>
            <w:r>
              <w:rPr>
                <w:rFonts w:ascii="Calibri" w:hAnsi="Calibri" w:eastAsia="Calibri"/>
                <w:sz w:val="20"/>
              </w:rPr>
              <w:t xml:space="preserve"> Confirmar los siete cambios marcados «por verificar»</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H-81</w:t>
            </w:r>
            <w:r>
              <w:rPr>
                <w:rFonts w:ascii="Calibri" w:hAnsi="Calibri" w:eastAsia="Calibri"/>
                <w:sz w:val="20"/>
              </w:rPr>
              <w:t xml:space="preserve"> Revisar de punta a punta la primera entrega de negocio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H-82</w:t>
            </w:r>
            <w:r>
              <w:rPr>
                <w:rFonts w:ascii="Calibri" w:hAnsi="Calibri" w:eastAsia="Calibri"/>
                <w:sz w:val="20"/>
              </w:rPr>
              <w:t xml:space="preserve"> Armar la entrega parcial de sistema, recortando lo que sobra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H-83</w:t>
            </w:r>
            <w:r>
              <w:rPr>
                <w:rFonts w:ascii="Calibri" w:hAnsi="Calibri" w:eastAsia="Calibri"/>
                <w:sz w:val="20"/>
              </w:rPr>
              <w:t xml:space="preserve"> El panel de la guia de reparacion en el detalle de la incidencia</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H-84</w:t>
            </w:r>
            <w:r>
              <w:rPr>
                <w:rFonts w:ascii="Calibri" w:hAnsi="Calibri" w:eastAsia="Calibri"/>
                <w:sz w:val="20"/>
              </w:rPr>
              <w:t xml:space="preserve"> CP-15: la guia de reparacion con el proveedor caido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H-85</w:t>
            </w:r>
            <w:r>
              <w:rPr>
                <w:rFonts w:ascii="Calibri" w:hAnsi="Calibri" w:eastAsia="Calibri"/>
                <w:sz w:val="20"/>
              </w:rPr>
              <w:t xml:space="preserve"> Redisenio del frontend: aplicar la direccion financiera</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H-86</w:t>
            </w:r>
            <w:r>
              <w:rPr>
                <w:rFonts w:ascii="Calibri" w:hAnsi="Calibri" w:eastAsia="Calibri"/>
                <w:sz w:val="20"/>
              </w:rPr>
              <w:t xml:space="preserve"> Las catorce imagenes de diagramas que faltan reemplazar a mano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H-87</w:t>
            </w:r>
            <w:r>
              <w:rPr>
                <w:rFonts w:ascii="Calibri" w:hAnsi="Calibri" w:eastAsia="Calibri"/>
                <w:sz w:val="20"/>
              </w:rPr>
              <w:t xml:space="preserve"> El multiidioma cumplia a medias lo que el RNF promete</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E6</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H-88</w:t>
            </w:r>
            <w:r>
              <w:rPr>
                <w:rFonts w:ascii="Calibri" w:hAnsi="Calibri" w:eastAsia="Calibri"/>
                <w:sz w:val="20"/>
              </w:rPr>
              <w:t xml:space="preserve"> Revision de coherencia de punta a punta, como auditor externo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E8</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H-89</w:t>
            </w:r>
            <w:r>
              <w:rPr>
                <w:rFonts w:ascii="Calibri" w:hAnsi="Calibri" w:eastAsia="Calibri"/>
                <w:sz w:val="20"/>
              </w:rPr>
              <w:t xml:space="preserve"> Lo que quedaba abierto de la revision OWASP: A02 y A08</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E2</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H-90</w:t>
            </w:r>
            <w:r>
              <w:rPr>
                <w:rFonts w:ascii="Calibri" w:hAnsi="Calibri" w:eastAsia="Calibri"/>
                <w:sz w:val="20"/>
              </w:rPr>
              <w:t xml:space="preserve"> La capa de negocio, con pruebas propias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E7</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H-91</w:t>
            </w:r>
            <w:r>
              <w:rPr>
                <w:rFonts w:ascii="Calibri" w:hAnsi="Calibri" w:eastAsia="Calibri"/>
                <w:sz w:val="20"/>
              </w:rPr>
              <w:t xml:space="preserve"> El mantenimiento deja de ser solo un registro: el plan y su agenda</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onsolas" w:hAnsi="Consolas" w:eastAsia="Consolas"/>
                <w:sz w:val="19"/>
              </w:rPr>
              <w:t>E3</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H-92</w:t>
            </w:r>
            <w:r>
              <w:rPr>
                <w:rFonts w:ascii="Calibri" w:hAnsi="Calibri" w:eastAsia="Calibri"/>
                <w:sz w:val="20"/>
              </w:rPr>
              <w:t xml:space="preserve"> La facturacion del servicio: el modelo de ingresos entra al sistema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E3</w:t>
            </w:r>
          </w:p>
        </w:tc>
      </w:tr>
    </w:tbl>
    <w:p>
      <w:pPr>
        <w:spacing w:after="80"/>
      </w:pPr>
    </w:p>
    <w:p>
      <w:pPr>
        <w:pStyle w:val="Heading2"/>
        <w:pBdr>
          <w:bottom w:val="single" w:sz="6" w:space="6" w:color="2F5496"/>
        </w:pBdr>
        <w:spacing w:before="440"/>
      </w:pPr>
      <w:r>
        <w:rPr>
          <w:rFonts w:ascii="Calibri" w:hAnsi="Calibri" w:eastAsia="Calibri"/>
          <w:color w:val="2F5496"/>
        </w:rPr>
        <w:t>Cómo se lee esto</w:t>
      </w:r>
    </w:p>
    <w:tbl>
      <w:tblPr>
        <w:tblW w:type="auto" w:w="0"/>
        <w:jc w:val="center"/>
        <w:tblLook w:firstColumn="1" w:firstRow="1" w:lastColumn="0" w:lastRow="0" w:noHBand="0" w:noVBand="1" w:val="04A0"/>
      </w:tblPr>
      <w:tblGrid>
        <w:gridCol w:w="4680"/>
        <w:gridCol w:w="4680"/>
      </w:tblGrid>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onsolas" w:hAnsi="Consolas" w:eastAsia="Consolas"/>
                <w:b/>
                <w:sz w:val="19"/>
              </w:rPr>
              <w:t>[x]</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Terminada: cumple las siete condiciones de la Definición de Terminado</w:t>
            </w:r>
          </w:p>
        </w:tc>
      </w:tr>
      <w:tr>
        <w:trPr>
          <w:cantSplit w:val="true"/>
        </w:trPr>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onsolas" w:hAnsi="Consolas" w:eastAsia="Consolas"/>
                <w:b/>
                <w:sz w:val="19"/>
              </w:rPr>
              <w:t>[~]</w:t>
            </w:r>
          </w:p>
        </w:tc>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En curso</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b/>
                <w:sz w:val="19"/>
              </w:rPr>
              <w:t>[ ]</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Pendiente</w:t>
            </w:r>
          </w:p>
        </w:tc>
      </w:tr>
    </w:tbl>
    <w:p>
      <w:pPr>
        <w:spacing w:after="80"/>
      </w:pPr>
    </w:p>
    <w:p>
      <w:r>
        <w:t xml:space="preserve">El detalle de cada historia —criterios de aceptación, tareas, riesgos— está en </w:t>
      </w:r>
      <w:r>
        <w:rPr>
          <w:rFonts w:ascii="Consolas" w:hAnsi="Consolas" w:eastAsia="Consolas"/>
          <w:sz w:val="21"/>
        </w:rPr>
        <w:t>PLAN-DE-SPRINTS.md</w:t>
      </w:r>
      <w:r>
        <w:t xml:space="preserve">. La fuente única de la que sale </w:t>
      </w:r>
      <w:r>
        <w:rPr>
          <w:b/>
        </w:rPr>
        <w:t>esta página, el tablero de Trello y los issues de GitHub</w:t>
      </w:r>
      <w:r>
        <w:t xml:space="preserve"> es </w:t>
      </w:r>
      <w:r>
        <w:rPr>
          <w:rFonts w:ascii="Consolas" w:hAnsi="Consolas" w:eastAsia="Consolas"/>
          <w:sz w:val="21"/>
        </w:rPr>
        <w:t>backlog.json</w:t>
      </w:r>
      <w:r>
        <w:t>: tres vistas, un solo backlog. Una vista que se mantiene aparte se desincroniza en la primera semana.</w:t>
      </w:r>
    </w:p>
    <w:p>
      <w:pPr>
        <w:spacing w:line="240" w:lineRule="auto" w:after="0"/>
        <w:ind w:left="283" w:right="113"/>
        <w:jc w:val="left"/>
        <w:shd w:val="clear" w:fill="F4F6F7"/>
      </w:pPr>
      <w:r>
        <w:rPr>
          <w:rFonts w:ascii="Consolas" w:hAnsi="Consolas" w:eastAsia="Consolas"/>
          <w:sz w:val="19"/>
        </w:rPr>
        <w:t>python _a-roadmap.py     # regenera esta página</w:t>
      </w:r>
    </w:p>
    <w:p>
      <w:pPr>
        <w:spacing w:line="240" w:lineRule="auto" w:after="0"/>
        <w:ind w:left="283" w:right="113"/>
        <w:jc w:val="left"/>
        <w:shd w:val="clear" w:fill="F4F6F7"/>
      </w:pPr>
      <w:r>
        <w:rPr>
          <w:rFonts w:ascii="Consolas" w:hAnsi="Consolas" w:eastAsia="Consolas"/>
          <w:sz w:val="19"/>
        </w:rPr>
        <w:t>python _a-trello.py      # crea o actualiza el tablero de Trello</w:t>
      </w:r>
    </w:p>
    <w:p>
      <w:pPr>
        <w:spacing w:line="240" w:lineRule="auto" w:after="0"/>
        <w:ind w:left="283" w:right="113"/>
        <w:jc w:val="left"/>
        <w:shd w:val="clear" w:fill="F4F6F7"/>
      </w:pPr>
      <w:r>
        <w:rPr>
          <w:rFonts w:ascii="Consolas" w:hAnsi="Consolas" w:eastAsia="Consolas"/>
          <w:sz w:val="19"/>
        </w:rPr>
        <w:t>powershell -File _a-github.ps1   # hitos, etiquetas, issues y tablero de GitHub</w:t>
      </w:r>
    </w:p>
    <w:p>
      <w:r>
        <w:t xml:space="preserve">&lt;sub&gt;Generado desde </w:t>
      </w:r>
      <w:r>
        <w:rPr>
          <w:rFonts w:ascii="Consolas" w:hAnsi="Consolas" w:eastAsia="Consolas"/>
          <w:sz w:val="21"/>
        </w:rPr>
        <w:t>backlog.json</w:t>
      </w:r>
      <w:r>
        <w:t xml:space="preserve"> el 2026-09-02. No editar a mano.&lt;/sub&gt;</w:t>
      </w:r>
    </w:p>
    <w:p>
      <w:r>
        <w:br w:type="page"/>
      </w:r>
    </w:p>
    <w:p>
      <w:pPr>
        <w:pStyle w:val="Heading1"/>
        <w:pBdr>
          <w:bottom w:val="single" w:sz="6" w:space="6" w:color="2F5496"/>
        </w:pBdr>
      </w:pPr>
      <w:r>
        <w:rPr>
          <w:rFonts w:ascii="Calibri" w:hAnsi="Calibri" w:eastAsia="Calibri"/>
        </w:rPr>
        <w:t>Lo que falta</w:t>
      </w:r>
    </w:p>
    <w:p>
      <w:pPr>
        <w:spacing w:before="120" w:after="200"/>
        <w:ind w:left="397"/>
        <w:pBdr>
          <w:left w:val="single" w:sz="18" w:space="10" w:color="2F5496"/>
        </w:pBdr>
      </w:pPr>
      <w:r>
        <w:rPr>
          <w:i/>
          <w:color w:val="444444"/>
        </w:rPr>
        <w:t>PredictIT · Trabajo Final de Ingeniería · Patricio Pettini · B00072710-T1 ·</w:t>
      </w:r>
    </w:p>
    <w:p>
      <w:pPr>
        <w:spacing w:before="120" w:after="200"/>
        <w:ind w:left="397"/>
        <w:pBdr>
          <w:left w:val="single" w:sz="18" w:space="10" w:color="2F5496"/>
        </w:pBdr>
      </w:pPr>
      <w:r>
        <w:rPr>
          <w:b/>
          <w:i/>
          <w:color w:val="444444"/>
        </w:rPr>
        <w:t>Grupo 2</w:t>
      </w:r>
      <w:r>
        <w:rPr>
          <w:i/>
          <w:color w:val="444444"/>
        </w:rPr>
        <w:t xml:space="preserve"> · Universidad Abierta Interamericana</w:t>
      </w:r>
    </w:p>
    <w:p>
      <w:pPr>
        <w:spacing w:before="120" w:after="200"/>
        <w:ind w:left="397"/>
        <w:pBdr>
          <w:left w:val="single" w:sz="18" w:space="10" w:color="2F5496"/>
        </w:pBdr>
      </w:pPr>
    </w:p>
    <w:p>
      <w:pPr>
        <w:spacing w:before="120" w:after="200"/>
        <w:ind w:left="397"/>
        <w:pBdr>
          <w:left w:val="single" w:sz="18" w:space="10" w:color="2F5496"/>
        </w:pBdr>
      </w:pPr>
      <w:r>
        <w:rPr>
          <w:i/>
          <w:color w:val="444444"/>
        </w:rPr>
        <w:t xml:space="preserve">Estado al </w:t>
      </w:r>
      <w:r>
        <w:rPr>
          <w:b/>
          <w:i/>
          <w:color w:val="444444"/>
        </w:rPr>
        <w:t>11 de septiembre de 2026</w:t>
      </w:r>
      <w:r>
        <w:rPr>
          <w:i/>
          <w:color w:val="444444"/>
        </w:rPr>
        <w:t>, después de los dos módulos nuevos</w:t>
      </w:r>
    </w:p>
    <w:p>
      <w:pPr>
        <w:spacing w:before="120" w:after="200"/>
        <w:ind w:left="397"/>
        <w:pBdr>
          <w:left w:val="single" w:sz="18" w:space="10" w:color="2F5496"/>
        </w:pBdr>
      </w:pPr>
      <w:r>
        <w:rPr>
          <w:i/>
          <w:color w:val="444444"/>
        </w:rPr>
        <w:t>—plan y agenda de mantenimiento, y facturación del servicio—.</w:t>
      </w:r>
    </w:p>
    <w:p>
      <w:r>
        <w:t xml:space="preserve">Este documento existe porque la respuesta a «¿qué falta?» estaba repartida entre el backlog, el plan de la Entrega 1, la revisión OWASP y los LEEME de cada carpeta, y juntarla a mano cada vez es la forma más rápida de olvidarse de algo. Acá está entero, separado por lo único que importa para saber si se puede hacer hoy: </w:t>
      </w:r>
      <w:r>
        <w:rPr>
          <w:b/>
        </w:rPr>
        <w:t>de qué depende</w:t>
      </w:r>
      <w:r>
        <w:t>.</w:t>
      </w:r>
    </w:p>
    <w:p>
      <w:r>
        <w:t xml:space="preserve">Lo que </w:t>
      </w:r>
      <w:r>
        <w:rPr>
          <w:b/>
        </w:rPr>
        <w:t>no</w:t>
      </w:r>
      <w:r>
        <w:t xml:space="preserve"> está acá es lo que ya se hizo. Para eso están la hoja de ruta y el registro de cambios.</w:t>
      </w:r>
    </w:p>
    <w:p>
      <w:pPr>
        <w:pStyle w:val="Heading2"/>
        <w:pBdr>
          <w:bottom w:val="single" w:sz="6" w:space="6" w:color="2F5496"/>
        </w:pBdr>
        <w:spacing w:before="440"/>
      </w:pPr>
      <w:r>
        <w:rPr>
          <w:rFonts w:ascii="Calibri" w:hAnsi="Calibri" w:eastAsia="Calibri"/>
          <w:color w:val="2F5496"/>
        </w:rPr>
        <w:t>Fechas</w:t>
      </w:r>
    </w:p>
    <w:tbl>
      <w:tblPr>
        <w:tblW w:type="auto" w:w="0"/>
        <w:jc w:val="center"/>
        <w:tblLook w:firstColumn="1" w:firstRow="1" w:lastColumn="0" w:lastRow="0" w:noHBand="0" w:noVBand="1" w:val="04A0"/>
      </w:tblPr>
      <w:tblGrid>
        <w:gridCol w:w="4680"/>
        <w:gridCol w:w="4680"/>
      </w:tblGrid>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Entrega 1 de negocio · Grupo 2</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viernes 18 de septiembre de 2026</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Entrega 2 de negocio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16 de octubre de 2026</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Entrega 2 de tecnología</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fecha por confirmar con la cátedra</w:t>
            </w:r>
          </w:p>
        </w:tc>
      </w:tr>
      <w:tr>
        <w:trPr>
          <w:cantSplit w:val="true"/>
        </w:trPr>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b/>
                <w:sz w:val="20"/>
              </w:rPr>
              <w:t>Congelamiento propio</w:t>
            </w:r>
          </w:p>
        </w:tc>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30 de octubre de 2026</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Entrega final</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11 de noviembre de 2026</w:t>
            </w:r>
          </w:p>
        </w:tc>
      </w:tr>
    </w:tbl>
    <w:p>
      <w:pPr>
        <w:spacing w:after="80"/>
      </w:pPr>
    </w:p>
    <w:p>
      <w:r>
        <w:t xml:space="preserve">Son las del </w:t>
      </w:r>
      <w:r>
        <w:rPr>
          <w:b/>
        </w:rPr>
        <w:t>Grupo 2</w:t>
      </w:r>
      <w:r>
        <w:t>. La cátedra alterna el orden de los grupos entre entregas, así que la fecha del Grupo 1 no sirve de referencia.</w:t>
      </w:r>
    </w:p>
    <w:p>
      <w:pPr>
        <w:pStyle w:val="Heading2"/>
        <w:pBdr>
          <w:bottom w:val="single" w:sz="6" w:space="6" w:color="2F5496"/>
        </w:pBdr>
        <w:spacing w:before="440"/>
      </w:pPr>
      <w:r>
        <w:rPr>
          <w:rFonts w:ascii="Calibri" w:hAnsi="Calibri" w:eastAsia="Calibri"/>
          <w:color w:val="2F5496"/>
        </w:rPr>
        <w:t>1 · La Entrega 1 de negocio, del viernes 18/09</w:t>
      </w:r>
    </w:p>
    <w:p>
      <w:r>
        <w:rPr>
          <w:b/>
        </w:rPr>
        <w:t>Está armada y verificada.</w:t>
      </w:r>
      <w:r>
        <w:t xml:space="preserve"> La carpeta es </w:t>
      </w:r>
      <w:r>
        <w:rPr>
          <w:rFonts w:ascii="Consolas" w:hAnsi="Consolas" w:eastAsia="Consolas"/>
          <w:sz w:val="21"/>
        </w:rPr>
        <w:t>ENTREGABLES/ENTREGA NEGOCIO/PRIMER ENTREGA/</w:t>
      </w:r>
      <w:r>
        <w:t xml:space="preserve"> y lleva tres archivos: el plan de negocio en Word y PDF, el presupuesto financiero recortado a diez hojas, y el log de prompts. El modelo recalcula sin errores y la celda de control —el escenario base contra el flujo de fondos— da cero.</w:t>
      </w:r>
    </w:p>
    <w:p>
      <w:r>
        <w:t xml:space="preserve">La fecha es la del </w:t>
      </w:r>
      <w:r>
        <w:rPr>
          <w:b/>
        </w:rPr>
        <w:t>Grupo 2</w:t>
      </w:r>
      <w:r>
        <w:t>. La cátedra alterna el orden entre entregas: en la primera el Grupo 1 entregó el 11/09 y el Grupo 2 entrega el 18; en la segunda se invierte y el Grupo 2 abre el 16/10.</w:t>
      </w:r>
    </w:p>
    <w:p>
      <w:r>
        <w:rPr>
          <w:b/>
        </w:rPr>
        <w:t>Después viene la Entrega 2, del 16/10</w:t>
      </w:r>
      <w:r>
        <w:t>, y es lo único con trabajo de redacción por delante: su contenido depende de qué traiga la corrección de ésta, así que no se puede adelantar.</w:t>
      </w:r>
    </w:p>
    <w:p>
      <w:r>
        <w:t xml:space="preserve">Lo que </w:t>
      </w:r>
      <w:r>
        <w:rPr>
          <w:b/>
        </w:rPr>
        <w:t>ya está calculado</w:t>
      </w:r>
      <w:r>
        <w:t xml:space="preserve"> en el libro y sólo hay que recortar: modelo de inversión, amortizaciones, impuestos, métricas SaaS, flujo de fondos, matriz de riesgos y los tres escenarios. Son las once hojas que la primera entrega deja afuera.</w:t>
      </w:r>
    </w:p>
    <w:p>
      <w:r>
        <w:t xml:space="preserve">Lo que </w:t>
      </w:r>
      <w:r>
        <w:rPr>
          <w:b/>
        </w:rPr>
        <w:t>falta escribir</w:t>
      </w:r>
      <w:r>
        <w:t xml:space="preserve">: el documento de la entrega, y el script </w:t>
      </w:r>
      <w:r>
        <w:rPr>
          <w:rFonts w:ascii="Consolas" w:hAnsi="Consolas" w:eastAsia="Consolas"/>
          <w:sz w:val="21"/>
        </w:rPr>
        <w:t>docs/negocio/_entrega-2.py</w:t>
      </w:r>
      <w:r>
        <w:t xml:space="preserve"> que arma la carpeta —hoy existe el de la primera y el recorte al revés es de dos líneas—.</w:t>
      </w:r>
    </w:p>
    <w:p>
      <w:pPr>
        <w:pStyle w:val="Heading2"/>
        <w:pBdr>
          <w:bottom w:val="single" w:sz="6" w:space="6" w:color="2F5496"/>
        </w:pBdr>
        <w:spacing w:before="440"/>
      </w:pPr>
      <w:r>
        <w:rPr>
          <w:rFonts w:ascii="Calibri" w:hAnsi="Calibri" w:eastAsia="Calibri"/>
          <w:color w:val="2F5496"/>
        </w:rPr>
        <w:t>2 · Lo que se puede hacer hoy</w:t>
      </w:r>
    </w:p>
    <w:p>
      <w:r>
        <w:rPr>
          <w:b/>
        </w:rPr>
        <w:t>Rehacer a mano en Enterprise Architect los tres diagramas nuevos.</w:t>
      </w:r>
      <w:r>
        <w:t xml:space="preserve"> Los CU-019, CU-020 y CU-021 ya tienen su diagrama de secuencia en 10.4.4 (D-50), pero son los que genera </w:t>
      </w:r>
      <w:r>
        <w:rPr>
          <w:rFonts w:ascii="Consolas" w:hAnsi="Consolas" w:eastAsia="Consolas"/>
          <w:sz w:val="21"/>
        </w:rPr>
        <w:t>_diagramas-ea.py</w:t>
      </w:r>
      <w:r>
        <w:t xml:space="preserve">, no versiones rehechas a mano: la tabla </w:t>
      </w:r>
      <w:r>
        <w:rPr>
          <w:rFonts w:ascii="Consolas" w:hAnsi="Consolas" w:eastAsia="Consolas"/>
          <w:sz w:val="21"/>
        </w:rPr>
        <w:t>EQUIVALENCIA</w:t>
      </w:r>
      <w:r>
        <w:t xml:space="preserve"> de </w:t>
      </w:r>
      <w:r>
        <w:rPr>
          <w:rFonts w:ascii="Consolas" w:hAnsi="Consolas" w:eastAsia="Consolas"/>
          <w:sz w:val="21"/>
        </w:rPr>
        <w:t>docs/tecnico/_diagramas-del-modelo.py</w:t>
      </w:r>
      <w:r>
        <w:t xml:space="preserve"> cubre CU-001 a CU-013 y </w:t>
      </w:r>
      <w:r>
        <w:rPr>
          <w:rFonts w:ascii="Consolas" w:hAnsi="Consolas" w:eastAsia="Consolas"/>
          <w:sz w:val="21"/>
        </w:rPr>
        <w:t>Modelo Enterprise Architect - PredictIT.eap</w:t>
      </w:r>
      <w:r>
        <w:t xml:space="preserve"> no tiene los tres nuevos. Son correctos —salen de leer los controladores y los business—, pero se ven distintos de los otros trece. Dibujarlos en el modelo y sumarlos a </w:t>
      </w:r>
      <w:r>
        <w:rPr>
          <w:rFonts w:ascii="Consolas" w:hAnsi="Consolas" w:eastAsia="Consolas"/>
          <w:sz w:val="21"/>
        </w:rPr>
        <w:t>EQUIVALENCIA</w:t>
      </w:r>
      <w:r>
        <w:t xml:space="preserve"> cierra la diferencia.</w:t>
      </w:r>
    </w:p>
    <w:p>
      <w:r>
        <w:rPr>
          <w:b/>
        </w:rPr>
        <w:t>La corrida de clon limpio en la notebook donde se va a defender.</w:t>
      </w:r>
      <w:r>
        <w:t xml:space="preserve"> Es el criterio 3 de H-53 y conviene no dejarlo para el 30/10: si en esa máquina falta Docker, falta memoria o el build se cae, mejor enterarse con semanas. Son 2,3 GB de imágenes que no se bajan en el pasillo. El procedimiento y lo que salió al correrlo acá están en </w:t>
      </w:r>
      <w:r>
        <w:rPr>
          <w:rFonts w:ascii="Consolas" w:hAnsi="Consolas" w:eastAsia="Consolas"/>
          <w:sz w:val="21"/>
        </w:rPr>
        <w:t>tecnico/CLON-LIMPIO.md</w:t>
      </w:r>
      <w:r>
        <w:t>.</w:t>
      </w:r>
    </w:p>
    <w:p>
      <w:r>
        <w:rPr>
          <w:b/>
        </w:rPr>
        <w:t>Confirmar con la cátedra la fecha de la Entrega 2 de tecnología.</w:t>
      </w:r>
      <w:r>
        <w:t xml:space="preserve"> Es el único dato del cronograma que el proyecto no tiene, y aparece como «por confirmar» en la hoja de ruta y en los LEEME.</w:t>
      </w:r>
    </w:p>
    <w:p>
      <w:r>
        <w:rPr>
          <w:b/>
        </w:rPr>
        <w:t>Cargar el crédito de la API de Anthropic.</w:t>
      </w:r>
      <w:r>
        <w:t xml:space="preserve"> La demostración va con el servicio real (decisión 6 de H-53). Que la clave esté cargada no alcanza: sin saldo la llamada falla y el sistema asigna por respaldo, que es lo correcto pero no es lo que se quiere mostrar. Verificarlo </w:t>
      </w:r>
      <w:r>
        <w:rPr>
          <w:b/>
        </w:rPr>
        <w:t>el día anterior</w:t>
      </w:r>
      <w:r>
        <w:t>.</w:t>
      </w:r>
    </w:p>
    <w:p>
      <w:pPr>
        <w:pStyle w:val="Heading2"/>
        <w:pBdr>
          <w:bottom w:val="single" w:sz="6" w:space="6" w:color="2F5496"/>
        </w:pBdr>
        <w:spacing w:before="440"/>
      </w:pPr>
      <w:r>
        <w:rPr>
          <w:rFonts w:ascii="Calibri" w:hAnsi="Calibri" w:eastAsia="Calibri"/>
          <w:color w:val="2F5496"/>
        </w:rPr>
        <w:t>3 · Lo que depende de una fecha</w:t>
      </w:r>
    </w:p>
    <w:p>
      <w:r>
        <w:rPr>
          <w:b/>
        </w:rPr>
        <w:t>H-52 · Ensayo de la defensa</w:t>
      </w:r>
      <w:r>
        <w:t xml:space="preserve"> — semana del 26/10. El guion está escrito (</w:t>
      </w:r>
      <w:r>
        <w:rPr>
          <w:rFonts w:ascii="Consolas" w:hAnsi="Consolas" w:eastAsia="Consolas"/>
          <w:sz w:val="21"/>
        </w:rPr>
        <w:t>defensa/GUION-DE-ENSAYO.md</w:t>
      </w:r>
      <w:r>
        <w:t xml:space="preserve">): el minutado, el recorrido paso a paso y las preguntas más probables con su respuesta. Lo que falta es ensayarlo </w:t>
      </w:r>
      <w:r>
        <w:rPr>
          <w:b/>
        </w:rPr>
        <w:t>con el reloj</w:t>
      </w:r>
      <w:r>
        <w:t>, tres veces, y probar en la máquina de la defensa las tres demostraciones que dependen de que el sistema ande: el CP-14 con la IA caída, el barrido predictivo generando alertas y el 403 por falta de patente.</w:t>
      </w:r>
    </w:p>
    <w:p>
      <w:r>
        <w:t xml:space="preserve">Queda una cosa por resolver ahí: con el proveedor real activo, </w:t>
      </w:r>
      <w:r>
        <w:rPr>
          <w:rFonts w:ascii="Consolas" w:hAnsi="Consolas" w:eastAsia="Consolas"/>
          <w:sz w:val="21"/>
        </w:rPr>
        <w:t>PREDICTIT_IA_FALLAR_CADA</w:t>
      </w:r>
      <w:r>
        <w:t xml:space="preserve"> ya no sirve para mostrar el CP-14 porque sólo afecta al simulado. La caída se demuestra volviendo esa organización a </w:t>
      </w:r>
      <w:r>
        <w:rPr>
          <w:b/>
        </w:rPr>
        <w:t>Simulado</w:t>
      </w:r>
      <w:r>
        <w:t xml:space="preserve"> con la variable en 1.</w:t>
      </w:r>
    </w:p>
    <w:p>
      <w:r>
        <w:rPr>
          <w:b/>
        </w:rPr>
        <w:t>H-53 · Congelamiento</w:t>
      </w:r>
      <w:r>
        <w:t xml:space="preserve"> — 30/10. Etiqueta anotada </w:t>
      </w:r>
      <w:r>
        <w:rPr>
          <w:rFonts w:ascii="Consolas" w:hAnsi="Consolas" w:eastAsia="Consolas"/>
          <w:sz w:val="21"/>
        </w:rPr>
        <w:t>v1</w:t>
      </w:r>
      <w:r>
        <w:t xml:space="preserve"> sobre el commit que ese día pase la verificación completa; la base de demostración regenerada desde la semilla y respaldada, con el respaldo en Drive </w:t>
      </w:r>
      <w:r>
        <w:rPr>
          <w:b/>
        </w:rPr>
        <w:t>y</w:t>
      </w:r>
      <w:r>
        <w:t xml:space="preserve"> en un pendrive; y el clon limpio andando en la notebook de la defensa. Las seis decisiones que la historia pedía están tomadas y escritas en el plan de sprints.</w:t>
      </w:r>
    </w:p>
    <w:p>
      <w:r>
        <w:rPr>
          <w:b/>
        </w:rPr>
        <w:t>El video.</w:t>
      </w:r>
      <w:r>
        <w:t xml:space="preserve"> Lo graba el autor.</w:t>
      </w:r>
    </w:p>
    <w:p>
      <w:pPr>
        <w:pStyle w:val="Heading2"/>
        <w:pBdr>
          <w:bottom w:val="single" w:sz="6" w:space="6" w:color="2F5496"/>
        </w:pBdr>
        <w:spacing w:before="440"/>
      </w:pPr>
      <w:r>
        <w:rPr>
          <w:rFonts w:ascii="Calibri" w:hAnsi="Calibri" w:eastAsia="Calibri"/>
          <w:color w:val="2F5496"/>
        </w:rPr>
        <w:t>4 · Lo que los dos módulos nuevos dejaron anotado</w:t>
      </w:r>
    </w:p>
    <w:p>
      <w:r>
        <w:t>Ninguna de las tres es deuda: son decisiones de alcance, escritas acá para que no parezcan olvidos en la defensa.</w:t>
      </w:r>
    </w:p>
    <w:p>
      <w:r>
        <w:rPr>
          <w:b/>
        </w:rPr>
        <w:t>El comprobante no es fiscal.</w:t>
      </w:r>
      <w:r>
        <w:t xml:space="preserve"> No hay CAE, ni punto de venta, ni integración con AFIP, y por eso la entidad se llama </w:t>
      </w:r>
      <w:r>
        <w:rPr>
          <w:rFonts w:ascii="Consolas" w:hAnsi="Consolas" w:eastAsia="Consolas"/>
          <w:sz w:val="21"/>
        </w:rPr>
        <w:t>Comprobante</w:t>
      </w:r>
      <w:r>
        <w:t xml:space="preserve"> y no </w:t>
      </w:r>
      <w:r>
        <w:rPr>
          <w:rFonts w:ascii="Consolas" w:hAnsi="Consolas" w:eastAsia="Consolas"/>
          <w:sz w:val="21"/>
        </w:rPr>
        <w:t>Factura</w:t>
      </w:r>
      <w:r>
        <w:t>. Es el registro interno del servicio. Integrarlo con facturación electrónica es trabajo posterior y no cambia el modelo: agrega campos y una llamada externa.</w:t>
      </w:r>
    </w:p>
    <w:p>
      <w:r>
        <w:rPr>
          <w:b/>
        </w:rPr>
        <w:t>La agenda no nivela la carga.</w:t>
      </w:r>
      <w:r>
        <w:t xml:space="preserve"> Si diez equipos del mismo tipo tienen su preventivo el mismo día, el sistema agenda los diez para ese día. Repartir el trabajo entre los técnicos disponibles es una función distinta —y una que exige saber la capacidad de cada uno—, y no está.</w:t>
      </w:r>
    </w:p>
    <w:p>
      <w:r>
        <w:rPr>
          <w:b/>
        </w:rPr>
        <w:t>No hay aviso automático de lo que vence.</w:t>
      </w:r>
      <w:r>
        <w:t xml:space="preserve"> La agenda hay que mirarla. Las notificaciones son la sección declarada fuera de alcance del capítulo 10.5, y esto entra ahí: el día que haya notificaciones, «tenés tres preventivos vencidos» es la primera que corresponde.</w:t>
      </w:r>
    </w:p>
    <w:p>
      <w:pPr>
        <w:pStyle w:val="Heading2"/>
        <w:pBdr>
          <w:bottom w:val="single" w:sz="6" w:space="6" w:color="2F5496"/>
        </w:pBdr>
        <w:spacing w:before="440"/>
      </w:pPr>
      <w:r>
        <w:rPr>
          <w:rFonts w:ascii="Calibri" w:hAnsi="Calibri" w:eastAsia="Calibri"/>
          <w:color w:val="2F5496"/>
        </w:rPr>
        <w:t>5 · Lo que está declarado y no es deuda escondida</w:t>
      </w:r>
    </w:p>
    <w:p>
      <w:r>
        <w:t>Nada de esto es un olvido: está escrito, con su motivo, y se dice así en la defensa en lugar de esperar que no lo pregunten.</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Dónde está declarado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A07 · No hay segundo factor de autenticación.</w:t>
            </w:r>
            <w:r>
              <w:rPr>
                <w:rFonts w:ascii="Calibri" w:hAnsi="Calibri" w:eastAsia="Calibri"/>
                <w:sz w:val="20"/>
              </w:rPr>
              <w:t xml:space="preserve"> Es consecuencia de decidir gestión de identidad propia sin IAM externo, con su ruta de migración escrita</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ADR 0014 · Revisión OWASP</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A08 · Los artefactos no se firman.</w:t>
            </w:r>
            <w:r>
              <w:rPr>
                <w:rFonts w:ascii="Calibri" w:hAnsi="Calibri" w:eastAsia="Calibri"/>
                <w:sz w:val="20"/>
              </w:rPr>
              <w:t xml:space="preserve"> Las dependencias sí están congeladas con su hash y el CI restaura en modo bloqueado; lo que falta es la attestation de procedencia de las imágenes</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Revisión OWASP</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TLS no está activo.</w:t>
            </w:r>
            <w:r>
              <w:rPr>
                <w:rFonts w:ascii="Calibri" w:hAnsi="Calibri" w:eastAsia="Calibri"/>
                <w:sz w:val="20"/>
              </w:rPr>
              <w:t xml:space="preserve"> Está configurado y probado; no se activa porque en </w:t>
            </w:r>
            <w:r>
              <w:rPr>
                <w:rFonts w:ascii="Consolas" w:hAnsi="Consolas" w:eastAsia="Consolas"/>
                <w:sz w:val="19"/>
              </w:rPr>
              <w:t>localhost</w:t>
            </w:r>
            <w:r>
              <w:rPr>
                <w:rFonts w:ascii="Calibri" w:hAnsi="Calibri" w:eastAsia="Calibri"/>
                <w:sz w:val="20"/>
              </w:rPr>
              <w:t xml:space="preserve"> el único certificado posible es autofirmado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frontend/nginx-tls.conf</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La capa de negocio es la de menor cobertura</w:t>
            </w:r>
            <w:r>
              <w:rPr>
                <w:rFonts w:ascii="Calibri" w:hAnsi="Calibri" w:eastAsia="Calibri"/>
                <w:sz w:val="20"/>
              </w:rPr>
              <w:t>, con 29,1 % contra 51,4 % del proyecto</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Cobertura</w:t>
            </w:r>
          </w:p>
        </w:tc>
      </w:tr>
      <w:tr>
        <w:trPr>
          <w:cantSplit w:val="true"/>
        </w:trPr>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b/>
                <w:sz w:val="20"/>
              </w:rPr>
              <w:t>La medición de carga es local.</w:t>
            </w:r>
            <w:r>
              <w:rPr>
                <w:rFonts w:ascii="Calibri" w:hAnsi="Calibri" w:eastAsia="Calibri"/>
                <w:sz w:val="20"/>
              </w:rPr>
              <w:t xml:space="preserve"> No mide latencia de red, ni carga sostenida de horas, ni escrituras concurrentes sobre la misma incidencia</w:t>
            </w:r>
          </w:p>
        </w:tc>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Carga</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Dos copias del proyecto no conviven</w:t>
            </w:r>
            <w:r>
              <w:rPr>
                <w:rFonts w:ascii="Calibri" w:hAnsi="Calibri" w:eastAsia="Calibri"/>
                <w:sz w:val="20"/>
              </w:rPr>
              <w:t xml:space="preserve"> en la misma máquina, por el nombre fijo de los contenedores</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Clon limpio</w:t>
            </w:r>
          </w:p>
        </w:tc>
      </w:tr>
    </w:tbl>
    <w:p>
      <w:pPr>
        <w:spacing w:after="80"/>
      </w:pPr>
    </w:p>
    <w:p>
      <w:pPr>
        <w:pStyle w:val="Heading2"/>
        <w:pBdr>
          <w:bottom w:val="single" w:sz="6" w:space="6" w:color="2F5496"/>
        </w:pBdr>
        <w:spacing w:before="440"/>
      </w:pPr>
      <w:r>
        <w:rPr>
          <w:rFonts w:ascii="Calibri" w:hAnsi="Calibri" w:eastAsia="Calibri"/>
          <w:color w:val="2F5496"/>
        </w:rPr>
        <w:t>Retomar el trabajo en otra máquina</w:t>
      </w:r>
    </w:p>
    <w:p>
      <w:r>
        <w:t xml:space="preserve">Todo lo que hace falta está en el repositorio; nada del estado vive sólo en la máquina donde se trabajó. El procedimiento completo —con lo que salió al correrlo— está en </w:t>
      </w:r>
      <w:r>
        <w:rPr>
          <w:rFonts w:ascii="Consolas" w:hAnsi="Consolas" w:eastAsia="Consolas"/>
          <w:sz w:val="21"/>
        </w:rPr>
        <w:t>tecnico/CLON-LIMPIO.md</w:t>
      </w:r>
      <w:r>
        <w:t>. En corto:</w:t>
      </w:r>
    </w:p>
    <w:p>
      <w:pPr>
        <w:spacing w:line="240" w:lineRule="auto" w:after="0"/>
        <w:ind w:left="283" w:right="113"/>
        <w:jc w:val="left"/>
        <w:shd w:val="clear" w:fill="F4F6F7"/>
      </w:pPr>
      <w:r>
        <w:rPr>
          <w:rFonts w:ascii="Consolas" w:hAnsi="Consolas" w:eastAsia="Consolas"/>
          <w:sz w:val="19"/>
        </w:rPr>
        <w:t>git clone &lt;repo&gt; ; cd TFI</w:t>
      </w:r>
    </w:p>
    <w:p>
      <w:pPr>
        <w:spacing w:line="240" w:lineRule="auto" w:after="0"/>
        <w:ind w:left="283" w:right="113"/>
        <w:jc w:val="left"/>
        <w:shd w:val="clear" w:fill="F4F6F7"/>
      </w:pPr>
      <w:r>
        <w:rPr>
          <w:rFonts w:ascii="Consolas" w:hAnsi="Consolas" w:eastAsia="Consolas"/>
          <w:sz w:val="19"/>
        </w:rPr>
        <w:t>copy .env.ejemplo .env        # y completar las tres claves</w:t>
      </w:r>
    </w:p>
    <w:p>
      <w:pPr>
        <w:spacing w:line="240" w:lineRule="auto" w:after="0"/>
        <w:ind w:left="283" w:right="113"/>
        <w:jc w:val="left"/>
        <w:shd w:val="clear" w:fill="F4F6F7"/>
      </w:pPr>
      <w:r>
        <w:rPr>
          <w:rFonts w:ascii="Consolas" w:hAnsi="Consolas" w:eastAsia="Consolas"/>
          <w:sz w:val="19"/>
        </w:rPr>
        <w:t>docker compose up -d          # SQL Server, API y frontend</w:t>
      </w:r>
    </w:p>
    <w:p>
      <w:pPr>
        <w:spacing w:line="240" w:lineRule="auto" w:after="0"/>
        <w:ind w:left="283" w:right="113"/>
        <w:jc w:val="left"/>
        <w:shd w:val="clear" w:fill="F4F6F7"/>
      </w:pPr>
      <w:r>
        <w:rPr>
          <w:rFonts w:ascii="Consolas" w:hAnsi="Consolas" w:eastAsia="Consolas"/>
          <w:sz w:val="19"/>
        </w:rPr>
        <w:t>.\db\aplicar.ps1              # esquemas y datos de demostración</w:t>
      </w:r>
    </w:p>
    <w:p>
      <w:pPr>
        <w:spacing w:line="240" w:lineRule="auto" w:after="0"/>
        <w:ind w:left="283" w:right="113"/>
        <w:jc w:val="left"/>
        <w:shd w:val="clear" w:fill="F4F6F7"/>
      </w:pPr>
      <w:r>
        <w:rPr>
          <w:rFonts w:ascii="Consolas" w:hAnsi="Consolas" w:eastAsia="Consolas"/>
          <w:sz w:val="19"/>
        </w:rPr>
        <w:t>cd backend ; dotnet test      # tienen que dar 340 en verde</w:t>
      </w:r>
    </w:p>
    <w:p>
      <w:pPr>
        <w:spacing w:line="240" w:lineRule="auto" w:after="0"/>
        <w:ind w:left="283" w:right="113"/>
        <w:jc w:val="left"/>
        <w:shd w:val="clear" w:fill="F4F6F7"/>
      </w:pPr>
      <w:r>
        <w:rPr>
          <w:rFonts w:ascii="Consolas" w:hAnsi="Consolas" w:eastAsia="Consolas"/>
          <w:sz w:val="19"/>
        </w:rPr>
        <w:t>cd ..\frontend ; npm ci ; npm test</w:t>
      </w:r>
    </w:p>
    <w:p>
      <w:r>
        <w:t xml:space="preserve">Dos cosas que </w:t>
      </w:r>
      <w:r>
        <w:rPr>
          <w:b/>
        </w:rPr>
        <w:t>no</w:t>
      </w:r>
      <w:r>
        <w:t xml:space="preserve"> están en el repositorio y hay que tener a mano:</w:t>
      </w:r>
    </w:p>
    <w:p>
      <w:pPr>
        <w:pStyle w:val="ListBullet"/>
      </w:pPr>
      <w:r>
        <w:t xml:space="preserve">Las tres claves del </w:t>
      </w:r>
      <w:r>
        <w:rPr>
          <w:rFonts w:ascii="Consolas" w:hAnsi="Consolas" w:eastAsia="Consolas"/>
          <w:sz w:val="21"/>
        </w:rPr>
        <w:t>.env</w:t>
      </w:r>
      <w:r>
        <w:t xml:space="preserve"> —contraseña de SQL Server, clave de firma del JWT y clave de cifrado—, que no se versionan a propósito.</w:t>
      </w:r>
    </w:p>
    <w:p>
      <w:pPr>
        <w:pStyle w:val="ListBullet"/>
      </w:pPr>
      <w:r>
        <w:rPr>
          <w:b/>
        </w:rPr>
        <w:t>Enterprise Architect</w:t>
      </w:r>
      <w:r>
        <w:t xml:space="preserve">, si se van a tocar los diagramas. Sin EA, </w:t>
      </w:r>
      <w:r>
        <w:rPr>
          <w:rFonts w:ascii="Consolas" w:hAnsi="Consolas" w:eastAsia="Consolas"/>
          <w:sz w:val="21"/>
        </w:rPr>
        <w:t>_diagramas-ea.py</w:t>
      </w:r>
      <w:r>
        <w:t xml:space="preserve"> avisa y no hace nada: las imágenes que ya están en </w:t>
      </w:r>
      <w:r>
        <w:rPr>
          <w:rFonts w:ascii="Consolas" w:hAnsi="Consolas" w:eastAsia="Consolas"/>
          <w:sz w:val="21"/>
        </w:rPr>
        <w:t>docs/diagramas-ea/</w:t>
      </w:r>
      <w:r>
        <w:t xml:space="preserve"> siguen sirviendo.</w:t>
      </w:r>
    </w:p>
    <w:p>
      <w:r>
        <w:t xml:space="preserve">Y una que conviene saber antes de empezar: </w:t>
      </w:r>
      <w:r>
        <w:rPr>
          <w:b/>
        </w:rPr>
        <w:t>dos copias del proyecto no conviven en la misma máquina</w:t>
      </w:r>
      <w:r>
        <w:t>, porque los contenedores tienen nombre fijo.</w:t>
      </w:r>
    </w:p>
    <w:p>
      <w:r>
        <w:t xml:space="preserve">Para verificar que todo quedó consistente después de cualquier cambio, el único comando que hay que recordar es </w:t>
      </w:r>
      <w:r>
        <w:rPr>
          <w:rFonts w:ascii="Consolas" w:hAnsi="Consolas" w:eastAsia="Consolas"/>
          <w:sz w:val="21"/>
        </w:rPr>
        <w:t>python docs/_verificar-alineacion.py</w:t>
      </w:r>
      <w:r>
        <w:t>: son dieciocho controles que comparan lo que el proyecto declara contra lo que efectivamente mide.</w:t>
      </w:r>
    </w:p>
    <w:p>
      <w:pPr>
        <w:pStyle w:val="Heading2"/>
        <w:pBdr>
          <w:bottom w:val="single" w:sz="6" w:space="6" w:color="2F5496"/>
        </w:pBdr>
        <w:spacing w:before="440"/>
      </w:pPr>
      <w:r>
        <w:rPr>
          <w:rFonts w:ascii="Calibri" w:hAnsi="Calibri" w:eastAsia="Calibri"/>
          <w:color w:val="2F5496"/>
        </w:rPr>
        <w:t>Cómo se mantiene este documento</w:t>
      </w:r>
    </w:p>
    <w:p>
      <w:r>
        <w:t xml:space="preserve">A mano, y con dos anclas que no dependen de que alguien se acuerde: las historias pendientes salen del </w:t>
      </w:r>
      <w:r>
        <w:rPr>
          <w:rFonts w:ascii="Consolas" w:hAnsi="Consolas" w:eastAsia="Consolas"/>
          <w:sz w:val="21"/>
        </w:rPr>
        <w:t>backlog.json</w:t>
      </w:r>
      <w:r>
        <w:t xml:space="preserve"> —que es la fuente única del avance— y las fechas son las mismas que verifican los controles de alineación. El control 18 compara las dos cosas contra este archivo y falla si dejan de coincidir.</w:t>
      </w:r>
    </w:p>
    <w:p>
      <w:r>
        <w:br w:type="page"/>
      </w:r>
    </w:p>
    <w:p>
      <w:pPr>
        <w:pStyle w:val="Heading1"/>
        <w:pBdr>
          <w:bottom w:val="single" w:sz="6" w:space="6" w:color="2F5496"/>
        </w:pBdr>
      </w:pPr>
      <w:r>
        <w:rPr>
          <w:rFonts w:ascii="Calibri" w:hAnsi="Calibri" w:eastAsia="Calibri"/>
        </w:rPr>
        <w:t>Cambios sobre el documento original</w:t>
      </w:r>
    </w:p>
    <w:p>
      <w:r>
        <w:t>Registro vivo. Cada vez que una decisión de desarrollo contradice o precisa lo que dice el documento (</w:t>
      </w:r>
      <w:r>
        <w:rPr>
          <w:rFonts w:ascii="Consolas" w:hAnsi="Consolas" w:eastAsia="Consolas"/>
          <w:sz w:val="21"/>
        </w:rPr>
        <w:t>Trabajo Final de Ingeniería - Pettini Patricio Ezequiel</w:t>
      </w:r>
      <w:r>
        <w:t xml:space="preserve">, v2.0, 10/07/2026), se anota acá </w:t>
      </w:r>
      <w:r>
        <w:rPr>
          <w:b/>
        </w:rPr>
        <w:t>en el momento</w:t>
      </w:r>
      <w:r>
        <w:t xml:space="preserve">. En la fase de cierre se aplica todo de una sola vez sobre el </w:t>
      </w:r>
      <w:r>
        <w:rPr>
          <w:rFonts w:ascii="Consolas" w:hAnsi="Consolas" w:eastAsia="Consolas"/>
          <w:sz w:val="21"/>
        </w:rPr>
        <w:t>.docx</w:t>
      </w:r>
      <w:r>
        <w:t>.</w:t>
      </w:r>
    </w:p>
    <w:p>
      <w:r>
        <w:rPr>
          <w:b/>
        </w:rPr>
        <w:t>Estado del documento de trabajo</w:t>
      </w:r>
      <w:r>
        <w:t xml:space="preserve"> (</w:t>
      </w:r>
      <w:r>
        <w:rPr>
          <w:rFonts w:ascii="Consolas" w:hAnsi="Consolas" w:eastAsia="Consolas"/>
          <w:sz w:val="21"/>
        </w:rPr>
        <w:t>docs/tfi/TFI-PredictIT.docx</w:t>
      </w:r>
      <w:r>
        <w:t xml:space="preserve">): completo respecto de la versión definitiva de septiembre. Se armó uniendo los dos Word parciales —uno traía el capítulo 10 con sus diagramas, el otro los capítulos 6 y 7— y portando desde el PDF las dos secciones que no existían en ninguno: </w:t>
      </w:r>
      <w:r>
        <w:rPr>
          <w:b/>
        </w:rPr>
        <w:t>6.5.3</w:t>
      </w:r>
      <w:r>
        <w:t xml:space="preserve"> (justificación económica de los precios) y </w:t>
      </w:r>
      <w:r>
        <w:rPr>
          <w:b/>
        </w:rPr>
        <w:t>7.7</w:t>
      </w:r>
      <w:r>
        <w:t xml:space="preserve"> (presupuesto y punto de equilibrio), que son la respuesta del autor a la devolución del 04/07/2026.</w:t>
      </w:r>
    </w:p>
    <w:p>
      <w:r>
        <w:t xml:space="preserve">Estados: </w:t>
      </w:r>
      <w:r>
        <w:rPr>
          <w:rFonts w:ascii="Consolas" w:hAnsi="Consolas" w:eastAsia="Consolas"/>
          <w:sz w:val="21"/>
        </w:rPr>
        <w:t>pendiente</w:t>
      </w:r>
      <w:r>
        <w:t xml:space="preserve"> (identificado, todavía no escrito) · </w:t>
      </w:r>
      <w:r>
        <w:rPr>
          <w:rFonts w:ascii="Consolas" w:hAnsi="Consolas" w:eastAsia="Consolas"/>
          <w:sz w:val="21"/>
        </w:rPr>
        <w:t>redactado</w:t>
      </w:r>
      <w:r>
        <w:t xml:space="preserve"> (texto nuevo listo en </w:t>
      </w:r>
      <w:r>
        <w:rPr>
          <w:rFonts w:ascii="Consolas" w:hAnsi="Consolas" w:eastAsia="Consolas"/>
          <w:sz w:val="21"/>
        </w:rPr>
        <w:t>docs/</w:t>
      </w:r>
      <w:r>
        <w:t xml:space="preserve">) · </w:t>
      </w:r>
      <w:r>
        <w:rPr>
          <w:rFonts w:ascii="Consolas" w:hAnsi="Consolas" w:eastAsia="Consolas"/>
          <w:sz w:val="21"/>
        </w:rPr>
        <w:t>pendiente de volcar al .docx</w:t>
      </w:r>
      <w:r>
        <w:t xml:space="preserve"> (el trabajo está hecho, falta pegarlo) · </w:t>
      </w:r>
      <w:r>
        <w:rPr>
          <w:rFonts w:ascii="Consolas" w:hAnsi="Consolas" w:eastAsia="Consolas"/>
          <w:sz w:val="21"/>
        </w:rPr>
        <w:t>aplicado</w:t>
      </w:r>
      <w:r>
        <w:t xml:space="preserve"> (ya volcado al </w:t>
      </w:r>
      <w:r>
        <w:rPr>
          <w:rFonts w:ascii="Consolas" w:hAnsi="Consolas" w:eastAsia="Consolas"/>
          <w:sz w:val="21"/>
        </w:rPr>
        <w:t>.docx</w:t>
      </w:r>
      <w:r>
        <w:t xml:space="preserve">) · </w:t>
      </w:r>
      <w:r>
        <w:rPr>
          <w:rFonts w:ascii="Consolas" w:hAnsi="Consolas" w:eastAsia="Consolas"/>
          <w:sz w:val="21"/>
        </w:rPr>
        <w:t>aplicado fuera del .docx</w:t>
      </w:r>
      <w:r>
        <w:t xml:space="preserve"> (vive en un anexo o en el código, y ahí corresponde) · </w:t>
      </w:r>
      <w:r>
        <w:rPr>
          <w:rFonts w:ascii="Consolas" w:hAnsi="Consolas" w:eastAsia="Consolas"/>
          <w:sz w:val="21"/>
        </w:rPr>
        <w:t>descartado</w:t>
      </w:r>
      <w:r>
        <w:t xml:space="preserve"> (se decidió no hacerlo, con el motivo).</w:t>
      </w:r>
    </w:p>
    <w:p>
      <w:r>
        <w:t>Del D-11 en adelante el registro había pasado a prosa libre y el estado se perdió: 22 de los 32 cambios no decían si estaban aplicados. Se les devolvió el campo, y los que no se pudieron confirmar quedaron marcados como tales en lugar de darse por hechos.</w:t>
      </w:r>
    </w:p>
    <w:p>
      <w:r>
        <w:rPr>
          <w:b/>
        </w:rPr>
        <w:t>El 09/09 se cerró esa deuda.</w:t>
      </w:r>
      <w:r>
        <w:t xml:space="preserve"> Los siete que quedaban sin confirmar se verificaron leyendo el documento, uno por uno: tres estaban aplicados y cuatro no —y decir «por verificar» los hacía parecer casi hechos, que es peor que decir que faltan—. Ya no queda ningún cambio con el estado sin determinar. Además, tres que decían depender de regenerar el DER, las pantallas o los diagramas quedaron marcados como lo que son: la dependencia se resolvió hace días y lo único que falta es pegarlos en el </w:t>
      </w:r>
      <w:r>
        <w:rPr>
          <w:rFonts w:ascii="Consolas" w:hAnsi="Consolas" w:eastAsia="Consolas"/>
          <w:sz w:val="21"/>
        </w:rPr>
        <w:t>.docx</w:t>
      </w:r>
      <w:r>
        <w:t>.</w:t>
      </w:r>
    </w:p>
    <w:p>
      <w:pPr>
        <w:pStyle w:val="Heading2"/>
        <w:pBdr>
          <w:bottom w:val="single" w:sz="6" w:space="6" w:color="2F5496"/>
        </w:pBdr>
        <w:spacing w:before="440"/>
      </w:pPr>
      <w:r>
        <w:rPr>
          <w:rFonts w:ascii="Calibri" w:hAnsi="Calibri" w:eastAsia="Calibri"/>
          <w:color w:val="2F5496"/>
        </w:rPr>
        <w:t>D-01 · Entorno del sistema: Java a C#</w:t>
      </w:r>
    </w:p>
    <w:tbl>
      <w:tblPr>
        <w:tblW w:type="auto" w:w="0"/>
        <w:jc w:val="center"/>
        <w:tblLook w:firstColumn="1" w:firstRow="1" w:lastColumn="0" w:lastRow="0" w:noHBand="0" w:noVBand="1" w:val="04A0"/>
      </w:tblPr>
      <w:tblGrid>
        <w:gridCol w:w="4680"/>
        <w:gridCol w:w="4680"/>
      </w:tblGrid>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Sección</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10.2.5 Descripción del entorno del sistema (tabla)</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Estado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aplicado</w:t>
            </w:r>
          </w:p>
        </w:tc>
      </w:tr>
    </w:tbl>
    <w:p>
      <w:pPr>
        <w:spacing w:after="80"/>
      </w:pPr>
    </w:p>
    <w:p>
      <w:r>
        <w:rPr>
          <w:b/>
        </w:rPr>
        <w:t>Dice hoy:</w:t>
      </w:r>
      <w:r>
        <w:t xml:space="preserve"> Framework Spring Boot · Lenguaje Java · Base de datos MySQL · Servidor Web IIS 10 ·</w:t>
      </w:r>
    </w:p>
    <w:p>
      <w:r>
        <w:t>Infraestructura Servidor - Azure.</w:t>
      </w:r>
    </w:p>
    <w:p>
      <w:r>
        <w:rPr>
          <w:b/>
        </w:rPr>
        <w:t>Tiene que decir:</w:t>
      </w:r>
      <w:r>
        <w:t xml:space="preserve"> Framework ASP.NET Core 9 (Web API) + React 19 · Lenguaje C# y TypeScript ·</w:t>
      </w:r>
    </w:p>
    <w:p>
      <w:r>
        <w:t>Base de datos Microsoft SQL Server 2022 (dos bases: negocio y servicio) · Servidor Web Kestrel detrás de reverse proxy · Infraestructura contenedores Docker, con despliegue previsto en Azure.</w:t>
      </w:r>
    </w:p>
    <w:p>
      <w:r>
        <w:rPr>
          <w:b/>
        </w:rPr>
        <w:t>Por qué:</w:t>
      </w:r>
      <w:r>
        <w:t xml:space="preserve"> C# es el lenguaje de la carrera y el del proyecto de referencia de 3.º año, lo que</w:t>
      </w:r>
    </w:p>
    <w:p>
      <w:r>
        <w:t xml:space="preserve">permite reutilizar el modelo de capas (DOMAIN / DAO / BLL / SERVICE) que evalúa la cátedra. SQL Server acompaña esa decisión y además habilita </w:t>
      </w:r>
      <w:r>
        <w:rPr>
          <w:rFonts w:ascii="Consolas" w:hAnsi="Consolas" w:eastAsia="Consolas"/>
          <w:sz w:val="21"/>
        </w:rPr>
        <w:t>BACKUP</w:t>
      </w:r>
      <w:r>
        <w:t>/</w:t>
      </w:r>
      <w:r>
        <w:rPr>
          <w:rFonts w:ascii="Consolas" w:hAnsi="Consolas" w:eastAsia="Consolas"/>
          <w:sz w:val="21"/>
        </w:rPr>
        <w:t>RESTORE DATABASE</w:t>
      </w:r>
      <w:r>
        <w:t xml:space="preserve"> nativo, que es lo que pide el Req. Arq. 003.</w:t>
      </w:r>
    </w:p>
    <w:p>
      <w:pPr>
        <w:pStyle w:val="Heading2"/>
        <w:pBdr>
          <w:bottom w:val="single" w:sz="6" w:space="6" w:color="2F5496"/>
        </w:pBdr>
        <w:spacing w:before="440"/>
      </w:pPr>
      <w:r>
        <w:rPr>
          <w:rFonts w:ascii="Calibri" w:hAnsi="Calibri" w:eastAsia="Calibri"/>
          <w:color w:val="2F5496"/>
        </w:rPr>
        <w:t>D-02 · Multi-organización en el DER</w:t>
      </w:r>
    </w:p>
    <w:tbl>
      <w:tblPr>
        <w:tblW w:type="auto" w:w="0"/>
        <w:jc w:val="center"/>
        <w:tblLook w:firstColumn="1" w:firstRow="1" w:lastColumn="0" w:lastRow="0" w:noHBand="0" w:noVBand="1" w:val="04A0"/>
      </w:tblPr>
      <w:tblGrid>
        <w:gridCol w:w="4680"/>
        <w:gridCol w:w="4680"/>
      </w:tblGrid>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Sección</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10.4.7 Diagrama Entidad Relación (DER Negocio) · 10.4.6 Diagrama de clases</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Estado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aplicado — los tres diagramas entidad-relacion del </w:t>
            </w:r>
            <w:r>
              <w:rPr>
                <w:rFonts w:ascii="Consolas" w:hAnsi="Consolas" w:eastAsia="Consolas"/>
                <w:sz w:val="19"/>
              </w:rPr>
              <w:t>.docx</w:t>
            </w:r>
            <w:r>
              <w:rPr>
                <w:rFonts w:ascii="Calibri" w:hAnsi="Calibri" w:eastAsia="Calibri"/>
                <w:sz w:val="20"/>
              </w:rPr>
              <w:t xml:space="preserve"> se reemplazaron el 09/09 por los que exporta Enterprise Architect, que se leen de las bases y por lo tanto traen </w:t>
            </w:r>
            <w:r>
              <w:rPr>
                <w:rFonts w:ascii="Consolas" w:hAnsi="Consolas" w:eastAsia="Consolas"/>
                <w:sz w:val="19"/>
              </w:rPr>
              <w:t>Organizacion</w:t>
            </w:r>
            <w:r>
              <w:rPr>
                <w:rFonts w:ascii="Calibri" w:hAnsi="Calibri" w:eastAsia="Calibri"/>
                <w:sz w:val="20"/>
              </w:rPr>
              <w:t>. El mapeo se resolvio por proporcion para no poner un diagrama en la seccion de otro</w:t>
            </w:r>
          </w:p>
        </w:tc>
      </w:tr>
    </w:tbl>
    <w:p>
      <w:pPr>
        <w:spacing w:after="80"/>
      </w:pPr>
    </w:p>
    <w:p>
      <w:r>
        <w:rPr>
          <w:b/>
        </w:rPr>
        <w:t>Dice hoy:</w:t>
      </w:r>
      <w:r>
        <w:t xml:space="preserve"> El DER de negocio no tiene entidad </w:t>
      </w:r>
      <w:r>
        <w:rPr>
          <w:rFonts w:ascii="Consolas" w:hAnsi="Consolas" w:eastAsia="Consolas"/>
          <w:sz w:val="21"/>
        </w:rPr>
        <w:t>Organizacion</w:t>
      </w:r>
      <w:r>
        <w:t>; las entidades cuelgan</w:t>
      </w:r>
    </w:p>
    <w:p>
      <w:r>
        <w:t>directamente unas de otras.</w:t>
      </w:r>
    </w:p>
    <w:p>
      <w:r>
        <w:rPr>
          <w:b/>
        </w:rPr>
        <w:t>Tiene que decir:</w:t>
      </w:r>
      <w:r>
        <w:t xml:space="preserve"> Se incorpora </w:t>
      </w:r>
      <w:r>
        <w:rPr>
          <w:rFonts w:ascii="Consolas" w:hAnsi="Consolas" w:eastAsia="Consolas"/>
          <w:sz w:val="21"/>
        </w:rPr>
        <w:t>Organizacion</w:t>
      </w:r>
      <w:r>
        <w:t xml:space="preserve"> como raíz del modelo de negocio. </w:t>
      </w:r>
      <w:r>
        <w:rPr>
          <w:rFonts w:ascii="Consolas" w:hAnsi="Consolas" w:eastAsia="Consolas"/>
          <w:sz w:val="21"/>
        </w:rPr>
        <w:t>Ubicacion</w:t>
      </w:r>
      <w:r>
        <w:t>,</w:t>
      </w:r>
    </w:p>
    <w:p>
      <w:r>
        <w:rPr>
          <w:rFonts w:ascii="Consolas" w:hAnsi="Consolas" w:eastAsia="Consolas"/>
          <w:sz w:val="21"/>
        </w:rPr>
        <w:t>Equipo</w:t>
      </w:r>
      <w:r>
        <w:t xml:space="preserve">, </w:t>
      </w:r>
      <w:r>
        <w:rPr>
          <w:rFonts w:ascii="Consolas" w:hAnsi="Consolas" w:eastAsia="Consolas"/>
          <w:sz w:val="21"/>
        </w:rPr>
        <w:t>Incidencia</w:t>
      </w:r>
      <w:r>
        <w:t xml:space="preserve">, </w:t>
      </w:r>
      <w:r>
        <w:rPr>
          <w:rFonts w:ascii="Consolas" w:hAnsi="Consolas" w:eastAsia="Consolas"/>
          <w:sz w:val="21"/>
        </w:rPr>
        <w:t>Mantenimiento</w:t>
      </w:r>
      <w:r>
        <w:t xml:space="preserve">, </w:t>
      </w:r>
      <w:r>
        <w:rPr>
          <w:rFonts w:ascii="Consolas" w:hAnsi="Consolas" w:eastAsia="Consolas"/>
          <w:sz w:val="21"/>
        </w:rPr>
        <w:t>AlertaPredictiva</w:t>
      </w:r>
      <w:r>
        <w:t xml:space="preserve">, </w:t>
      </w:r>
      <w:r>
        <w:rPr>
          <w:rFonts w:ascii="Consolas" w:hAnsi="Consolas" w:eastAsia="Consolas"/>
          <w:sz w:val="21"/>
        </w:rPr>
        <w:t>ReglaAlerta</w:t>
      </w:r>
      <w:r>
        <w:t xml:space="preserve"> y </w:t>
      </w:r>
      <w:r>
        <w:rPr>
          <w:rFonts w:ascii="Consolas" w:hAnsi="Consolas" w:eastAsia="Consolas"/>
          <w:sz w:val="21"/>
        </w:rPr>
        <w:t>ConfiguracionAsignacion</w:t>
      </w:r>
      <w:r>
        <w:t xml:space="preserve"> llevan </w:t>
      </w:r>
      <w:r>
        <w:rPr>
          <w:rFonts w:ascii="Consolas" w:hAnsi="Consolas" w:eastAsia="Consolas"/>
          <w:sz w:val="21"/>
        </w:rPr>
        <w:t>id_organizacion</w:t>
      </w:r>
      <w:r>
        <w:t>. El aislamiento entre organizaciones se resuelve en la capa DAO a partir del contexto de sesión.</w:t>
      </w:r>
    </w:p>
    <w:p>
      <w:r>
        <w:rPr>
          <w:b/>
        </w:rPr>
        <w:t>Por qué:</w:t>
      </w:r>
      <w:r>
        <w:t xml:space="preserve"> El propio plan de negocio define el Segmento C (proveedores tercerizados de soporte)</w:t>
      </w:r>
    </w:p>
    <w:p>
      <w:r>
        <w:t xml:space="preserve">como canal estratégico y vende un </w:t>
      </w:r>
      <w:r>
        <w:rPr>
          <w:b/>
        </w:rPr>
        <w:t>Plan Partner multi-cliente</w:t>
      </w:r>
      <w:r>
        <w:t xml:space="preserve"> (sección 5.3.6). Sin entidad organización ese plan no es implementable. Además, es el requisito que sostiene la sección 6.4.1 cuando habla del "portal multi-cliente".</w:t>
      </w:r>
    </w:p>
    <w:p>
      <w:pPr>
        <w:pStyle w:val="Heading2"/>
        <w:pBdr>
          <w:bottom w:val="single" w:sz="6" w:space="6" w:color="2F5496"/>
        </w:pBdr>
        <w:spacing w:before="440"/>
      </w:pPr>
      <w:r>
        <w:rPr>
          <w:rFonts w:ascii="Calibri" w:hAnsi="Calibri" w:eastAsia="Calibri"/>
          <w:color w:val="2F5496"/>
        </w:rPr>
        <w:t>D-03 · Alcance de la IA: sumar clasificación / triage</w:t>
      </w:r>
    </w:p>
    <w:tbl>
      <w:tblPr>
        <w:tblW w:type="auto" w:w="0"/>
        <w:jc w:val="center"/>
        <w:tblLook w:firstColumn="1" w:firstRow="1" w:lastColumn="0" w:lastRow="0" w:noHBand="0" w:noVBand="1" w:val="04A0"/>
      </w:tblPr>
      <w:tblGrid>
        <w:gridCol w:w="4680"/>
        <w:gridCol w:w="4680"/>
      </w:tblGrid>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Sección</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1.7 Capacidades centrales · 2.2.1.1 Cuadro comparativo · 6.4.1 Qué es y qué no es · 10.2.3 Alcance del desarrollo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Estado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aplicado en 1.7, 6.4.1 y 10.2.3 — falta el cuadro comparativo 2.2.1.1</w:t>
            </w:r>
          </w:p>
        </w:tc>
      </w:tr>
    </w:tbl>
    <w:p>
      <w:pPr>
        <w:spacing w:after="80"/>
      </w:pPr>
    </w:p>
    <w:p>
      <w:r>
        <w:rPr>
          <w:b/>
        </w:rPr>
        <w:t>Dice hoy:</w:t>
      </w:r>
      <w:r>
        <w:t xml:space="preserve"> La IA interviene únicamente en la asignación automática de incidencias a técnicos.</w:t>
      </w:r>
    </w:p>
    <w:p>
      <w:r>
        <w:rPr>
          <w:b/>
        </w:rPr>
        <w:t>Tiene que decir:</w:t>
      </w:r>
      <w:r>
        <w:t xml:space="preserve"> La IA interviene en dos puntos del ciclo de la incidencia:</w:t>
      </w:r>
    </w:p>
    <w:p>
      <w:r>
        <w:t xml:space="preserve">(a) </w:t>
      </w:r>
      <w:r>
        <w:rPr>
          <w:b/>
        </w:rPr>
        <w:t>triage / clasificación</w:t>
      </w:r>
      <w:r>
        <w:t xml:space="preserve"> del texto libre del solicitante: categoría del problema, severidad sugerida y detección de duplicados sobre el mismo equipo; y (b) </w:t>
      </w:r>
      <w:r>
        <w:rPr>
          <w:b/>
        </w:rPr>
        <w:t>asignación</w:t>
      </w:r>
      <w:r>
        <w:t xml:space="preserve"> del técnico responsable. El triage corre primero y alimenta el contexto de la asignación. En ambos casos rige el mismo principio: heurística por reglas primero, IA como refuerzo, y resultado siempre editable por el técnico.</w:t>
      </w:r>
    </w:p>
    <w:p>
      <w:r>
        <w:rPr>
          <w:b/>
        </w:rPr>
        <w:t>Por qué:</w:t>
      </w:r>
      <w:r>
        <w:t xml:space="preserve"> El usuario del Segmento A es no técnico y describe los problemas en lenguaje</w:t>
      </w:r>
    </w:p>
    <w:p>
      <w:r>
        <w:t>coloquial ("no anda", "hace un ruido raro"). Sin una capa de interpretación, la categoría y la severidad que llegan al motor de asignación son ruido, y la recomendación de técnico se degrada. El triage es el paso que convierte ese texto en datos utilizables.</w:t>
      </w:r>
    </w:p>
    <w:p>
      <w:pPr>
        <w:pStyle w:val="Heading2"/>
        <w:pBdr>
          <w:bottom w:val="single" w:sz="6" w:space="6" w:color="2F5496"/>
        </w:pBdr>
        <w:spacing w:before="440"/>
      </w:pPr>
      <w:r>
        <w:rPr>
          <w:rFonts w:ascii="Calibri" w:hAnsi="Calibri" w:eastAsia="Calibri"/>
          <w:color w:val="2F5496"/>
        </w:rPr>
        <w:t>D-04 · Requerimiento funcional nuevo para el triage</w:t>
      </w:r>
    </w:p>
    <w:tbl>
      <w:tblPr>
        <w:tblW w:type="auto" w:w="0"/>
        <w:jc w:val="center"/>
        <w:tblLook w:firstColumn="1" w:firstRow="1" w:lastColumn="0" w:lastRow="0" w:noHBand="0" w:noVBand="1" w:val="04A0"/>
      </w:tblPr>
      <w:tblGrid>
        <w:gridCol w:w="4680"/>
        <w:gridCol w:w="4680"/>
      </w:tblGrid>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Sección</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10.2.2 Especificaciones de requerimientos (tabla de RF)</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Estado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aplicado el RF-07b y el índice de CU — falta la especificación completa de CU-006b y su caso de prueba</w:t>
            </w:r>
          </w:p>
        </w:tc>
      </w:tr>
    </w:tbl>
    <w:p>
      <w:pPr>
        <w:spacing w:after="80"/>
      </w:pPr>
    </w:p>
    <w:p>
      <w:r>
        <w:rPr>
          <w:b/>
        </w:rPr>
        <w:t>Dice hoy:</w:t>
      </w:r>
      <w:r>
        <w:t xml:space="preserve"> RF-08 cubre la asignación mediante IA; no hay ningún RF de clasificación.</w:t>
      </w:r>
    </w:p>
    <w:p>
      <w:r>
        <w:rPr>
          <w:b/>
        </w:rPr>
        <w:t>Tiene que decir:</w:t>
      </w:r>
      <w:r>
        <w:t xml:space="preserve"> Se agrega un RF previo a RF-08 (numeración a definir al aplicar, para no</w:t>
      </w:r>
    </w:p>
    <w:p>
      <w:r>
        <w:t>romper las referencias existentes de RF-08 y RF-08b):</w:t>
      </w:r>
    </w:p>
    <w:p>
      <w:pPr>
        <w:pStyle w:val="ListBullet"/>
      </w:pPr>
      <w:r>
        <w:rPr>
          <w:b/>
        </w:rPr>
        <w:t>Entrada:</w:t>
      </w:r>
      <w:r>
        <w:t xml:space="preserve"> texto libre de la incidencia, equipo afectado e incidencias abiertas del mismo equipo.</w:t>
      </w:r>
    </w:p>
    <w:p>
      <w:pPr>
        <w:pStyle w:val="ListBullet"/>
      </w:pPr>
      <w:r>
        <w:rPr>
          <w:b/>
        </w:rPr>
        <w:t>Proceso:</w:t>
      </w:r>
      <w:r>
        <w:t xml:space="preserve"> aplicar heurísticas de clasificación por palabras clave y, como refuerzo, consultar al servicio de IA externo para obtener categoría, severidad sugerida y posibles duplicados. Si el servicio no responde, conservar el resultado de las heurísticas.</w:t>
      </w:r>
    </w:p>
    <w:p>
      <w:pPr>
        <w:pStyle w:val="ListBullet"/>
      </w:pPr>
      <w:r>
        <w:rPr>
          <w:b/>
        </w:rPr>
        <w:t>Salida:</w:t>
      </w:r>
      <w:r>
        <w:t xml:space="preserve"> incidencia clasificada con categoría y severidad sugeridas, y aviso de duplicado cuando corresponda, todo editable por el técnico.</w:t>
      </w:r>
    </w:p>
    <w:p>
      <w:r>
        <w:rPr>
          <w:b/>
        </w:rPr>
        <w:t>Por qué:</w:t>
      </w:r>
      <w:r>
        <w:t xml:space="preserve"> Derivado de D-03. Sin RF asociado, la funcionalidad no tendría caso de uso ni caso de</w:t>
      </w:r>
    </w:p>
    <w:p>
      <w:r>
        <w:t>prueba que la respalden.</w:t>
      </w:r>
    </w:p>
    <w:p>
      <w:pPr>
        <w:pStyle w:val="Heading2"/>
        <w:pBdr>
          <w:bottom w:val="single" w:sz="6" w:space="6" w:color="2F5496"/>
        </w:pBdr>
        <w:spacing w:before="440"/>
      </w:pPr>
      <w:r>
        <w:rPr>
          <w:rFonts w:ascii="Calibri" w:hAnsi="Calibri" w:eastAsia="Calibri"/>
          <w:color w:val="2F5496"/>
        </w:rPr>
        <w:t>D-05 · Pantallas del sistema</w:t>
      </w:r>
    </w:p>
    <w:tbl>
      <w:tblPr>
        <w:tblW w:type="auto" w:w="0"/>
        <w:jc w:val="center"/>
        <w:tblLook w:firstColumn="1" w:firstRow="1" w:lastColumn="0" w:lastRow="0" w:noHBand="0" w:noVBand="1" w:val="04A0"/>
      </w:tblPr>
      <w:tblGrid>
        <w:gridCol w:w="4680"/>
        <w:gridCol w:w="4680"/>
      </w:tblGrid>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Sección</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10.5 Pantallas del sistema (10.5.1.1 a 10.5.2.4)</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Estado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pendiente de volcar al </w:t>
            </w:r>
            <w:r>
              <w:rPr>
                <w:rFonts w:ascii="Consolas" w:hAnsi="Consolas" w:eastAsia="Consolas"/>
                <w:sz w:val="19"/>
              </w:rPr>
              <w:t>.docx</w:t>
            </w:r>
            <w:r>
              <w:rPr>
                <w:rFonts w:ascii="Calibri" w:hAnsi="Calibri" w:eastAsia="Calibri"/>
                <w:sz w:val="20"/>
              </w:rPr>
              <w:t xml:space="preserve"> — la dependencia ya no existe: las capturas reales estan hechas (D-24) y las pantallas descritas (D-29), los dos aplicados. Lo unico que falta es reemplazar los mockups del 10.5</w:t>
            </w:r>
          </w:p>
        </w:tc>
      </w:tr>
    </w:tbl>
    <w:p>
      <w:pPr>
        <w:spacing w:after="80"/>
      </w:pPr>
    </w:p>
    <w:p>
      <w:r>
        <w:rPr>
          <w:b/>
        </w:rPr>
        <w:t>Dice hoy:</w:t>
      </w:r>
      <w:r>
        <w:t xml:space="preserve"> Mockups de referencia de las 16 pantallas.</w:t>
      </w:r>
    </w:p>
    <w:p>
      <w:r>
        <w:rPr>
          <w:b/>
        </w:rPr>
        <w:t>Tiene que decir:</w:t>
      </w:r>
      <w:r>
        <w:t xml:space="preserve"> Capturas de las pantallas reales del sistema implementado.</w:t>
      </w:r>
    </w:p>
    <w:p>
      <w:r>
        <w:rPr>
          <w:b/>
        </w:rPr>
        <w:t>Por qué:</w:t>
      </w:r>
      <w:r>
        <w:t xml:space="preserve"> Los mockups actuales son bocetos previos al desarrollo. Al cierre se reemplazan por</w:t>
      </w:r>
    </w:p>
    <w:p>
      <w:r>
        <w:t>capturas de la aplicación funcionando, que son las que se muestran en la defensa.</w:t>
      </w:r>
    </w:p>
    <w:p>
      <w:pPr>
        <w:pStyle w:val="Heading2"/>
        <w:pBdr>
          <w:bottom w:val="single" w:sz="6" w:space="6" w:color="2F5496"/>
        </w:pBdr>
        <w:spacing w:before="440"/>
      </w:pPr>
      <w:r>
        <w:rPr>
          <w:rFonts w:ascii="Calibri" w:hAnsi="Calibri" w:eastAsia="Calibri"/>
          <w:color w:val="2F5496"/>
        </w:rPr>
        <w:t>D-06 · Diagramas de arquitectura</w:t>
      </w:r>
    </w:p>
    <w:tbl>
      <w:tblPr>
        <w:tblW w:type="auto" w:w="0"/>
        <w:jc w:val="center"/>
        <w:tblLook w:firstColumn="1" w:firstRow="1" w:lastColumn="0" w:lastRow="0" w:noHBand="0" w:noVBand="1" w:val="04A0"/>
      </w:tblPr>
      <w:tblGrid>
        <w:gridCol w:w="4680"/>
        <w:gridCol w:w="4680"/>
      </w:tblGrid>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Sección</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10.4.4 Diagrama de paquetes · 10.4.5 Diagrama de componentes · 10.4.8 Diagrama de despliegue</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Estado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aplicado — paquetes, componentes y despliegue son los tres de Enterprise Architect. Componentes y despliegue ya lo estaban; el de paquetes se reemplazo el 09/09</w:t>
            </w:r>
          </w:p>
        </w:tc>
      </w:tr>
    </w:tbl>
    <w:p>
      <w:pPr>
        <w:spacing w:after="80"/>
      </w:pPr>
    </w:p>
    <w:p>
      <w:r>
        <w:rPr>
          <w:b/>
        </w:rPr>
        <w:t>Dice hoy:</w:t>
      </w:r>
      <w:r>
        <w:t xml:space="preserve"> Diagramas genéricos, previos a la definición del stack.</w:t>
      </w:r>
    </w:p>
    <w:p>
      <w:r>
        <w:rPr>
          <w:b/>
        </w:rPr>
        <w:t>Tiene que decir:</w:t>
      </w:r>
      <w:r>
        <w:t xml:space="preserve"> Diagramas que reflejen la solución real: los cinco proyectos del backend con</w:t>
      </w:r>
    </w:p>
    <w:p>
      <w:r>
        <w:t>sus dependencias, el frontend React como componente separado, las dos bases de datos y el servicio externo de IA como sistema externo.</w:t>
      </w:r>
    </w:p>
    <w:p>
      <w:r>
        <w:rPr>
          <w:b/>
        </w:rPr>
        <w:t>Por qué:</w:t>
      </w:r>
      <w:r>
        <w:t xml:space="preserve"> Con el cambio de stack (D-01) y la incorporación del proveedor de IA conmutable,</w:t>
      </w:r>
    </w:p>
    <w:p>
      <w:r>
        <w:t>los diagramas actuales dejan de representar el sistema construido.</w:t>
      </w:r>
    </w:p>
    <w:p>
      <w:pPr>
        <w:pStyle w:val="Heading2"/>
        <w:pBdr>
          <w:bottom w:val="single" w:sz="6" w:space="6" w:color="2F5496"/>
        </w:pBdr>
        <w:spacing w:before="440"/>
      </w:pPr>
      <w:r>
        <w:rPr>
          <w:rFonts w:ascii="Calibri" w:hAnsi="Calibri" w:eastAsia="Calibri"/>
          <w:color w:val="2F5496"/>
        </w:rPr>
        <w:t>D-07 · Anexo de transparencia sobre el uso de IA</w:t>
      </w:r>
    </w:p>
    <w:tbl>
      <w:tblPr>
        <w:tblW w:type="auto" w:w="0"/>
        <w:jc w:val="center"/>
        <w:tblLook w:firstColumn="1" w:firstRow="1" w:lastColumn="0" w:lastRow="0" w:noHBand="0" w:noVBand="1" w:val="04A0"/>
      </w:tblPr>
      <w:tblGrid>
        <w:gridCol w:w="4680"/>
        <w:gridCol w:w="4680"/>
      </w:tblGrid>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Sección</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Nueva. Anexo al final del documento, después de Fuentes</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Estado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redactado en </w:t>
            </w:r>
            <w:r>
              <w:rPr>
                <w:rFonts w:ascii="Consolas" w:hAnsi="Consolas" w:eastAsia="Consolas"/>
                <w:sz w:val="19"/>
              </w:rPr>
              <w:t>docs/</w:t>
            </w:r>
            <w:r>
              <w:rPr>
                <w:rFonts w:ascii="Calibri" w:hAnsi="Calibri" w:eastAsia="Calibri"/>
                <w:sz w:val="20"/>
              </w:rPr>
              <w:t xml:space="preserve"> — falta el anexo en el </w:t>
            </w:r>
            <w:r>
              <w:rPr>
                <w:rFonts w:ascii="Consolas" w:hAnsi="Consolas" w:eastAsia="Consolas"/>
                <w:sz w:val="19"/>
              </w:rPr>
              <w:t>.docx</w:t>
            </w:r>
          </w:p>
        </w:tc>
      </w:tr>
    </w:tbl>
    <w:p>
      <w:pPr>
        <w:spacing w:after="80"/>
      </w:pPr>
    </w:p>
    <w:p>
      <w:r>
        <w:rPr>
          <w:b/>
        </w:rPr>
        <w:t>Dice hoy:</w:t>
      </w:r>
      <w:r>
        <w:t xml:space="preserve"> El documento no menciona el uso de herramientas de IA en el desarrollo.</w:t>
      </w:r>
    </w:p>
    <w:p>
      <w:r>
        <w:rPr>
          <w:b/>
        </w:rPr>
        <w:t>Tiene que decir:</w:t>
      </w:r>
      <w:r>
        <w:t xml:space="preserve"> Se incorpora un anexo de transparencia con dos partes:</w:t>
      </w:r>
    </w:p>
    <w:p>
      <w:pPr>
        <w:spacing w:after="80"/>
        <w:ind w:left="510" w:hanging="510"/>
        <w:jc w:val="left"/>
      </w:pPr>
      <w:r>
        <w:t>1.</w:t>
        <w:tab/>
      </w:r>
      <w:r>
        <w:rPr>
          <w:b/>
        </w:rPr>
        <w:t>Registro de uso de IA</w:t>
      </w:r>
      <w:r>
        <w:t xml:space="preserve"> (</w:t>
      </w:r>
      <w:r>
        <w:rPr>
          <w:rFonts w:ascii="Consolas" w:hAnsi="Consolas" w:eastAsia="Consolas"/>
          <w:sz w:val="21"/>
        </w:rPr>
        <w:t>docs/trazabilidad/AI-USAGE-LOG.md</w:t>
      </w:r>
      <w:r>
        <w:t>) — qué herramientas se usaron, para qué tareas, qué se aceptó, qué se modificó y cómo se validó, por entrega.</w:t>
      </w:r>
    </w:p>
    <w:p>
      <w:pPr>
        <w:spacing w:after="80"/>
        <w:ind w:left="510" w:hanging="510"/>
        <w:jc w:val="left"/>
      </w:pPr>
      <w:r>
        <w:t>2.</w:t>
        <w:tab/>
      </w:r>
      <w:r>
        <w:rPr>
          <w:b/>
        </w:rPr>
        <w:t>Prompts críticos y validación técnica</w:t>
      </w:r>
      <w:r>
        <w:t xml:space="preserve"> (</w:t>
      </w:r>
      <w:r>
        <w:rPr>
          <w:rFonts w:ascii="Consolas" w:hAnsi="Consolas" w:eastAsia="Consolas"/>
          <w:sz w:val="21"/>
        </w:rPr>
        <w:t>docs/trazabilidad/PROMPTS-CRITICOS.md</w:t>
      </w:r>
      <w:r>
        <w:t>) — las consultas que afectaron decisiones de arquitectura, en formato C4, con el proceso por el cual cada propuesta se aceptó o se descartó.</w:t>
      </w:r>
    </w:p>
    <w:p>
      <w:r>
        <w:t xml:space="preserve">Se suma además la carpeta </w:t>
      </w:r>
      <w:r>
        <w:rPr>
          <w:rFonts w:ascii="Consolas" w:hAnsi="Consolas" w:eastAsia="Consolas"/>
          <w:sz w:val="21"/>
        </w:rPr>
        <w:t>docs/adr/</w:t>
      </w:r>
      <w:r>
        <w:t xml:space="preserve"> como anexo: las decisiones de arquitectura en formato Nygard, referenciadas desde el capítulo 10.3.</w:t>
      </w:r>
    </w:p>
    <w:p>
      <w:r>
        <w:rPr>
          <w:b/>
        </w:rPr>
        <w:t>Por qué:</w:t>
      </w:r>
      <w:r>
        <w:t xml:space="preserve"> Es un entregable exigido. Y tiene valor propio para la defensa: separa</w:t>
      </w:r>
    </w:p>
    <w:p>
      <w:r>
        <w:t>lo que aportó la herramienta de lo que decidió el autor, que es la pregunta que va a aparecer.</w:t>
      </w:r>
    </w:p>
    <w:p>
      <w:pPr>
        <w:pStyle w:val="Heading2"/>
        <w:pBdr>
          <w:bottom w:val="single" w:sz="6" w:space="6" w:color="2F5496"/>
        </w:pBdr>
        <w:spacing w:before="440"/>
      </w:pPr>
      <w:r>
        <w:rPr>
          <w:rFonts w:ascii="Calibri" w:hAnsi="Calibri" w:eastAsia="Calibri"/>
          <w:color w:val="2F5496"/>
        </w:rPr>
        <w:t>D-08 · Requerimientos no funcionales de carga y seguridad</w:t>
      </w:r>
    </w:p>
    <w:tbl>
      <w:tblPr>
        <w:tblW w:type="auto" w:w="0"/>
        <w:jc w:val="center"/>
        <w:tblLook w:firstColumn="1" w:firstRow="1" w:lastColumn="0" w:lastRow="0" w:noHBand="0" w:noVBand="1" w:val="04A0"/>
      </w:tblPr>
      <w:tblGrid>
        <w:gridCol w:w="4680"/>
        <w:gridCol w:w="4680"/>
      </w:tblGrid>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Sección</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10.2.2 Especificaciones de requerimientos (tabla de RNF)</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Estado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aplicado</w:t>
            </w:r>
          </w:p>
        </w:tc>
      </w:tr>
    </w:tbl>
    <w:p>
      <w:pPr>
        <w:spacing w:after="80"/>
      </w:pPr>
    </w:p>
    <w:p>
      <w:r>
        <w:rPr>
          <w:b/>
        </w:rPr>
        <w:t>Dice hoy:</w:t>
      </w:r>
      <w:r>
        <w:t xml:space="preserve"> RNF-04 fija menos de 2 segundos con 500 activos y 5000 incidencias,</w:t>
      </w:r>
    </w:p>
    <w:p>
      <w:r>
        <w:t>pero no dice cómo se verifica. RNF-02 habla de seguridad sólo como control de acceso.</w:t>
      </w:r>
    </w:p>
    <w:p>
      <w:r>
        <w:rPr>
          <w:b/>
        </w:rPr>
        <w:t>Tiene que decir:</w:t>
      </w:r>
      <w:r>
        <w:t xml:space="preserve"> RNF-04 se amplía con el perfil de carga concreto y el</w:t>
      </w:r>
    </w:p>
    <w:p>
      <w:r>
        <w:t>percentil 95 como métrica, y se agregan requerimientos de análisis estático de código (SAST), verificación de dependencias con vulnerabilidades conocidas y perfilado de memoria bajo carga sostenida. El detalle está en el ADR 0008.</w:t>
      </w:r>
    </w:p>
    <w:p>
      <w:r>
        <w:rPr>
          <w:b/>
        </w:rPr>
        <w:t>Por qué:</w:t>
      </w:r>
      <w:r>
        <w:t xml:space="preserve"> Dado el incremento en la velocidad de codificación que aporta la</w:t>
      </w:r>
    </w:p>
    <w:p>
      <w:r>
        <w:t>asistencia por IA, el nivel de exigencia en pruebas de estrés, perfilado de memoria y análisis estático debe ser superior al estándar tradicional. Los RNF actuales no alcanzan para sostener esa afirmación con evidencia.</w:t>
      </w:r>
    </w:p>
    <w:p>
      <w:pPr>
        <w:pStyle w:val="Heading2"/>
        <w:pBdr>
          <w:bottom w:val="single" w:sz="6" w:space="6" w:color="2F5496"/>
        </w:pBdr>
        <w:spacing w:before="440"/>
      </w:pPr>
      <w:r>
        <w:rPr>
          <w:rFonts w:ascii="Calibri" w:hAnsi="Calibri" w:eastAsia="Calibri"/>
          <w:color w:val="2F5496"/>
        </w:rPr>
        <w:t>D-09 · Patrones de resiliencia en la arquitectura base</w:t>
      </w:r>
    </w:p>
    <w:tbl>
      <w:tblPr>
        <w:tblW w:type="auto" w:w="0"/>
        <w:jc w:val="center"/>
        <w:tblLook w:firstColumn="1" w:firstRow="1" w:lastColumn="0" w:lastRow="0" w:noHBand="0" w:noVBand="1" w:val="04A0"/>
      </w:tblPr>
      <w:tblGrid>
        <w:gridCol w:w="4680"/>
        <w:gridCol w:w="4680"/>
      </w:tblGrid>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Sección</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10.3.2 Componentes de la arquitectura base · 10.4.2.7 (CU-007) · 10.4.9 (casos de prueba)</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Estado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aplicado en el glosario — falta 10.3.2, el flujo alternativo de CU-007 y su caso de prueba</w:t>
            </w:r>
          </w:p>
        </w:tc>
      </w:tr>
    </w:tbl>
    <w:p>
      <w:pPr>
        <w:spacing w:after="80"/>
      </w:pPr>
    </w:p>
    <w:p>
      <w:r>
        <w:rPr>
          <w:b/>
        </w:rPr>
        <w:t>Dice hoy:</w:t>
      </w:r>
      <w:r>
        <w:t xml:space="preserve"> El comportamiento ante falla del servicio de IA se resuelve únicamente</w:t>
      </w:r>
    </w:p>
    <w:p>
      <w:r>
        <w:t>con la asignación de respaldo (CU-007, flujo alternativo; CP-14).</w:t>
      </w:r>
    </w:p>
    <w:p>
      <w:r>
        <w:rPr>
          <w:b/>
        </w:rPr>
        <w:t>Tiene que decir:</w:t>
      </w:r>
      <w:r>
        <w:t xml:space="preserve"> Se incorpora un componente de resiliencia a la arquitectura</w:t>
      </w:r>
    </w:p>
    <w:p>
      <w:r>
        <w:t xml:space="preserve">base, con </w:t>
      </w:r>
      <w:r>
        <w:rPr>
          <w:b/>
        </w:rPr>
        <w:t>circuit breaker</w:t>
      </w:r>
      <w:r>
        <w:t xml:space="preserve"> sobre el servicio de IA y </w:t>
      </w:r>
      <w:r>
        <w:rPr>
          <w:b/>
        </w:rPr>
        <w:t>bulkhead</w:t>
      </w:r>
      <w:r>
        <w:t xml:space="preserve"> entre las operaciones interactivas y los procesos en segundo plano. El flujo alternativo de CU-007 contempla el circuito abierto —no se intenta la llamada— además del fallo individual, y se agrega un caso de prueba para la transición de estados del disyuntor.</w:t>
      </w:r>
    </w:p>
    <w:p>
      <w:r>
        <w:rPr>
          <w:b/>
        </w:rPr>
        <w:t>Por qué:</w:t>
      </w:r>
      <w:r>
        <w:t xml:space="preserve"> Surge de la auditoría de arquitectura previa a la implementación</w:t>
      </w:r>
    </w:p>
    <w:p>
      <w:r>
        <w:t>(</w:t>
      </w:r>
      <w:r>
        <w:rPr>
          <w:rFonts w:ascii="Consolas" w:hAnsi="Consolas" w:eastAsia="Consolas"/>
          <w:sz w:val="21"/>
        </w:rPr>
        <w:t>docs/trazabilidad/PROMPTS-CRITICOS.md</w:t>
      </w:r>
      <w:r>
        <w:t xml:space="preserve"> · PC-05). El timeout solo protege al sistema de colgarse, pero no de un servicio consistentemente caído: sin disyuntor, cada incidencia registrada durante una caída paga los 15 segundos completos. Ver ADR 0009.</w:t>
      </w:r>
    </w:p>
    <w:p>
      <w:pPr>
        <w:pStyle w:val="Heading2"/>
        <w:pBdr>
          <w:bottom w:val="single" w:sz="6" w:space="6" w:color="2F5496"/>
        </w:pBdr>
        <w:spacing w:before="440"/>
      </w:pPr>
      <w:r>
        <w:rPr>
          <w:rFonts w:ascii="Calibri" w:hAnsi="Calibri" w:eastAsia="Calibri"/>
          <w:color w:val="2F5496"/>
        </w:rPr>
        <w:t>D-10 · El plan comercial pasa a ser parte del sistema</w:t>
      </w:r>
    </w:p>
    <w:tbl>
      <w:tblPr>
        <w:tblW w:type="auto" w:w="0"/>
        <w:jc w:val="center"/>
        <w:tblLook w:firstColumn="1" w:firstRow="1" w:lastColumn="0" w:lastRow="0" w:noHBand="0" w:noVBand="1" w:val="04A0"/>
      </w:tblPr>
      <w:tblGrid>
        <w:gridCol w:w="4680"/>
        <w:gridCol w:w="4680"/>
      </w:tblGrid>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Sección</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10.1.7 Información gestionada · 10.4.7 DER · 10.5.1.7.1 pantalla de Organización</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Estado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aplicado en el modelo de datos — falta el DER y la pantalla</w:t>
            </w:r>
          </w:p>
        </w:tc>
      </w:tr>
    </w:tbl>
    <w:p>
      <w:pPr>
        <w:spacing w:after="80"/>
      </w:pPr>
    </w:p>
    <w:p>
      <w:r>
        <w:rPr>
          <w:b/>
        </w:rPr>
        <w:t>Dice hoy:</w:t>
      </w:r>
      <w:r>
        <w:t xml:space="preserve"> El documento define los planes, sus precios, los equipos que incluye</w:t>
      </w:r>
    </w:p>
    <w:p>
      <w:r>
        <w:t>cada uno y el precio del equipo adicional (5.3.6), y apoya en esos valores la justificación económica de los precios (6.5.3). Pero el sistema no los conoce: nada del modelo de datos representa un plan ni un límite de equipos.</w:t>
      </w:r>
    </w:p>
    <w:p>
      <w:r>
        <w:rPr>
          <w:b/>
        </w:rPr>
        <w:t>Tiene que decir:</w:t>
      </w:r>
      <w:r>
        <w:t xml:space="preserve"> Se incorpora </w:t>
      </w:r>
      <w:r>
        <w:rPr>
          <w:rFonts w:ascii="Consolas" w:hAnsi="Consolas" w:eastAsia="Consolas"/>
          <w:sz w:val="21"/>
        </w:rPr>
        <w:t>PlanComercial</w:t>
      </w:r>
      <w:r>
        <w:t xml:space="preserve"> al modelo de negocio, con abono</w:t>
      </w:r>
    </w:p>
    <w:p>
      <w:r>
        <w:t xml:space="preserve">mensual, equipos incluidos, precio del equipo adicional y fecha de vigencia. </w:t>
      </w:r>
      <w:r>
        <w:rPr>
          <w:rFonts w:ascii="Consolas" w:hAnsi="Consolas" w:eastAsia="Consolas"/>
          <w:sz w:val="21"/>
        </w:rPr>
        <w:t>Organizacion</w:t>
      </w:r>
      <w:r>
        <w:t xml:space="preserve"> lo referencia. La pantalla de Organización muestra el plan, los equipos administrados contra los incluidos, los adicionales y el total mensual resultante, y avisa cuando conviene otro plan.</w:t>
      </w:r>
    </w:p>
    <w:p>
      <w:r>
        <w:t>Se suma además, en esa misma pantalla, el consumo del período del servicio de IA —consultas de clasificación, de asignación, y cuántas terminaron en respaldo—.</w:t>
      </w:r>
    </w:p>
    <w:p>
      <w:r>
        <w:rPr>
          <w:b/>
        </w:rPr>
        <w:t>Por qué:</w:t>
      </w:r>
      <w:r>
        <w:t xml:space="preserve"> Es la respuesta a la devolución del 04/07/2026, que pide reforzar la</w:t>
      </w:r>
    </w:p>
    <w:p>
      <w:r>
        <w:t xml:space="preserve">justificación económica de los precios y vincularla con la estructura operativa. La sección 6.5.3 afirma que el consumo de IA cuesta del orden de ARS 1.500 por cliente por mes; el sistema ya registra cada consulta en </w:t>
      </w:r>
      <w:r>
        <w:rPr>
          <w:rFonts w:ascii="Consolas" w:hAnsi="Consolas" w:eastAsia="Consolas"/>
          <w:sz w:val="21"/>
        </w:rPr>
        <w:t>RecomendacionAsignacion</w:t>
      </w:r>
      <w:r>
        <w:t xml:space="preserve"> y </w:t>
      </w:r>
      <w:r>
        <w:rPr>
          <w:rFonts w:ascii="Consolas" w:hAnsi="Consolas" w:eastAsia="Consolas"/>
          <w:sz w:val="21"/>
        </w:rPr>
        <w:t>ClasificacionIncidencia</w:t>
      </w:r>
      <w:r>
        <w:t>, así que exponer ese contador convierte una estimación en una medición. Y con el plan modelado, la afirmación de que la organización de demostración está por encima de lo que incluye su plan deja de ser una nota al pie y pasa a ser algo que el sistema calcula: 52 equipos, 37 adicionales, ARS 244.400 mensuales contra los ARS 89.000 del abono base. Los importes siguen a D-14: con los precios anteriores la cuenta daba ARS 101.500 contra ARS 34.900.</w:t>
      </w:r>
    </w:p>
    <w:p>
      <w:r>
        <w:t xml:space="preserve">Nota: </w:t>
      </w:r>
      <w:r>
        <w:rPr>
          <w:rFonts w:ascii="Consolas" w:hAnsi="Consolas" w:eastAsia="Consolas"/>
          <w:sz w:val="21"/>
        </w:rPr>
        <w:t>PLAN</w:t>
      </w:r>
      <w:r>
        <w:t xml:space="preserve"> es palabra reservada en T-SQL, por eso la tabla es </w:t>
      </w:r>
      <w:r>
        <w:rPr>
          <w:rFonts w:ascii="Consolas" w:hAnsi="Consolas" w:eastAsia="Consolas"/>
          <w:sz w:val="21"/>
        </w:rPr>
        <w:t>PlanComercial</w:t>
      </w:r>
      <w:r>
        <w:t>.</w:t>
      </w:r>
    </w:p>
    <w:p>
      <w:pPr>
        <w:pStyle w:val="Heading2"/>
        <w:pBdr>
          <w:bottom w:val="single" w:sz="6" w:space="6" w:color="2F5496"/>
        </w:pBdr>
        <w:spacing w:before="440"/>
      </w:pPr>
      <w:r>
        <w:rPr>
          <w:rFonts w:ascii="Calibri" w:hAnsi="Calibri" w:eastAsia="Calibri"/>
          <w:color w:val="2F5496"/>
        </w:rPr>
        <w:t>D-11 · La asignación distingue IA de heurística</w:t>
      </w:r>
    </w:p>
    <w:p>
      <w:r>
        <w:rPr>
          <w:i/>
        </w:rPr>
        <w:t>Estado:</w:t>
      </w:r>
      <w:r>
        <w:t xml:space="preserve"> </w:t>
      </w:r>
      <w:r>
        <w:rPr>
          <w:rFonts w:ascii="Consolas" w:hAnsi="Consolas" w:eastAsia="Consolas"/>
          <w:sz w:val="21"/>
        </w:rPr>
        <w:t>aplicado</w:t>
      </w:r>
      <w:r>
        <w:t xml:space="preserve"> — el documento distingue asignacion por IA, por heuristica y de respaldo</w:t>
      </w:r>
    </w:p>
    <w:p>
      <w:r>
        <w:rPr>
          <w:b/>
        </w:rPr>
        <w:t>Sección del documento:</w:t>
      </w:r>
      <w:r>
        <w:t xml:space="preserve"> 10.2.2 (RF-08), 10.4.7 (DER de negocio), 10.5.1.4</w:t>
      </w:r>
    </w:p>
    <w:p>
      <w:r>
        <w:t>(pantalla de incidencias)</w:t>
      </w:r>
    </w:p>
    <w:p>
      <w:r>
        <w:rPr>
          <w:b/>
        </w:rPr>
        <w:t>Dice hoy:</w:t>
      </w:r>
      <w:r>
        <w:t xml:space="preserve"> RF-08 describe la asignación automática de incidencias mediante</w:t>
      </w:r>
    </w:p>
    <w:p>
      <w:r>
        <w:t>inteligencia artificial, y el modelo registra el origen de la recomendación como IA o respaldo.</w:t>
      </w:r>
    </w:p>
    <w:p>
      <w:r>
        <w:rPr>
          <w:b/>
        </w:rPr>
        <w:t>Tiene que decir:</w:t>
      </w:r>
      <w:r>
        <w:t xml:space="preserve"> El origen de una asignación admite </w:t>
      </w:r>
      <w:r>
        <w:rPr>
          <w:b/>
        </w:rPr>
        <w:t>tres</w:t>
      </w:r>
      <w:r>
        <w:t xml:space="preserve"> valores: </w:t>
      </w:r>
      <w:r>
        <w:rPr>
          <w:rFonts w:ascii="Consolas" w:hAnsi="Consolas" w:eastAsia="Consolas"/>
          <w:sz w:val="21"/>
        </w:rPr>
        <w:t>IA</w:t>
      </w:r>
    </w:p>
    <w:p>
      <w:r>
        <w:t xml:space="preserve">cuando la decidió el proveedor externo, </w:t>
      </w:r>
      <w:r>
        <w:rPr>
          <w:rFonts w:ascii="Consolas" w:hAnsi="Consolas" w:eastAsia="Consolas"/>
          <w:sz w:val="21"/>
        </w:rPr>
        <w:t>HEURISTICA</w:t>
      </w:r>
      <w:r>
        <w:t xml:space="preserve"> cuando la decidió el proveedor determinístico del sistema, y </w:t>
      </w:r>
      <w:r>
        <w:rPr>
          <w:rFonts w:ascii="Consolas" w:hAnsi="Consolas" w:eastAsia="Consolas"/>
          <w:sz w:val="21"/>
        </w:rPr>
        <w:t>RESPALDO</w:t>
      </w:r>
      <w:r>
        <w:t xml:space="preserve"> cuando ninguno respondió y se aplicó la regla de menor carga. Lo mismo en </w:t>
      </w:r>
      <w:r>
        <w:rPr>
          <w:rFonts w:ascii="Consolas" w:hAnsi="Consolas" w:eastAsia="Consolas"/>
          <w:sz w:val="21"/>
        </w:rPr>
        <w:t>Incidencia.tipo_asignacion</w:t>
      </w:r>
      <w:r>
        <w:t xml:space="preserve">, que además conserva </w:t>
      </w:r>
      <w:r>
        <w:rPr>
          <w:rFonts w:ascii="Consolas" w:hAnsi="Consolas" w:eastAsia="Consolas"/>
          <w:sz w:val="21"/>
        </w:rPr>
        <w:t>PENDIENTE</w:t>
      </w:r>
      <w:r>
        <w:t xml:space="preserve"> y </w:t>
      </w:r>
      <w:r>
        <w:rPr>
          <w:rFonts w:ascii="Consolas" w:hAnsi="Consolas" w:eastAsia="Consolas"/>
          <w:sz w:val="21"/>
        </w:rPr>
        <w:t>MANUAL</w:t>
      </w:r>
      <w:r>
        <w:t>.</w:t>
      </w:r>
    </w:p>
    <w:p>
      <w:r>
        <w:rPr>
          <w:b/>
        </w:rPr>
        <w:t>Por qué:</w:t>
      </w:r>
      <w:r>
        <w:t xml:space="preserve"> El proveedor determinístico no es un modelo de lenguaje: resuelve por</w:t>
      </w:r>
    </w:p>
    <w:p>
      <w:r>
        <w:t>coincidencia de términos y por un puntaje que pondera especialidad, carga e historial. La primera implementación registraba esas decisiones como «IA», porque era el único valor que el modelo admitía, y eso falsea exactamente lo que el trabajo tiene que poder demostrar: qué decidió una IA y qué decidió una regla escrita a mano. Con la distinción, el anexo de trazabilidad puede afirmar cuántas asignaciones fueron de cada tipo, y la pantalla de detalle lo dice con todas las letras.</w:t>
      </w:r>
    </w:p>
    <w:p>
      <w:r>
        <w:t>Es además lo que hace verificable la comparación: el proveedor determinístico es la línea base contra la cual se mide si la IA aporta algo. Sin distinguir los orígenes, «la IA asigna mejor» no sería una afirmación comprobable.</w:t>
      </w:r>
    </w:p>
    <w:p>
      <w:pPr>
        <w:pStyle w:val="Heading2"/>
        <w:pBdr>
          <w:bottom w:val="single" w:sz="6" w:space="6" w:color="2F5496"/>
        </w:pBdr>
        <w:spacing w:before="440"/>
      </w:pPr>
      <w:r>
        <w:rPr>
          <w:rFonts w:ascii="Calibri" w:hAnsi="Calibri" w:eastAsia="Calibri"/>
          <w:color w:val="2F5496"/>
        </w:rPr>
        <w:t>D-12 · Tres atributos que el motor predictivo necesita</w:t>
      </w:r>
    </w:p>
    <w:p>
      <w:r>
        <w:rPr>
          <w:i/>
        </w:rPr>
        <w:t>Estado:</w:t>
      </w:r>
      <w:r>
        <w:t xml:space="preserve"> </w:t>
      </w:r>
      <w:r>
        <w:rPr>
          <w:rFonts w:ascii="Consolas" w:hAnsi="Consolas" w:eastAsia="Consolas"/>
          <w:sz w:val="21"/>
        </w:rPr>
        <w:t>aplicado</w:t>
      </w:r>
      <w:r>
        <w:t xml:space="preserve"> — verificado el 09/09 leyendo la seccion: el documento enumera «criticidad del equipo y antiguedad» entre las entradas del scoring del motor</w:t>
      </w:r>
    </w:p>
    <w:p>
      <w:r>
        <w:rPr>
          <w:b/>
        </w:rPr>
        <w:t>Sección del documento:</w:t>
      </w:r>
      <w:r>
        <w:t xml:space="preserve"> 10.4.7 (DER de negocio)</w:t>
      </w:r>
    </w:p>
    <w:p>
      <w:r>
        <w:rPr>
          <w:b/>
        </w:rPr>
        <w:t>Dice hoy:</w:t>
      </w:r>
      <w:r>
        <w:t xml:space="preserve"> El DER define </w:t>
      </w:r>
      <w:r>
        <w:rPr>
          <w:rFonts w:ascii="Consolas" w:hAnsi="Consolas" w:eastAsia="Consolas"/>
          <w:sz w:val="21"/>
        </w:rPr>
        <w:t>TipoMantenimiento</w:t>
      </w:r>
      <w:r>
        <w:t xml:space="preserve"> con nombre,</w:t>
      </w:r>
    </w:p>
    <w:p>
      <w:r>
        <w:rPr>
          <w:rFonts w:ascii="Consolas" w:hAnsi="Consolas" w:eastAsia="Consolas"/>
          <w:sz w:val="21"/>
        </w:rPr>
        <w:t>CategoriaIncidencia</w:t>
      </w:r>
      <w:r>
        <w:t xml:space="preserve"> con nombre y descripción, y </w:t>
      </w:r>
      <w:r>
        <w:rPr>
          <w:rFonts w:ascii="Consolas" w:hAnsi="Consolas" w:eastAsia="Consolas"/>
          <w:sz w:val="21"/>
        </w:rPr>
        <w:t>PrioridadIncidencia</w:t>
      </w:r>
      <w:r>
        <w:t xml:space="preserve"> con nombre y nivel.</w:t>
      </w:r>
    </w:p>
    <w:p>
      <w:r>
        <w:rPr>
          <w:b/>
        </w:rPr>
        <w:t>Tiene que decir:</w:t>
      </w:r>
    </w:p>
    <w:p>
      <w:pPr>
        <w:pStyle w:val="ListBullet"/>
      </w:pPr>
      <w:r>
        <w:rPr>
          <w:rFonts w:ascii="Consolas" w:hAnsi="Consolas" w:eastAsia="Consolas"/>
          <w:sz w:val="21"/>
        </w:rPr>
        <w:t>TipoMantenimiento.es_preventivo</w:t>
      </w:r>
      <w:r>
        <w:t xml:space="preserve"> (booleano).</w:t>
      </w:r>
    </w:p>
    <w:p>
      <w:pPr>
        <w:pStyle w:val="ListBullet"/>
      </w:pPr>
      <w:r>
        <w:rPr>
          <w:rFonts w:ascii="Consolas" w:hAnsi="Consolas" w:eastAsia="Consolas"/>
          <w:sz w:val="21"/>
        </w:rPr>
        <w:t>CategoriaIncidencia.id_especialidad</w:t>
      </w:r>
      <w:r>
        <w:t xml:space="preserve"> (referencia a </w:t>
      </w:r>
      <w:r>
        <w:rPr>
          <w:rFonts w:ascii="Consolas" w:hAnsi="Consolas" w:eastAsia="Consolas"/>
          <w:sz w:val="21"/>
        </w:rPr>
        <w:t>Especialidad</w:t>
      </w:r>
      <w:r>
        <w:t>, opcional).</w:t>
      </w:r>
    </w:p>
    <w:p>
      <w:pPr>
        <w:pStyle w:val="ListBullet"/>
      </w:pPr>
      <w:r>
        <w:rPr>
          <w:rFonts w:ascii="Consolas" w:hAnsi="Consolas" w:eastAsia="Consolas"/>
          <w:sz w:val="21"/>
        </w:rPr>
        <w:t>PrioridadIncidencia.horas_objetivo</w:t>
      </w:r>
      <w:r>
        <w:t xml:space="preserve"> (entero, opcional).</w:t>
      </w:r>
    </w:p>
    <w:p>
      <w:r>
        <w:rPr>
          <w:b/>
        </w:rPr>
        <w:t>Por qué:</w:t>
      </w:r>
      <w:r>
        <w:t xml:space="preserve"> Cada uno resuelve algo que sin el atributo no se puede calcular.</w:t>
      </w:r>
    </w:p>
    <w:p>
      <w:r>
        <w:t xml:space="preserve">La regla </w:t>
      </w:r>
      <w:r>
        <w:rPr>
          <w:rFonts w:ascii="Consolas" w:hAnsi="Consolas" w:eastAsia="Consolas"/>
          <w:sz w:val="21"/>
        </w:rPr>
        <w:t>MANTENIMIENTO_VENCIDO</w:t>
      </w:r>
      <w:r>
        <w:t xml:space="preserve"> cuenta los días desde el último mantenimiento </w:t>
      </w:r>
      <w:r>
        <w:rPr>
          <w:b/>
        </w:rPr>
        <w:t>preventivo</w:t>
      </w:r>
      <w:r>
        <w:t>. Un correctivo es la reparación posterior a la falla, no el mantenimiento que se dejó de hacer: si contara, el equipo que más se rompe sería el que nunca dispara la alerta, que es lo contrario de lo que la regla busca. Sin el atributo habría que deducirlo del nombre del tipo, y el nombre lo puede cambiar la organización.</w:t>
      </w:r>
    </w:p>
    <w:p>
      <w:r>
        <w:t>La asignación necesita saber qué especialidad resuelve la categoría de la incidencia: es el dato central del contexto que se le manda al proveedor. Sin él, la asignación sólo podría mirar la carga de trabajo.</w:t>
      </w:r>
    </w:p>
    <w:p>
      <w:r>
        <w:rPr>
          <w:rFonts w:ascii="Consolas" w:hAnsi="Consolas" w:eastAsia="Consolas"/>
          <w:sz w:val="21"/>
        </w:rPr>
        <w:t>horas_objetivo</w:t>
      </w:r>
      <w:r>
        <w:t xml:space="preserve"> es el objetivo de resolución pactado por prioridad, y es lo que permite marcar una incidencia como fuera de objetivo en el listado y en los indicadores de RF-13. Es opcional a propósito: la prioridad más baja no tiene objetivo pactado, y una prioridad sin objetivo no puede incumplirlo. Guardarlo como cero significaría lo contrario.</w:t>
      </w:r>
    </w:p>
    <w:p>
      <w:pPr>
        <w:pStyle w:val="Heading2"/>
        <w:pBdr>
          <w:bottom w:val="single" w:sz="6" w:space="6" w:color="2F5496"/>
        </w:pBdr>
        <w:spacing w:before="440"/>
      </w:pPr>
      <w:r>
        <w:rPr>
          <w:rFonts w:ascii="Calibri" w:hAnsi="Calibri" w:eastAsia="Calibri"/>
          <w:color w:val="2F5496"/>
        </w:rPr>
        <w:t>D-13 · El estado de la incidencia avanza al asignarse</w:t>
      </w:r>
    </w:p>
    <w:p>
      <w:r>
        <w:rPr>
          <w:i/>
        </w:rPr>
        <w:t>Estado:</w:t>
      </w:r>
      <w:r>
        <w:t xml:space="preserve"> </w:t>
      </w:r>
      <w:r>
        <w:rPr>
          <w:rFonts w:ascii="Consolas" w:hAnsi="Consolas" w:eastAsia="Consolas"/>
          <w:sz w:val="21"/>
        </w:rPr>
        <w:t>aplicado</w:t>
      </w:r>
      <w:r>
        <w:t xml:space="preserve"> — verificado el 09/09: el documento describe los siete estados y las ocho transiciones, y dice que la incidencia «pasa a Asignada cuando la asignacion automatica encuentra tecnico»</w:t>
      </w:r>
    </w:p>
    <w:p>
      <w:r>
        <w:rPr>
          <w:b/>
        </w:rPr>
        <w:t>Sección del documento:</w:t>
      </w:r>
      <w:r>
        <w:t xml:space="preserve"> 10.2.2 (RF-08), 10.3 (CU-007), 10.5.1.4</w:t>
      </w:r>
    </w:p>
    <w:p>
      <w:r>
        <w:rPr>
          <w:b/>
        </w:rPr>
        <w:t>Dice hoy:</w:t>
      </w:r>
      <w:r>
        <w:t xml:space="preserve"> El caso de uso de asignación automática registra el técnico</w:t>
      </w:r>
    </w:p>
    <w:p>
      <w:r>
        <w:t>responsable de la incidencia.</w:t>
      </w:r>
    </w:p>
    <w:p>
      <w:r>
        <w:rPr>
          <w:b/>
        </w:rPr>
        <w:t>Tiene que decir:</w:t>
      </w:r>
      <w:r>
        <w:t xml:space="preserve"> Al quedar con técnico, la incidencia pasa del estado inicial</w:t>
      </w:r>
    </w:p>
    <w:p>
      <w:r>
        <w:t>—«Pendiente de asignación»— al siguiente estado no terminal, «Asignada». La reasignación manual sólo produce ese cambio si la incidencia seguía en el estado inicial: si el técnico ya la había puesto «En curso», reasignarla no la hace retroceder. Si la regla de respaldo no asignó a nadie, la incidencia permanece pendiente de asignación.</w:t>
      </w:r>
    </w:p>
    <w:p>
      <w:r>
        <w:rPr>
          <w:b/>
        </w:rPr>
        <w:t>Por qué:</w:t>
      </w:r>
      <w:r>
        <w:t xml:space="preserve"> Apareció al recorrer la pantalla: todas las incidencias mostraban</w:t>
      </w:r>
    </w:p>
    <w:p>
      <w:r>
        <w:t>«Pendiente de asignación» aunque tuvieran responsable asignado, y el estado dejaba de significar algo. El estado se resuelve por posición en el catálogo y no por nombre, porque la organización puede renombrar sus estados y el alta de incidencias no se puede romper por eso.</w:t>
      </w:r>
    </w:p>
    <w:p>
      <w:pPr>
        <w:pStyle w:val="Heading2"/>
        <w:pBdr>
          <w:bottom w:val="single" w:sz="6" w:space="6" w:color="2F5496"/>
        </w:pBdr>
        <w:spacing w:before="440"/>
      </w:pPr>
      <w:r>
        <w:rPr>
          <w:rFonts w:ascii="Calibri" w:hAnsi="Calibri" w:eastAsia="Calibri"/>
          <w:color w:val="2F5496"/>
        </w:rPr>
        <w:t>D-14 · Precios de los planes y sueldos del equipo</w:t>
      </w:r>
    </w:p>
    <w:p>
      <w:r>
        <w:rPr>
          <w:i/>
        </w:rPr>
        <w:t>Estado:</w:t>
      </w:r>
      <w:r>
        <w:t xml:space="preserve"> </w:t>
      </w:r>
      <w:r>
        <w:rPr>
          <w:rFonts w:ascii="Consolas" w:hAnsi="Consolas" w:eastAsia="Consolas"/>
          <w:sz w:val="21"/>
        </w:rPr>
        <w:t>aplicado</w:t>
      </w:r>
      <w:r>
        <w:t xml:space="preserve"> — el documento ya trae 89.000 / 239.000 / 69.000 y no menciona los precios anteriores</w:t>
      </w:r>
    </w:p>
    <w:p>
      <w:r>
        <w:rPr>
          <w:b/>
        </w:rPr>
        <w:t>Sección del documento:</w:t>
      </w:r>
      <w:r>
        <w:t xml:space="preserve"> 5.3.6 (precios), 6.5.3 (márgenes), 7.6 (plantilla),</w:t>
      </w:r>
    </w:p>
    <w:p>
      <w:r>
        <w:t>7.7 (punto de equilibrio)</w:t>
      </w:r>
    </w:p>
    <w:p>
      <w:r>
        <w:rPr>
          <w:b/>
        </w:rPr>
        <w:t>Dice hoy:</w:t>
      </w:r>
      <w:r>
        <w:t xml:space="preserve"> Plan Inicial ARS 34.900 con 15 equipos incluidos y ARS 1.800 por</w:t>
      </w:r>
    </w:p>
    <w:p>
      <w:r>
        <w:t>equipo adicional; Plan Estándar ARS 99.900; Plan Partner ARS 27.900. Punto de equilibrio en 220 clientes. La plantilla de 7.6 no declara los sueldos.</w:t>
      </w:r>
    </w:p>
    <w:p>
      <w:r>
        <w:rPr>
          <w:b/>
        </w:rPr>
        <w:t>Tiene que decir:</w:t>
      </w:r>
      <w:r>
        <w:t xml:space="preserve"> Plan Inicial ARS 89.000 con 15 equipos incluidos y ARS 4.200</w:t>
      </w:r>
    </w:p>
    <w:p>
      <w:r>
        <w:t>por adicional; Plan Estándar ARS 239.000 con 50 incluidos y ARS 3.500 por adicional; Plan Partner ARS 69.000 con 30 incluidos y ARS 2.800 por adicional —precios de 2027—. El punto de equilibrio pasa a estar en el año 4 del modelo.</w:t>
      </w:r>
    </w:p>
    <w:p>
      <w:r>
        <w:rPr>
          <w:b/>
        </w:rPr>
        <w:t>Por qué:</w:t>
      </w:r>
      <w:r>
        <w:t xml:space="preserve"> Salió de construir el presupuesto financiero con sueldos de mercado</w:t>
      </w:r>
    </w:p>
    <w:p>
      <w:r>
        <w:t>en lugar de los que tenía la primera versión del modelo.</w:t>
      </w:r>
    </w:p>
    <w:p>
      <w:r>
        <w:t xml:space="preserve">La primera versión asignaba entre ARS 700.000 y 900.000 de sueldo bruto a cada rol. A cualquier tipo de cambio plausible eso son unos USD 500 a 600 mensuales: por debajo de un desarrollador junior. No era una cifra de mercado desactualizada. Sin estar dicho en ninguna parte, esa cifra era el </w:t>
      </w:r>
      <w:r>
        <w:rPr>
          <w:b/>
        </w:rPr>
        <w:t>retiro de subsistencia de los socios fundadores</w:t>
      </w:r>
      <w:r>
        <w:t>. El modelo ahora separa las dos cosas: el salario de mercado de cada rol, el que cobra un empleado desde que entra, y el porcentaje de ese salario que los socios efectivamente retiran, que va del 30 % en el año 1 al 100 % en el año 4. La brecha entre ambos es el aporte de los socios al proyecto, y es lo que la tasa de corte del VAN tiene que remunerar.</w:t>
      </w:r>
    </w:p>
    <w:p>
      <w:r>
        <w:t>Con los sueldos corregidos, los precios del documento no sostienen el negocio en ningún año. Al cierre del año 4, con los 352 clientes que proyecta el propio embudo, los números daban:</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Concepto</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Año 4</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Ingresos</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ARS 256,4 M</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Costos fijos</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ARS 17,9 M</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Costos variables</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ARS 45,8 M</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Costos de RRHH</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ARS 511,7 M</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Resultado operativo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ARS −319,1 M</w:t>
            </w:r>
          </w:p>
        </w:tc>
      </w:tr>
    </w:tbl>
    <w:p>
      <w:pPr>
        <w:spacing w:after="80"/>
      </w:pPr>
    </w:p>
    <w:p>
      <w:r>
        <w:t xml:space="preserve">El punto de equilibrio con esa estructura de costos está en </w:t>
      </w:r>
      <w:r>
        <w:rPr>
          <w:b/>
        </w:rPr>
        <w:t>886 clientes</w:t>
      </w:r>
      <w:r>
        <w:t xml:space="preserve">, y el embudo del documento llega a 352. El problema no estaba en la escala del embudo sino en que el ingreso por cliente resultaba de ARS 60.700 mensuales, unos </w:t>
      </w:r>
      <w:r>
        <w:rPr>
          <w:b/>
        </w:rPr>
        <w:t>USD 19</w:t>
      </w:r>
      <w:r>
        <w:t xml:space="preserve"> al tipo de cambio proyectado, para un servicio que administra alrededor de dos docenas de equipos. Las herramientas de RMM del mercado cobran entre USD 2 y USD 4 por equipo por mes; el precio del documento equivale a </w:t>
      </w:r>
      <w:r>
        <w:rPr>
          <w:b/>
        </w:rPr>
        <w:t>USD 1,2 por equipo</w:t>
      </w:r>
      <w:r>
        <w:t>, alrededor de un tercio.</w:t>
      </w:r>
    </w:p>
    <w:p>
      <w:r>
        <w:t xml:space="preserve">Los precios revisados llevan el abono a entre USD 2,5 y USD 3,1 por equipo, dentro de ese rango. Con ellos el año 4 cierra con un resultado operativo de </w:t>
      </w:r>
      <w:r>
        <w:rPr>
          <w:b/>
        </w:rPr>
        <w:t>ARS +60,2 M</w:t>
      </w:r>
      <w:r>
        <w:t xml:space="preserve"> y es el primer año positivo del modelo.</w:t>
      </w:r>
    </w:p>
    <w:p>
      <w:r>
        <w:rPr>
          <w:b/>
        </w:rPr>
        <w:t>Lo que queda por decidir y no se resolvió acá:</w:t>
      </w:r>
      <w:r>
        <w:t xml:space="preserve"> el VAN a cuatro años sigue siendo negativo (ARS −194 M en el escenario base, con tasa de corte del 60 % nominal), porque la ventana del modelo termina justo en el año en que el proyecto se da vuelta. Es lo habitual en un negocio por suscripción, donde el repago llega después. Se resuelve extendiendo el horizonte a cinco o seis años o incorporando un valor terminal, que es la práctica estándar para valuar SaaS. Las dos opciones cambian la sección 7.7 y conviene elegir una sola.</w:t>
      </w:r>
    </w:p>
    <w:p>
      <w:r>
        <w:rPr>
          <w:b/>
        </w:rPr>
        <w:t>Alcance del cambio:</w:t>
      </w:r>
      <w:r>
        <w:t xml:space="preserve"> los precios están aplicados en el presupuesto financiero.</w:t>
      </w:r>
    </w:p>
    <w:p>
      <w:r>
        <w:t xml:space="preserve">Falta bajarlos a la sección 5.3.6 del </w:t>
      </w:r>
      <w:r>
        <w:rPr>
          <w:rFonts w:ascii="Consolas" w:hAnsi="Consolas" w:eastAsia="Consolas"/>
          <w:sz w:val="21"/>
        </w:rPr>
        <w:t>.docx</w:t>
      </w:r>
      <w:r>
        <w:t>, recalcular los márgenes de 6.5.3 y actualizar los datos de demostración del sistema (</w:t>
      </w:r>
      <w:r>
        <w:rPr>
          <w:rFonts w:ascii="Consolas" w:hAnsi="Consolas" w:eastAsia="Consolas"/>
          <w:sz w:val="21"/>
        </w:rPr>
        <w:t>db/04-seed-negocio.sql</w:t>
      </w:r>
      <w:r>
        <w:t xml:space="preserve">, tabla </w:t>
      </w:r>
      <w:r>
        <w:rPr>
          <w:rFonts w:ascii="Consolas" w:hAnsi="Consolas" w:eastAsia="Consolas"/>
          <w:sz w:val="21"/>
        </w:rPr>
        <w:t>PlanComercial</w:t>
      </w:r>
      <w:r>
        <w:t>), que hoy tienen los precios viejos. La pantalla de Organización los toma de la base, así que se corrige sola una vez cambiado el seed.</w:t>
      </w:r>
    </w:p>
    <w:p>
      <w:pPr>
        <w:pStyle w:val="Heading2"/>
        <w:pBdr>
          <w:bottom w:val="single" w:sz="6" w:space="6" w:color="2F5496"/>
        </w:pBdr>
        <w:spacing w:before="440"/>
      </w:pPr>
      <w:r>
        <w:rPr>
          <w:rFonts w:ascii="Calibri" w:hAnsi="Calibri" w:eastAsia="Calibri"/>
          <w:color w:val="2F5496"/>
        </w:rPr>
        <w:t>D-15 · Dos inconsistencias menores detectadas al construir</w:t>
      </w:r>
    </w:p>
    <w:p>
      <w:r>
        <w:rPr>
          <w:i/>
        </w:rPr>
        <w:t>Estado:</w:t>
      </w:r>
      <w:r>
        <w:t xml:space="preserve"> </w:t>
      </w:r>
      <w:r>
        <w:rPr>
          <w:rFonts w:ascii="Consolas" w:hAnsi="Consolas" w:eastAsia="Consolas"/>
          <w:sz w:val="21"/>
        </w:rPr>
        <w:t>aplicado en el sistema</w:t>
      </w:r>
      <w:r>
        <w:t xml:space="preserve"> — las dos correcciones son de codigo; el documento no las describe ni tiene por que</w:t>
      </w:r>
    </w:p>
    <w:p>
      <w:r>
        <w:rPr>
          <w:b/>
        </w:rPr>
        <w:t>a) La columna «Responsable» del Dashboard muestra técnicos.</w:t>
      </w:r>
    </w:p>
    <w:p>
      <w:r>
        <w:rPr>
          <w:i/>
        </w:rPr>
        <w:t>Sección:</w:t>
      </w:r>
      <w:r>
        <w:t xml:space="preserve"> 10.5.1.1 (pantalla de Dashboard)</w:t>
      </w:r>
    </w:p>
    <w:p>
      <w:r>
        <w:t xml:space="preserve">En la tabla «Equipos con mayor riesgo», la columna rotulada </w:t>
      </w:r>
      <w:r>
        <w:rPr>
          <w:b/>
        </w:rPr>
        <w:t>Responsable</w:t>
      </w:r>
      <w:r>
        <w:t xml:space="preserve"> trae nombres de técnicos —Martín Acosta, Julieta Pérez, Lucas Romano—. Pero en esa tabla cada fila es un </w:t>
      </w:r>
      <w:r>
        <w:rPr>
          <w:b/>
        </w:rPr>
        <w:t>equipo</w:t>
      </w:r>
      <w:r>
        <w:t xml:space="preserve">, y un equipo no tiene técnico asignado: lo tienen sus incidencias. El atributo del modelo es </w:t>
      </w:r>
      <w:r>
        <w:rPr>
          <w:rFonts w:ascii="Consolas" w:hAnsi="Consolas" w:eastAsia="Consolas"/>
          <w:sz w:val="21"/>
        </w:rPr>
        <w:t>Equipo.id_responsable</w:t>
      </w:r>
      <w:r>
        <w:t>, que apunta a la persona que usa el equipo y responde por él.</w:t>
      </w:r>
    </w:p>
    <w:p>
      <w:r>
        <w:t>Se mantiene el rótulo «Responsable» y se corrige el dato: la columna muestra el responsable del equipo. Poner ahí al técnico obligaría a elegir uno entre los de todas sus incidencias, que es una pregunta sin respuesta única.</w:t>
      </w:r>
    </w:p>
    <w:p>
      <w:r>
        <w:rPr>
          <w:b/>
        </w:rPr>
        <w:t>b) La meta de 1.000 equipos al mes 12 no cierra con el segmento.</w:t>
      </w:r>
    </w:p>
    <w:p>
      <w:r>
        <w:rPr>
          <w:i/>
        </w:rPr>
        <w:t>Sección:</w:t>
      </w:r>
      <w:r>
        <w:t xml:space="preserve"> 5.3.3 (metas cuantitativas), 4.2 (segmentación)</w:t>
      </w:r>
    </w:p>
    <w:p>
      <w:r>
        <w:t>El documento fija 25 clientes y 1.000 equipos administrados al cierre del primer año. Son 40 equipos por cliente en promedio. El Segmento A se define como PyMEs de 5 a 50 empleados: una empresa de ese tamaño tiene del orden de 20 a 25 equipos —una computadora por persona más impresoras, servidor, UPS y red—, y 40 sólo se alcanza en el extremo superior del rango.</w:t>
      </w:r>
    </w:p>
    <w:p>
      <w:r>
        <w:t xml:space="preserve">El presupuesto financiero, con parques de 18 a 24 equipos para el Plan Inicial y la mezcla de planes que proyecta el embudo, llega a </w:t>
      </w:r>
      <w:r>
        <w:rPr>
          <w:b/>
        </w:rPr>
        <w:t>386 equipos</w:t>
      </w:r>
      <w:r>
        <w:t xml:space="preserve"> al mes 12, no a 1.000. La diferencia no viene del embudo. Son los 40 equipos por cliente promedio, que contradicen la propia definición del segmento.</w:t>
      </w:r>
    </w:p>
    <w:p>
      <w:r>
        <w:t xml:space="preserve">Se recomienda </w:t>
      </w:r>
      <w:r>
        <w:rPr>
          <w:b/>
        </w:rPr>
        <w:t>bajar la meta del primer año al orden de 450 equipos</w:t>
      </w:r>
      <w:r>
        <w:t xml:space="preserve"> y declarar los 1.000 como objetivo del segundo año. La alternativa —sostener los 1.000— obliga a que la mezcla se corra hacia el Plan Estándar, que apunta a empresas de 50 a 150 equipos y por lo tanto a otro segmento.</w:t>
      </w:r>
    </w:p>
    <w:p>
      <w:r>
        <w:rPr>
          <w:b/>
        </w:rPr>
        <w:t>c) El margen de 6.5.3 se calcula sobre el abono solo.</w:t>
      </w:r>
    </w:p>
    <w:p>
      <w:r>
        <w:rPr>
          <w:i/>
        </w:rPr>
        <w:t>Sección:</w:t>
      </w:r>
      <w:r>
        <w:t xml:space="preserve"> 6.5.3 (justificación económica de los precios)</w:t>
      </w:r>
    </w:p>
    <w:p>
      <w:r>
        <w:t>El margen del 74 % al 76 % está calculado sobre el abono base, sin contar los equipos adicionales. En el Plan Inicial con los precios revisados, un cliente de 24 equipos paga 89.000 de abono más 9 × 4.200 = 37.800 de adicionales: el 30 % de su factura queda afuera del cálculo. Con parques más grandes la proporción crece. Corresponde recalcular el margen sobre el ingreso total por cliente, que es además el número que sostiene la afirmación.</w:t>
      </w:r>
    </w:p>
    <w:p>
      <w:pPr>
        <w:pStyle w:val="Heading2"/>
        <w:pBdr>
          <w:bottom w:val="single" w:sz="6" w:space="6" w:color="2F5496"/>
        </w:pBdr>
        <w:spacing w:before="440"/>
      </w:pPr>
      <w:r>
        <w:rPr>
          <w:rFonts w:ascii="Calibri" w:hAnsi="Calibri" w:eastAsia="Calibri"/>
          <w:color w:val="2F5496"/>
        </w:rPr>
        <w:t>D-16 · Cifrado reversible y clave de API por organización</w:t>
      </w:r>
    </w:p>
    <w:p>
      <w:r>
        <w:rPr>
          <w:i/>
        </w:rPr>
        <w:t>Estado:</w:t>
      </w:r>
      <w:r>
        <w:t xml:space="preserve"> </w:t>
      </w:r>
      <w:r>
        <w:rPr>
          <w:rFonts w:ascii="Consolas" w:hAnsi="Consolas" w:eastAsia="Consolas"/>
          <w:sz w:val="21"/>
        </w:rPr>
        <w:t>aplicado</w:t>
      </w:r>
      <w:r>
        <w:t xml:space="preserve"> — verificado el 09/09: «su clave de API. La clave entra y no vuelve a salir: ningun endpoint la devuelve, ni truncada»</w:t>
      </w:r>
    </w:p>
    <w:p>
      <w:r>
        <w:rPr>
          <w:i/>
        </w:rPr>
        <w:t>Secciones:</w:t>
      </w:r>
      <w:r>
        <w:t xml:space="preserve"> 10.2.2 (RNF-04, seguridad) · 10.4.7 (DER de negocio, tabla </w:t>
      </w:r>
      <w:r>
        <w:rPr>
          <w:rFonts w:ascii="Consolas" w:hAnsi="Consolas" w:eastAsia="Consolas"/>
          <w:sz w:val="21"/>
        </w:rPr>
        <w:t>ConfiguracionAsignacion</w:t>
      </w:r>
      <w:r>
        <w:t>) · 10.5.1.7.7 (pantalla de integración de IA)</w:t>
      </w:r>
    </w:p>
    <w:p>
      <w:r>
        <w:t>El documento describe la seguridad del sistema en términos de autenticación y permisos, y menciona el hash de contraseñas. No dice nada sobre credenciales de terceros, que son un dato distinto: una contraseña no hace falta recuperarla —el sistema sólo la verifica—, pero la clave de API del proveedor hay que enviarla en cada llamada, así que hay que poder recuperarla. Un hash no sirve para eso.</w:t>
      </w:r>
    </w:p>
    <w:p>
      <w:r>
        <w:t xml:space="preserve">Se incorpora un servicio de cifrado reversible con AES-256-GCM, separado del hash y sin reemplazarlo, y la clave de API pasa a guardarse cifrada </w:t>
      </w:r>
      <w:r>
        <w:rPr>
          <w:b/>
        </w:rPr>
        <w:t>por organización</w:t>
      </w:r>
      <w:r>
        <w:t xml:space="preserve"> en vez de leerse de una variable de entorno del servidor. El cambio no es sólo técnico: con la clave en el entorno, todas las organizaciones del plan Partner comparten la credencial de quien opera el servidor y el consumo de una se factura contra la cuenta de otra.</w:t>
      </w:r>
    </w:p>
    <w:p>
      <w:r>
        <w:t>La pantalla 10.5.1.7.7 suma la carga de la clave. No suma su lectura: no hay forma de recuperarla una vez guardada, y lo que se muestra es de dónde sale la que está en uso.</w:t>
      </w:r>
    </w:p>
    <w:p>
      <w:r>
        <w:t>El fundamento completo está en el ADR 0010.</w:t>
      </w:r>
    </w:p>
    <w:p>
      <w:pPr>
        <w:pStyle w:val="Heading2"/>
        <w:pBdr>
          <w:bottom w:val="single" w:sz="6" w:space="6" w:color="2F5496"/>
        </w:pBdr>
        <w:spacing w:before="440"/>
      </w:pPr>
      <w:r>
        <w:rPr>
          <w:rFonts w:ascii="Calibri" w:hAnsi="Calibri" w:eastAsia="Calibri"/>
          <w:color w:val="2F5496"/>
        </w:rPr>
        <w:t>D-17 · Cuándo corre el análisis predictivo</w:t>
      </w:r>
    </w:p>
    <w:p>
      <w:r>
        <w:rPr>
          <w:i/>
        </w:rPr>
        <w:t>Estado:</w:t>
      </w:r>
      <w:r>
        <w:t xml:space="preserve"> </w:t>
      </w:r>
      <w:r>
        <w:rPr>
          <w:rFonts w:ascii="Consolas" w:hAnsi="Consolas" w:eastAsia="Consolas"/>
          <w:sz w:val="21"/>
        </w:rPr>
        <w:t>aplicado</w:t>
      </w:r>
      <w:r>
        <w:t xml:space="preserve"> — escrito el 09/09 en 10.5.1.5: los tres momentos en que corre -al registrar incidencia, al registrar mantenimiento y por tarea diaria-, mas la ejecucion a pedido, y por que la fecha entra por parametro</w:t>
      </w:r>
    </w:p>
    <w:p>
      <w:r>
        <w:rPr>
          <w:i/>
        </w:rPr>
        <w:t>Sección:</w:t>
      </w:r>
      <w:r>
        <w:t xml:space="preserve"> 10.2.2 (RF-11) · 10.3 (diagrama de componentes)</w:t>
      </w:r>
    </w:p>
    <w:p>
      <w:r>
        <w:t xml:space="preserve">RF-11 dice que el sistema genera alertas cuando se cumplen las condiciones de una regla, pero no dice </w:t>
      </w:r>
      <w:r>
        <w:rPr>
          <w:b/>
        </w:rPr>
        <w:t>cuándo</w:t>
      </w:r>
      <w:r>
        <w:t xml:space="preserve"> las evalúa. La omisión no es menor: construido al pie de la letra, el motor terminó evaluando sólo cuando alguien abría la pantalla y pedía el análisis, con lo cual la alerta llegaba después de que la persona hubiera ido a buscarla.</w:t>
      </w:r>
    </w:p>
    <w:p>
      <w:r>
        <w:t>Se precisa el requisito: la evaluación se dispara al registrar una incidencia o un mantenimiento —los dos hechos que cambian los datos que las reglas miran— y además por un barrido programado diario, porque tres de las cinco reglas se cumplen por el paso del tiempo sin que ocurra ningún hecho.</w:t>
      </w:r>
    </w:p>
    <w:p>
      <w:r>
        <w:t>El diagrama de componentes suma el proceso en segundo plano, que hoy no figura.</w:t>
      </w:r>
    </w:p>
    <w:p>
      <w:r>
        <w:t>Ver ADR 0011.</w:t>
      </w:r>
    </w:p>
    <w:p>
      <w:pPr>
        <w:pStyle w:val="Heading2"/>
        <w:pBdr>
          <w:bottom w:val="single" w:sz="6" w:space="6" w:color="2F5496"/>
        </w:pBdr>
        <w:spacing w:before="440"/>
      </w:pPr>
      <w:r>
        <w:rPr>
          <w:rFonts w:ascii="Calibri" w:hAnsi="Calibri" w:eastAsia="Calibri"/>
          <w:color w:val="2F5496"/>
        </w:rPr>
        <w:t>D-18 · La patente lleva nivel de acceso</w:t>
      </w:r>
    </w:p>
    <w:p>
      <w:r>
        <w:rPr>
          <w:i/>
        </w:rPr>
        <w:t>Estado:</w:t>
      </w:r>
      <w:r>
        <w:t xml:space="preserve"> </w:t>
      </w:r>
      <w:r>
        <w:rPr>
          <w:rFonts w:ascii="Consolas" w:hAnsi="Consolas" w:eastAsia="Consolas"/>
          <w:sz w:val="21"/>
        </w:rPr>
        <w:t>aplicado</w:t>
      </w:r>
      <w:r>
        <w:t xml:space="preserve"> — escrito el 09/09 en 10.3.3: que la patente lleva nivel de acceso, que distingue lectura de escritura y de operacion critica, y para que sirve</w:t>
      </w:r>
    </w:p>
    <w:p>
      <w:r>
        <w:rPr>
          <w:i/>
        </w:rPr>
        <w:t>Sección:</w:t>
      </w:r>
      <w:r>
        <w:t xml:space="preserve"> 10.4.7 (DER de servicio, tabla </w:t>
      </w:r>
      <w:r>
        <w:rPr>
          <w:rFonts w:ascii="Consolas" w:hAnsi="Consolas" w:eastAsia="Consolas"/>
          <w:sz w:val="21"/>
        </w:rPr>
        <w:t>Patente</w:t>
      </w:r>
      <w:r>
        <w:t>)</w:t>
      </w:r>
    </w:p>
    <w:p>
      <w:r>
        <w:t xml:space="preserve">El DER de servicio del documento define </w:t>
      </w:r>
      <w:r>
        <w:rPr>
          <w:rFonts w:ascii="Consolas" w:hAnsi="Consolas" w:eastAsia="Consolas"/>
          <w:sz w:val="21"/>
        </w:rPr>
        <w:t>Patente</w:t>
      </w:r>
      <w:r>
        <w:t xml:space="preserve"> con nombre, clave y módulo. El modelo de referencia de 3.º año agrega un atributo </w:t>
      </w:r>
      <w:r>
        <w:rPr>
          <w:rFonts w:ascii="Consolas" w:hAnsi="Consolas" w:eastAsia="Consolas"/>
          <w:sz w:val="21"/>
        </w:rPr>
        <w:t>TipoAcceso</w:t>
      </w:r>
      <w:r>
        <w:t>, que en ese proyecto está declarado y vale 1 para las nueve patentes, con lo cual no distingue nada.</w:t>
      </w:r>
    </w:p>
    <w:p>
      <w:r>
        <w:t xml:space="preserve">Se incorpora el atributo y </w:t>
      </w:r>
      <w:r>
        <w:rPr>
          <w:b/>
        </w:rPr>
        <w:t>se lo puebla</w:t>
      </w:r>
      <w:r>
        <w:t>: 11 patentes de lectura, 8 de escritura y 7 de administración. Con veintiséis patentes, la lista de permisos de un usuario deja de responder «qué puede llegar a hacer esta persona» —hay que leer los veintiséis nombres—, y el nivel sí lo responde de un vistazo.</w:t>
      </w:r>
    </w:p>
    <w:p>
      <w:pPr>
        <w:pStyle w:val="Heading2"/>
        <w:pBdr>
          <w:bottom w:val="single" w:sz="6" w:space="6" w:color="2F5496"/>
        </w:pBdr>
        <w:spacing w:before="440"/>
      </w:pPr>
      <w:r>
        <w:rPr>
          <w:rFonts w:ascii="Calibri" w:hAnsi="Calibri" w:eastAsia="Calibri"/>
          <w:color w:val="2F5496"/>
        </w:rPr>
        <w:t>D-19 · La bitácora se filtra por usuario y los errores tienen su vista</w:t>
      </w:r>
    </w:p>
    <w:p>
      <w:r>
        <w:rPr>
          <w:i/>
        </w:rPr>
        <w:t>Estado:</w:t>
      </w:r>
      <w:r>
        <w:t xml:space="preserve"> </w:t>
      </w:r>
      <w:r>
        <w:rPr>
          <w:rFonts w:ascii="Consolas" w:hAnsi="Consolas" w:eastAsia="Consolas"/>
          <w:sz w:val="21"/>
        </w:rPr>
        <w:t>aplicado</w:t>
      </w:r>
      <w:r>
        <w:t xml:space="preserve"> — el filtro de bitácora por usuario y la separación de los errores del sistema están escritos en 10.3.2.3, y la pantalla de Errores ya es el apartado 10.5.1.9.6, con su captura y su sección en el manual del administrador</w:t>
      </w:r>
    </w:p>
    <w:p>
      <w:r>
        <w:rPr>
          <w:i/>
        </w:rPr>
        <w:t>Secciones:</w:t>
      </w:r>
      <w:r>
        <w:t xml:space="preserve"> 10.2.2 (RF nuevo) · 10.5.1.7.5 (pantalla de bitácora) · 10.5 (pantalla nueva)</w:t>
      </w:r>
    </w:p>
    <w:p>
      <w:r>
        <w:t>Dos capacidades que el modelo de referencia pide como casos de uso de arquitectura —CU.Arq.002 y CU.Arq.007— y que el documento no describe.</w:t>
      </w:r>
    </w:p>
    <w:p>
      <w:r>
        <w:rPr>
          <w:b/>
        </w:rPr>
        <w:t>Filtro por usuario en la bitácora.</w:t>
      </w:r>
      <w:r>
        <w:t xml:space="preserve"> La pantalla 10.5.1.7.5 filtra por fecha y por tipo de evento. Falta la consulta que se hace de verdad cuando algo salió mal, que no es «qué pasó el martes» sino «qué hizo esta persona».</w:t>
      </w:r>
    </w:p>
    <w:p>
      <w:r>
        <w:rPr>
          <w:b/>
        </w:rPr>
        <w:t>Pantalla de errores del sistema.</w:t>
      </w:r>
      <w:r>
        <w:t xml:space="preserve"> Las excepciones no controladas ya se asientan en la bitácora con su traza completa, y no había forma de verla: la consulta general no la devuelve, y con razón —una lista de auditoría con volcados de pila es ilegible—. Se agrega una pantalla que sale de la misma bitácora inmutable, filtrada por criticidad y mostrando la traza, con </w:t>
      </w:r>
      <w:r>
        <w:rPr>
          <w:b/>
        </w:rPr>
        <w:t>patente propia</w:t>
      </w:r>
      <w:r>
        <w:t>: una traza nombra tablas, rutas y versiones de bibliotecas, que sirven tanto para diagnosticar como para atacar.</w:t>
      </w:r>
    </w:p>
    <w:p>
      <w:r>
        <w:t>No se agrega una tabla de errores. Un segundo registro de lo mismo se desincroniza del primero, y la bitácora ya tiene la propiedad que importa acá: nadie puede alterarla ni borrarla, ni conectándose directo a la base.</w:t>
      </w:r>
    </w:p>
    <w:p>
      <w:pPr>
        <w:pStyle w:val="Heading2"/>
        <w:pBdr>
          <w:bottom w:val="single" w:sz="6" w:space="6" w:color="2F5496"/>
        </w:pBdr>
        <w:spacing w:before="440"/>
      </w:pPr>
      <w:r>
        <w:rPr>
          <w:rFonts w:ascii="Calibri" w:hAnsi="Calibri" w:eastAsia="Calibri"/>
          <w:color w:val="2F5496"/>
        </w:rPr>
        <w:t>D-20 · El ciclo de vida completo de la incidencia</w:t>
      </w:r>
    </w:p>
    <w:p>
      <w:r>
        <w:rPr>
          <w:i/>
        </w:rPr>
        <w:t>Estado:</w:t>
      </w:r>
      <w:r>
        <w:t xml:space="preserve"> </w:t>
      </w:r>
      <w:r>
        <w:rPr>
          <w:rFonts w:ascii="Consolas" w:hAnsi="Consolas" w:eastAsia="Consolas"/>
          <w:sz w:val="21"/>
        </w:rPr>
        <w:t>aplicado</w:t>
      </w:r>
      <w:r>
        <w:t xml:space="preserve"> — el documento describe los estados Resuelta, Cerrada y Anulada</w:t>
      </w:r>
    </w:p>
    <w:p>
      <w:r>
        <w:rPr>
          <w:i/>
        </w:rPr>
        <w:t>Secciones:</w:t>
      </w:r>
      <w:r>
        <w:t xml:space="preserve"> 10.2.3 (CU-008, atención de incidencias) · 10.2.2 (RF-07) · 10.4.7 (DER, tabla </w:t>
      </w:r>
      <w:r>
        <w:rPr>
          <w:rFonts w:ascii="Consolas" w:hAnsi="Consolas" w:eastAsia="Consolas"/>
          <w:sz w:val="21"/>
        </w:rPr>
        <w:t>Incidencia</w:t>
      </w:r>
      <w:r>
        <w:t>) · 10.5.1.3.2 (pantalla de detalle)</w:t>
      </w:r>
    </w:p>
    <w:p>
      <w:r>
        <w:t xml:space="preserve">El documento describe el alta y la asignación de la incidencia con detalle, y da por supuesto lo que pasa después. Construido al pie de la letra, el resultado fue un sistema donde la incidencia se registraba y se reasignaba, y nada más: de los siete estados del catálogo sólo dos eran alcanzables, y </w:t>
      </w:r>
      <w:r>
        <w:rPr>
          <w:rFonts w:ascii="Consolas" w:hAnsi="Consolas" w:eastAsia="Consolas"/>
          <w:sz w:val="21"/>
        </w:rPr>
        <w:t>diagnostico</w:t>
      </w:r>
      <w:r>
        <w:t xml:space="preserve">, </w:t>
      </w:r>
      <w:r>
        <w:rPr>
          <w:rFonts w:ascii="Consolas" w:hAnsi="Consolas" w:eastAsia="Consolas"/>
          <w:sz w:val="21"/>
        </w:rPr>
        <w:t>solucion</w:t>
      </w:r>
      <w:r>
        <w:t xml:space="preserve"> y </w:t>
      </w:r>
      <w:r>
        <w:rPr>
          <w:rFonts w:ascii="Consolas" w:hAnsi="Consolas" w:eastAsia="Consolas"/>
          <w:sz w:val="21"/>
        </w:rPr>
        <w:t>fecha_resolucion</w:t>
      </w:r>
      <w:r>
        <w:t xml:space="preserve"> existían en la base sin que nada las escribiera.</w:t>
      </w:r>
    </w:p>
    <w:p>
      <w:r>
        <w:t>No es un detalle de implementación. Sin fecha de resolución no hay tiempo de reparación, y sin tiempo de reparación el SLA de cuatro horas que promete el propio documento no se puede medir.</w:t>
      </w:r>
    </w:p>
    <w:p>
      <w:r>
        <w:t>Se precisa el caso de uso con la máquina de estados completa —ocho transiciones sobre siete estados—, las reglas de quién puede atender, y la exigencia de diagnóstico y solución para resolver. La pantalla 10.5.1.3.2 suma el panel de atención.</w:t>
      </w:r>
    </w:p>
    <w:p>
      <w:r>
        <w:t>Ver ADR 0012.</w:t>
      </w:r>
    </w:p>
    <w:p>
      <w:pPr>
        <w:pStyle w:val="Heading2"/>
        <w:pBdr>
          <w:bottom w:val="single" w:sz="6" w:space="6" w:color="2F5496"/>
        </w:pBdr>
        <w:spacing w:before="440"/>
      </w:pPr>
      <w:r>
        <w:rPr>
          <w:rFonts w:ascii="Calibri" w:hAnsi="Calibri" w:eastAsia="Calibri"/>
          <w:color w:val="2F5496"/>
        </w:rPr>
        <w:t>D-21 · Los reportes son PDF generados en el servidor</w:t>
      </w:r>
    </w:p>
    <w:p>
      <w:r>
        <w:rPr>
          <w:i/>
        </w:rPr>
        <w:t>Estado:</w:t>
      </w:r>
      <w:r>
        <w:t xml:space="preserve"> </w:t>
      </w:r>
      <w:r>
        <w:rPr>
          <w:rFonts w:ascii="Consolas" w:hAnsi="Consolas" w:eastAsia="Consolas"/>
          <w:sz w:val="21"/>
        </w:rPr>
        <w:t>aplicado</w:t>
      </w:r>
      <w:r>
        <w:t xml:space="preserve"> — el documento tiene la seccion 10.2.2 «Reportes exportables»</w:t>
      </w:r>
    </w:p>
    <w:p>
      <w:r>
        <w:rPr>
          <w:i/>
        </w:rPr>
        <w:t>Secciones:</w:t>
      </w:r>
      <w:r>
        <w:t xml:space="preserve"> 10.2.2 (RF-14) · 10.2.5 (entorno técnico) · 10.5 (pantalla nueva)</w:t>
      </w:r>
    </w:p>
    <w:p>
      <w:r>
        <w:t xml:space="preserve">RF-14 pide reportes «filtrados y exportables» y no dice en qué formato. Se define: </w:t>
      </w:r>
      <w:r>
        <w:rPr>
          <w:b/>
        </w:rPr>
        <w:t>PDF, generado en el servidor</w:t>
      </w:r>
      <w:r>
        <w:t>, con tres reportes —parque, incidencias y mantenimientos—.</w:t>
      </w:r>
    </w:p>
    <w:p>
      <w:r>
        <w:t>El entorno técnico suma la dependencia y su licencia: QuestPDF Community, elegida porque no necesita binarios nativos ni un navegador headless y por lo tanto funciona dentro del contenedor de la API sin engordarlo.</w:t>
      </w:r>
    </w:p>
    <w:p>
      <w:r>
        <w:t>El motivo de generarlo en el servidor no es técnico sino de trazabilidad: el reporte lleva impresos la fecha, el autor y los filtros aplicados, y cada emisión queda en la bitácora. Un PDF armado en el navegador lo firmaría el navegador.</w:t>
      </w:r>
    </w:p>
    <w:p>
      <w:r>
        <w:t>Ver ADR 0013.</w:t>
      </w:r>
    </w:p>
    <w:p>
      <w:pPr>
        <w:pStyle w:val="Heading2"/>
        <w:pBdr>
          <w:bottom w:val="single" w:sz="6" w:space="6" w:color="2F5496"/>
        </w:pBdr>
        <w:spacing w:before="440"/>
      </w:pPr>
      <w:r>
        <w:rPr>
          <w:rFonts w:ascii="Calibri" w:hAnsi="Calibri" w:eastAsia="Calibri"/>
          <w:color w:val="2F5496"/>
        </w:rPr>
        <w:t>D-22 · Cuatro casos de uso que el modelo de permisos prometía</w:t>
      </w:r>
    </w:p>
    <w:p>
      <w:r>
        <w:rPr>
          <w:i/>
        </w:rPr>
        <w:t>Estado:</w:t>
      </w:r>
      <w:r>
        <w:t xml:space="preserve"> </w:t>
      </w:r>
      <w:r>
        <w:rPr>
          <w:rFonts w:ascii="Consolas" w:hAnsi="Consolas" w:eastAsia="Consolas"/>
          <w:sz w:val="21"/>
        </w:rPr>
        <w:t>aplicado</w:t>
      </w:r>
      <w:r>
        <w:t xml:space="preserve"> — CU-014 a CU-017 escritos el 09/09 con el mismo formato que los trece anteriores: tabla descriptiva, flujo normal y flujo alternativo, y sus cuatro filas en el indice de 10.4.2</w:t>
      </w:r>
    </w:p>
    <w:p>
      <w:r>
        <w:rPr>
          <w:i/>
        </w:rPr>
        <w:t>Secciones:</w:t>
      </w:r>
      <w:r>
        <w:t xml:space="preserve"> 10.2.3 (CU nuevos) · 10.4.7 (DER de servicio, </w:t>
      </w:r>
      <w:r>
        <w:rPr>
          <w:rFonts w:ascii="Consolas" w:hAnsi="Consolas" w:eastAsia="Consolas"/>
          <w:sz w:val="21"/>
        </w:rPr>
        <w:t>Patente</w:t>
      </w:r>
      <w:r>
        <w:t>) · 10.5 (pantallas nuevas)</w:t>
      </w:r>
    </w:p>
    <w:p>
      <w:r>
        <w:t xml:space="preserve">Una auditoría del 03/09 buscó en el código las </w:t>
      </w:r>
      <w:r>
        <w:rPr>
          <w:b/>
        </w:rPr>
        <w:t>patentes declaradas que ningún endpoint exige</w:t>
      </w:r>
      <w:r>
        <w:t>. Aparecieron cuatro, y cada una era un caso de uso que el modelo de permisos prometía y el sistema no tenía:</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Patente</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Qué faltaba</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INCIDENCIA_ATENDER</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El ciclo de vida (D-20)</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EQUIPO_CAMBIAR_ESTADO</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Pasar un equipo a «en reparación». Sólo existía darlo de baja, y el motor predictivo no evalúa los equipos no operativos: el estado cambia qué se evalúa</w:t>
            </w:r>
          </w:p>
        </w:tc>
      </w:tr>
      <w:tr>
        <w:trPr>
          <w:cantSplit w:val="true"/>
        </w:trPr>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onsolas" w:hAnsi="Consolas" w:eastAsia="Consolas"/>
                <w:sz w:val="19"/>
              </w:rPr>
              <w:t>REPORTE_GENERAR</w:t>
            </w:r>
          </w:p>
        </w:tc>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Los reportes (D-21)</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HISTORIAL_VER_ORGANIZACION</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El historial técnico del parque, con incidencias y mantenimientos en una sola línea de tiempo</w:t>
            </w:r>
          </w:p>
        </w:tc>
      </w:tr>
    </w:tbl>
    <w:p>
      <w:pPr>
        <w:spacing w:after="80"/>
      </w:pPr>
    </w:p>
    <w:p>
      <w:r>
        <w:t xml:space="preserve">Y dos códigos de evento del catálogo que nunca se escribían: </w:t>
      </w:r>
      <w:r>
        <w:rPr>
          <w:rFonts w:ascii="Consolas" w:hAnsi="Consolas" w:eastAsia="Consolas"/>
          <w:sz w:val="21"/>
        </w:rPr>
        <w:t>LOGOUT</w:t>
      </w:r>
      <w:r>
        <w:t xml:space="preserve"> —la bitácora tenía todas las entradas y ninguna salida— y </w:t>
      </w:r>
      <w:r>
        <w:rPr>
          <w:rFonts w:ascii="Consolas" w:hAnsi="Consolas" w:eastAsia="Consolas"/>
          <w:sz w:val="21"/>
        </w:rPr>
        <w:t>RESTORE</w:t>
      </w:r>
      <w:r>
        <w:t>, con la restauración de un respaldo implementada en el servicio y sin endpoint que la llamara. Un respaldo que no se probó restaurando es una copia, no un respaldo.</w:t>
      </w:r>
    </w:p>
    <w:p>
      <w:r>
        <w:t>El documento suma los cuatro casos de uso y las dos pantallas nuevas —Historial del parque y Reportes—.</w:t>
      </w:r>
    </w:p>
    <w:p>
      <w:r>
        <w:rPr>
          <w:b/>
        </w:rPr>
        <w:t>Lo que esta auditoría dice del proceso, y conviene decirlo en la defensa:</w:t>
      </w:r>
      <w:r>
        <w:t xml:space="preserve"> es la tercera vez que la misma técnica encuentra algo, y las tres veces el hallazgo fue una </w:t>
      </w:r>
      <w:r>
        <w:rPr>
          <w:b/>
        </w:rPr>
        <w:t>ausencia</w:t>
      </w:r>
      <w:r>
        <w:t>. Ninguna prueba podía fallar, porque no había código roto.</w:t>
      </w:r>
    </w:p>
    <w:p>
      <w:pPr>
        <w:pStyle w:val="Heading2"/>
        <w:pBdr>
          <w:bottom w:val="single" w:sz="6" w:space="6" w:color="2F5496"/>
        </w:pBdr>
        <w:spacing w:before="440"/>
      </w:pPr>
      <w:r>
        <w:rPr>
          <w:rFonts w:ascii="Calibri" w:hAnsi="Calibri" w:eastAsia="Calibri"/>
          <w:color w:val="2F5496"/>
        </w:rPr>
        <w:t>D-23 · Valor terminal en la evaluación financiera</w:t>
      </w:r>
    </w:p>
    <w:p>
      <w:r>
        <w:rPr>
          <w:i/>
        </w:rPr>
        <w:t>Estado:</w:t>
      </w:r>
      <w:r>
        <w:t xml:space="preserve"> </w:t>
      </w:r>
      <w:r>
        <w:rPr>
          <w:rFonts w:ascii="Consolas" w:hAnsi="Consolas" w:eastAsia="Consolas"/>
          <w:sz w:val="21"/>
        </w:rPr>
        <w:t>aplicado</w:t>
      </w:r>
      <w:r>
        <w:t xml:space="preserve"> — el documento tiene la seccion 7.7.1 «Valor terminal e interpretacion de los indicadores»</w:t>
      </w:r>
    </w:p>
    <w:p>
      <w:r>
        <w:rPr>
          <w:i/>
        </w:rPr>
        <w:t>Secciones:</w:t>
      </w:r>
      <w:r>
        <w:t xml:space="preserve"> 6.5 (evaluación económica) · 6.5.4 (indicadores)</w:t>
      </w:r>
    </w:p>
    <w:p>
      <w:r>
        <w:t xml:space="preserve">El VAN a cuatro años quedaba negativo porque la ventana termina justo cuando el proyecto da vuelta: el año 4 cierra positivo y después no se cuenta nada. Se incorpora el </w:t>
      </w:r>
      <w:r>
        <w:rPr>
          <w:b/>
        </w:rPr>
        <w:t>valor terminal</w:t>
      </w:r>
      <w:r>
        <w:t xml:space="preserve"> al cierre del horizonte, como múltiplo de los ingresos anuales.</w:t>
      </w:r>
    </w:p>
    <w:p>
      <w:r>
        <w:t>Múltiplo y no perpetuidad de Gordon por un motivo aritmético: con una tasa de corte nominal del 60 %, el denominador (r − g) queda dominado por la inflación y la perpetuidad devuelve un número sin significado económico. El múltiplo es además cómo el mercado fija precio a un prestador de servicios administrados.</w:t>
      </w:r>
    </w:p>
    <w:p>
      <w:r>
        <w:rPr>
          <w:b/>
        </w:rPr>
        <w:t>El resultado, con los números recalculados y no estimados:</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Indicador</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Valor</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VAN con valor terminal (1,5×)</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−48 millones</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VAN sin valor terminal</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−193 millones</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Valor terminal descontado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+146 millones</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TIR</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41 % nominal · 5 % real</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El VAN se vuelve positivo a</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2,0×</w:t>
            </w:r>
          </w:p>
        </w:tc>
      </w:tr>
    </w:tbl>
    <w:p>
      <w:pPr>
        <w:spacing w:after="80"/>
      </w:pPr>
    </w:p>
    <w:p>
      <w:r>
        <w:t xml:space="preserve">Se toma </w:t>
      </w:r>
      <w:r>
        <w:rPr>
          <w:b/>
        </w:rPr>
        <w:t>1,5×, el piso</w:t>
      </w:r>
      <w:r>
        <w:t xml:space="preserve"> del rango de mercado (1× a 3×), y el resultado sigue siendo negativo. La sección tiene que decir eso y no otra cosa: el proyecto crea valor en términos reales —la TIR gana cinco puntos sobre la inflación— pero no alcanza el retorno que la prima de riesgo de la tasa de corte le exige. Es la diferencia entre un negocio que no sirve y uno que sirve menos de lo que se le pidió.</w:t>
      </w:r>
    </w:p>
    <w:p>
      <w:r>
        <w:t>La tabla de sensibilidad queda en el libro para que la conclusión no dependa de haber elegido bien un número que nadie puede conocer.</w:t>
      </w:r>
    </w:p>
    <w:p>
      <w:pPr>
        <w:pStyle w:val="Heading2"/>
        <w:pBdr>
          <w:bottom w:val="single" w:sz="6" w:space="6" w:color="2F5496"/>
        </w:pBdr>
        <w:spacing w:before="440"/>
      </w:pPr>
      <w:r>
        <w:rPr>
          <w:rFonts w:ascii="Calibri" w:hAnsi="Calibri" w:eastAsia="Calibri"/>
          <w:color w:val="2F5496"/>
        </w:rPr>
        <w:t>D-24 · Las pantallas del capítulo 10.5 son capturas del sistema</w:t>
      </w:r>
    </w:p>
    <w:p>
      <w:r>
        <w:rPr>
          <w:i/>
        </w:rPr>
        <w:t>Estado:</w:t>
      </w:r>
      <w:r>
        <w:t xml:space="preserve"> </w:t>
      </w:r>
      <w:r>
        <w:rPr>
          <w:rFonts w:ascii="Consolas" w:hAnsi="Consolas" w:eastAsia="Consolas"/>
          <w:sz w:val="21"/>
        </w:rPr>
        <w:t>aplicado</w:t>
      </w:r>
      <w:r>
        <w:t xml:space="preserve"> — el capitulo 10.5 lleva capturas del sistema</w:t>
      </w:r>
    </w:p>
    <w:p>
      <w:r>
        <w:rPr>
          <w:i/>
        </w:rPr>
        <w:t>Secciones:</w:t>
      </w:r>
      <w:r>
        <w:t xml:space="preserve"> 10.5 completa (10.5.1.1 a 10.5.2.4)</w:t>
      </w:r>
    </w:p>
    <w:p>
      <w:r>
        <w:t>El capítulo mostraba los mockups de la etapa de diseño. Servían para acordar la interfaz antes de escribirla, pero ya no describen el sistema: los datos son inventados, los iconos aparecen como cuadrados vacíos porque falta la tipografía de iconos, y la cifra de equipos no coincide con la de la base.</w:t>
      </w:r>
    </w:p>
    <w:p>
      <w:r>
        <w:t xml:space="preserve">Las diecisiete pantallas del capítulo pasan a ser capturas del sistema funcionando, con los datos de la organización de demostración. Se sacan con </w:t>
      </w:r>
      <w:r>
        <w:rPr>
          <w:rFonts w:ascii="Consolas" w:hAnsi="Consolas" w:eastAsia="Consolas"/>
          <w:sz w:val="21"/>
        </w:rPr>
        <w:t>frontend/scripts/capturar-pantallas.mjs</w:t>
      </w:r>
      <w:r>
        <w:t>, que entra con cada perfil, recorre las rutas y guarda un PNG por pantalla al mismo tamaño y con el mismo recorte. Se automatiza para que, cuando una pantalla cambie, se vuelvan a sacar todas con un comando. Una captura vieja en un documento queda ahí sin que nadie la revise, y describe un sistema que ya no existe.</w:t>
      </w:r>
    </w:p>
    <w:p>
      <w:r>
        <w:t>Como efecto colateral, sacar las capturas encontró un defecto real. La ficha de equipo seguía mostrando los textos de una fase anterior —«todavía no está implementado el módulo de incidencias» y «requiere el motor predictivo»— cuando los tres módulos ya estaban. La ficha ahora muestra el historial de incidencias y mantenimientos en una sola línea de tiempo y el puntaje de riesgo con la participación de cada regla, calculada como peso por intensidad sobre el total.</w:t>
      </w:r>
    </w:p>
    <w:p>
      <w:pPr>
        <w:pStyle w:val="Heading2"/>
        <w:pBdr>
          <w:bottom w:val="single" w:sz="6" w:space="6" w:color="2F5496"/>
        </w:pBdr>
        <w:spacing w:before="440"/>
      </w:pPr>
      <w:r>
        <w:rPr>
          <w:rFonts w:ascii="Calibri" w:hAnsi="Calibri" w:eastAsia="Calibri"/>
          <w:color w:val="2F5496"/>
        </w:rPr>
        <w:t>D-25 · Los diagramas de paquetes, componentes y despliegue salen del código</w:t>
      </w:r>
    </w:p>
    <w:p>
      <w:r>
        <w:rPr>
          <w:i/>
        </w:rPr>
        <w:t>Estado:</w:t>
      </w:r>
      <w:r>
        <w:t xml:space="preserve"> </w:t>
      </w:r>
      <w:r>
        <w:rPr>
          <w:rFonts w:ascii="Consolas" w:hAnsi="Consolas" w:eastAsia="Consolas"/>
          <w:sz w:val="21"/>
        </w:rPr>
        <w:t>aplicado</w:t>
      </w:r>
      <w:r>
        <w:t xml:space="preserve"> — el documento tiene los diagramas de paquetes, componentes y despliegue</w:t>
      </w:r>
    </w:p>
    <w:p>
      <w:r>
        <w:rPr>
          <w:i/>
        </w:rPr>
        <w:t>Secciones:</w:t>
      </w:r>
      <w:r>
        <w:t xml:space="preserve"> 10.4.4 · 10.4.5 · 10.4.8</w:t>
      </w:r>
    </w:p>
    <w:p>
      <w:r>
        <w:t xml:space="preserve">Los tres diagramas eran de la etapa de diseño y contradecían la solución construida. El de paquetes mostraba </w:t>
      </w:r>
      <w:r>
        <w:rPr>
          <w:b/>
        </w:rPr>
        <w:t>MySQL</w:t>
      </w:r>
      <w:r>
        <w:t xml:space="preserve"> como base y una estructura de capas que no es la que tiene el código, que se organiza en Domain, DAO, BLL, Service y Api.</w:t>
      </w:r>
    </w:p>
    <w:p>
      <w:r>
        <w:t xml:space="preserve">Se reemplazan por los diagramas de </w:t>
      </w:r>
      <w:r>
        <w:rPr>
          <w:rFonts w:ascii="Consolas" w:hAnsi="Consolas" w:eastAsia="Consolas"/>
          <w:sz w:val="21"/>
        </w:rPr>
        <w:t>docs/tecnico/DIAGRAMAS.md</w:t>
      </w:r>
      <w:r>
        <w:t xml:space="preserve">, escritos en Mermaid y convertidos a imagen con </w:t>
      </w:r>
      <w:r>
        <w:rPr>
          <w:rFonts w:ascii="Consolas" w:hAnsi="Consolas" w:eastAsia="Consolas"/>
          <w:sz w:val="21"/>
        </w:rPr>
        <w:t>docs/tecnico/_diagramas-a-png.py</w:t>
      </w:r>
      <w:r>
        <w:t>. El diagrama del documento y el del repositorio salen del mismo texto, así que no pueden decir cosas distintas.</w:t>
      </w:r>
    </w:p>
    <w:p>
      <w:pPr>
        <w:pStyle w:val="Heading2"/>
        <w:pBdr>
          <w:bottom w:val="single" w:sz="6" w:space="6" w:color="2F5496"/>
        </w:pBdr>
        <w:spacing w:before="440"/>
      </w:pPr>
      <w:r>
        <w:rPr>
          <w:rFonts w:ascii="Calibri" w:hAnsi="Calibri" w:eastAsia="Calibri"/>
          <w:color w:val="2F5496"/>
        </w:rPr>
        <w:t>D-26 · Numeración de figuras y tablas, e índices propios</w:t>
      </w:r>
    </w:p>
    <w:p>
      <w:r>
        <w:rPr>
          <w:i/>
        </w:rPr>
        <w:t>Estado:</w:t>
      </w:r>
      <w:r>
        <w:t xml:space="preserve"> </w:t>
      </w:r>
      <w:r>
        <w:rPr>
          <w:rFonts w:ascii="Consolas" w:hAnsi="Consolas" w:eastAsia="Consolas"/>
          <w:sz w:val="21"/>
        </w:rPr>
        <w:t>descartado por decision del autor</w:t>
      </w:r>
      <w:r>
        <w:t xml:space="preserve"> — los epigrafes numerados se quitaron a proposito de la version que se entrega</w:t>
      </w:r>
    </w:p>
    <w:p>
      <w:r>
        <w:rPr>
          <w:i/>
        </w:rPr>
        <w:t>Secciones:</w:t>
      </w:r>
      <w:r>
        <w:t xml:space="preserve"> documento completo · índice general</w:t>
      </w:r>
    </w:p>
    <w:p>
      <w:r>
        <w:t>El documento tenía 54 figuras y 70 tablas sin numerar, y no había forma de citar ninguna desde el cuerpo del texto. Tampoco había números de página en el pie, con lo cual el índice general no servía para encontrar nada en la versión impresa.</w:t>
      </w:r>
    </w:p>
    <w:p>
      <w:r>
        <w:t>Se agrega:</w:t>
      </w:r>
    </w:p>
    <w:p>
      <w:pPr>
        <w:pStyle w:val="ListBullet"/>
      </w:pPr>
      <w:r>
        <w:t>Epígrafe numerado debajo de cada figura y arriba de cada tabla, con el número como campo SEQ de Word y no como texto. Con el campo, la numeración se corrige sola si se inserta una figura en el medio, y Word puede armar los índices.</w:t>
      </w:r>
    </w:p>
    <w:p>
      <w:pPr>
        <w:pStyle w:val="ListBullet"/>
      </w:pPr>
      <w:r>
        <w:rPr>
          <w:b/>
        </w:rPr>
        <w:t>Índice de figuras</w:t>
      </w:r>
      <w:r>
        <w:t xml:space="preserve"> e </w:t>
      </w:r>
      <w:r>
        <w:rPr>
          <w:b/>
        </w:rPr>
        <w:t>índice de tablas</w:t>
      </w:r>
      <w:r>
        <w:t xml:space="preserve"> después del índice general.</w:t>
      </w:r>
    </w:p>
    <w:p>
      <w:pPr>
        <w:pStyle w:val="ListBullet"/>
      </w:pPr>
      <w:r>
        <w:t>Número de página en el pie, salvo en la portada.</w:t>
      </w:r>
    </w:p>
    <w:p>
      <w:r>
        <w:t xml:space="preserve">También se retira del documento el estilo </w:t>
      </w:r>
      <w:r>
        <w:rPr>
          <w:rFonts w:ascii="Consolas" w:hAnsi="Consolas" w:eastAsia="Consolas"/>
          <w:sz w:val="21"/>
        </w:rPr>
        <w:t>font-claude-response-body</w:t>
      </w:r>
      <w:r>
        <w:t>, que había quedado adherido a cuatro párrafos del capítulo 1 al copiarlos desde una ventana del navegador, junto con su definición en la hoja de estilos.</w:t>
      </w:r>
    </w:p>
    <w:p>
      <w:pPr>
        <w:pStyle w:val="Heading2"/>
        <w:pBdr>
          <w:bottom w:val="single" w:sz="6" w:space="6" w:color="2F5496"/>
        </w:pBdr>
        <w:spacing w:before="440"/>
      </w:pPr>
      <w:r>
        <w:rPr>
          <w:rFonts w:ascii="Calibri" w:hAnsi="Calibri" w:eastAsia="Calibri"/>
          <w:color w:val="2F5496"/>
        </w:rPr>
        <w:t>D-27 · Los documentos satélites toman el formato del documento principal</w:t>
      </w:r>
    </w:p>
    <w:p>
      <w:r>
        <w:rPr>
          <w:i/>
        </w:rPr>
        <w:t>Estado:</w:t>
      </w:r>
      <w:r>
        <w:t xml:space="preserve"> </w:t>
      </w:r>
      <w:r>
        <w:rPr>
          <w:rFonts w:ascii="Consolas" w:hAnsi="Consolas" w:eastAsia="Consolas"/>
          <w:sz w:val="21"/>
        </w:rPr>
        <w:t>aplicado fuera del .docx</w:t>
      </w:r>
      <w:r>
        <w:t xml:space="preserve"> — es el formato de los documentos satelite, no del documento principal</w:t>
      </w:r>
    </w:p>
    <w:p>
      <w:r>
        <w:rPr>
          <w:i/>
        </w:rPr>
        <w:t>Secciones:</w:t>
      </w:r>
      <w:r>
        <w:t xml:space="preserve"> entregables (no altera el cuerpo del TFI)</w:t>
      </w:r>
    </w:p>
    <w:p>
      <w:r>
        <w:t>Los documentos que acompañan al trabajo —manuales, documentación técnica, gestión— existían sólo como archivos de texto en formato Markdown. Markdown es una buena fuente, porque se versiona y se compara entre revisiones, pero no es un entregable: quien lo abre encuentra los asteriscos y los guiones a la vista.</w:t>
      </w:r>
    </w:p>
    <w:p>
      <w:r>
        <w:t>Todos se generan ahora como documentos de Word con el mismo formato que TFI-PredictIT.docx: Calibri 12, justificado, interlineado 1,15 y márgenes de 3 cm a los lados. Cada uno lleva portada con los datos de la cátedra, índice, encabezado, numeración de páginas, epígrafes numerados y un apartado de fuentes en normas APA con las obras que efectivamente cita.</w:t>
      </w:r>
    </w:p>
    <w:p>
      <w:r>
        <w:t xml:space="preserve">Se agrega además la </w:t>
      </w:r>
      <w:r>
        <w:rPr>
          <w:b/>
        </w:rPr>
        <w:t>presentación de la defensa</w:t>
      </w:r>
      <w:r>
        <w:t xml:space="preserve"> (</w:t>
      </w:r>
      <w:r>
        <w:rPr>
          <w:rFonts w:ascii="Consolas" w:hAnsi="Consolas" w:eastAsia="Consolas"/>
          <w:sz w:val="21"/>
        </w:rPr>
        <w:t>docs/defensa/</w:t>
      </w:r>
      <w:r>
        <w:t>), de veinte diapositivas, con el guion de cada una en las notas del orador y las cifras leídas del backlog, de la corrida de pruebas y de este mismo registro.</w:t>
      </w:r>
    </w:p>
    <w:p>
      <w:pPr>
        <w:pStyle w:val="Heading2"/>
        <w:pBdr>
          <w:bottom w:val="single" w:sz="6" w:space="6" w:color="2F5496"/>
        </w:pBdr>
        <w:spacing w:before="440"/>
      </w:pPr>
      <w:r>
        <w:rPr>
          <w:rFonts w:ascii="Calibri" w:hAnsi="Calibri" w:eastAsia="Calibri"/>
          <w:color w:val="2F5496"/>
        </w:rPr>
        <w:t>D-28 · Rediseño de la interfaz y los temas</w:t>
      </w:r>
    </w:p>
    <w:p>
      <w:r>
        <w:rPr>
          <w:i/>
        </w:rPr>
        <w:t>Estado:</w:t>
      </w:r>
      <w:r>
        <w:t xml:space="preserve"> </w:t>
      </w:r>
      <w:r>
        <w:rPr>
          <w:rFonts w:ascii="Consolas" w:hAnsi="Consolas" w:eastAsia="Consolas"/>
          <w:sz w:val="21"/>
        </w:rPr>
        <w:t>aplicado</w:t>
      </w:r>
      <w:r>
        <w:t xml:space="preserve"> — el 09/09 se eligió la </w:t>
      </w:r>
      <w:r>
        <w:rPr>
          <w:b/>
        </w:rPr>
        <w:t>dirección financiera</w:t>
      </w:r>
      <w:r>
        <w:t xml:space="preserve"> y quedó aplicada en todas las pantallas, con </w:t>
      </w:r>
      <w:r>
        <w:rPr>
          <w:b/>
        </w:rPr>
        <w:t>dos temas en lugar de tres</w:t>
      </w:r>
      <w:r>
        <w:t>: Oscuro y Claro, más la opción de seguir al sistema operativo. Las tres densidades se quedan. Las veintiuna capturas del capítulo 10.5 se rehicieron todas juntas sobre el sistema con el rediseño puesto, y la pantalla de Apariencia es ahora el apartado 10.5.1.9.9</w:t>
      </w:r>
    </w:p>
    <w:p>
      <w:r>
        <w:rPr>
          <w:i/>
        </w:rPr>
        <w:t>Secciones:</w:t>
      </w:r>
      <w:r>
        <w:t xml:space="preserve"> 10.5 (pantallas) · 10.3.2 (componentes de la arquitectura base)</w:t>
      </w:r>
    </w:p>
    <w:p>
      <w:r>
        <w:t>Segunda iteración del sistema visual sobre el canvas de diseño. Baja como una capa de tokens que reemplaza entera la lista de variables: escala de espaciado de nueve pasos, ocho tamaños tipográficos, radios que codifican qué clase de cosa es cada elemento, y tres temas en lugar de seis.</w:t>
      </w:r>
    </w:p>
    <w:p>
      <w:r>
        <w:rPr>
          <w:b/>
        </w:rPr>
        <w:t>Tercera iteración, del 09/09 —la que está aplicada hoy—.</w:t>
      </w:r>
      <w:r>
        <w:t xml:space="preserve"> De las dos direcciones que devolvió el canvas se eligió la financiera. Cambian la tipografía (Manrope, con IBM Plex Mono para todo lo que se compara en columna), la paleta de los dos temas, la escala de espaciado —siete pasos donde el número es el valor dividido cuatro, en vez de nueve ordinales— y los radios. La tipografía pasa de ocho tamaños numéricos a </w:t>
      </w:r>
      <w:r>
        <w:rPr>
          <w:b/>
        </w:rPr>
        <w:t>seis roles con nombre</w:t>
      </w:r>
      <w:r>
        <w:t>: el nombre dice dónde va cada uno, y así el que escribe una pantalla nueva no elige entre 13 y 14 px por gusto. Había once tamaños distintos entre 11 y 14 px escritos a mano en el CSS; la separación entre cuerpo y metadato pasa a ser el peso y el color.</w:t>
      </w:r>
    </w:p>
    <w:p>
      <w:r>
        <w:t xml:space="preserve">Y tres reglas que no son tokens pero se aplican igual, porque cada una reserva un canal de significado: </w:t>
      </w:r>
      <w:r>
        <w:rPr>
          <w:b/>
        </w:rPr>
        <w:t>el azul es acción y marca y nunca estado</w:t>
      </w:r>
      <w:r>
        <w:t xml:space="preserve">, lo que deja libres el rojo, el ámbar y el verde para el riesgo; </w:t>
      </w:r>
      <w:r>
        <w:rPr>
          <w:b/>
        </w:rPr>
        <w:t>el violeta es sólo IA</w:t>
      </w:r>
      <w:r>
        <w:t xml:space="preserve">; y </w:t>
      </w:r>
      <w:r>
        <w:rPr>
          <w:b/>
        </w:rPr>
        <w:t>el glow vive en el fondo de página y nunca en un dato</w:t>
      </w:r>
      <w:r>
        <w:t>, para que ninguna tarjeta le compita en brillo a la alarma.</w:t>
      </w:r>
    </w:p>
    <w:p>
      <w:r>
        <w:rPr>
          <w:b/>
        </w:rPr>
        <w:t>De tres temas a dos.</w:t>
      </w:r>
      <w:r>
        <w:t xml:space="preserve"> Clásico, Grafito y Carbón se retiran; quedan Oscuro y Claro más «seguir el sistema». El argumento es medible: con seis temas hay treinta y seis pares de color que verificar cada vez que se toca un token, y con dos hay doce. Lo que la gente personaliza de verdad es «me molesta el brillo» o «no veo con poca luz», y eso lo resuelve claro contra oscuro; lo que sí varía por persona es la densidad, y por eso las tres se quedan. Quien tuviera uno de los tres guardado en el navegador queda migrado —Clásico a Claro, Grafito y Carbón a Oscuro— y ve un aviso que se cierra y no vuelve. El seed de traducciones pasó a borrar las claves que se retiran: antes sólo insertaba y actualizaba, así que un texto dado de baja quedaba cargado para siempre.</w:t>
      </w:r>
    </w:p>
    <w:p>
      <w:r>
        <w:rPr>
          <w:b/>
        </w:rPr>
        <w:t>Dos contrastes de la propuesta no daban, medidos.</w:t>
      </w:r>
      <w:r>
        <w:t xml:space="preserve"> El archivo del canvas anotaba 5,4:1 para el blanco sobre el azul del acento; medido da 4,42:1, o sea que el rótulo del botón primario no llegaba a AA. Un punto más oscuro lo lleva a 4,88:1 sin perder el anillo de foco. Y el borde de campo daba 1,60:1 en oscuro y 1,47:1 en claro, contra los 3:1 que pide la WCAG 1.4.11 para el límite de un control: el relleno del campo no ayuda, porque sobre la tarjeta da 1,08:1, así que el borde es lo único que dice dónde empieza. Los dos se corrigieron.</w:t>
      </w:r>
    </w:p>
    <w:p>
      <w:r>
        <w:t xml:space="preserve">Para que esto no vuelva a depender de una tabla escrita a mano, </w:t>
      </w:r>
      <w:r>
        <w:rPr>
          <w:rFonts w:ascii="Consolas" w:hAnsi="Consolas" w:eastAsia="Consolas"/>
          <w:sz w:val="21"/>
        </w:rPr>
        <w:t>docs/design/_contraste.py</w:t>
      </w:r>
      <w:r>
        <w:t xml:space="preserve"> recorre la capa de tokens y falla si algún par declarado baja del piso. Son treinta y cuatro pares por tema.</w:t>
      </w:r>
    </w:p>
    <w:p>
      <w:r>
        <w:rPr>
          <w:b/>
        </w:rPr>
        <w:t>El sistema pasa a adaptarse a la pantalla.</w:t>
      </w:r>
      <w:r>
        <w:t xml:space="preserve"> No tenía una sola media query: en un teléfono la barra lateral se comía 232 de los 375 px y la tabla salía de la pantalla sin forma de alcanzarla. Ahora sigue los cuatro cortes de la dirección —1366 de referencia, 1180 las pantallas de detalle a una columna, 1024 la barra reducida a un riel de íconos, 768 el riel como barra horizontal arriba, 480 el piso táctil de 48 px—. Las tablas </w:t>
      </w:r>
      <w:r>
        <w:rPr>
          <w:b/>
        </w:rPr>
        <w:t>no</w:t>
      </w:r>
      <w:r>
        <w:t xml:space="preserve"> se colapsan a tarjetas: una lista de incidencias se compara de arriba hacia abajo y en tarjetas se pierde justamente la comparación, así que scrollean en horizontal dentro de su tarjeta. Todo eso vive en </w:t>
      </w:r>
      <w:r>
        <w:rPr>
          <w:rFonts w:ascii="Consolas" w:hAnsi="Consolas" w:eastAsia="Consolas"/>
          <w:sz w:val="21"/>
        </w:rPr>
        <w:t>frontend/src/estilos/responsive.css</w:t>
      </w:r>
      <w:r>
        <w:t>, que va último y sólo sobrescribe: comentar ese import devuelve el layout fijo sin tocar un solo componente.</w:t>
      </w:r>
    </w:p>
    <w:p>
      <w:r>
        <w:t xml:space="preserve">Para que se pudiera adaptar hubo que sacar las grillas de los estilos en línea, porque un </w:t>
      </w:r>
      <w:r>
        <w:rPr>
          <w:rFonts w:ascii="Consolas" w:hAnsi="Consolas" w:eastAsia="Consolas"/>
          <w:sz w:val="21"/>
        </w:rPr>
        <w:t>style={{...}}</w:t>
      </w:r>
      <w:r>
        <w:t xml:space="preserve"> le gana a cualquier media query. Eran siete pantallas con el mismo patrón —contenido a la izquierda, panel de contexto a la derecha— y siete anchos distintos elegidos a ojo: 340, 360, 380, 392, 400 y 420 px, y ninguno significaba algo distinto de los otros. Quedó uno.</w:t>
      </w:r>
    </w:p>
    <w:p>
      <w:r>
        <w:rPr>
          <w:b/>
        </w:rPr>
        <w:t>Una dirección que no existe deja de redirigir en silencio.</w:t>
      </w:r>
      <w:r>
        <w:t xml:space="preserve"> </w:t>
      </w:r>
      <w:r>
        <w:rPr>
          <w:rFonts w:ascii="Consolas" w:hAnsi="Consolas" w:eastAsia="Consolas"/>
          <w:sz w:val="21"/>
        </w:rPr>
        <w:t>/</w:t>
      </w:r>
      <w:r>
        <w:t xml:space="preserve"> y </w:t>
      </w:r>
      <w:r>
        <w:rPr>
          <w:rFonts w:ascii="Consolas" w:hAnsi="Consolas" w:eastAsia="Consolas"/>
          <w:sz w:val="21"/>
        </w:rPr>
        <w:t>/login</w:t>
      </w:r>
      <w:r>
        <w:t xml:space="preserve"> siguen llevando adentro, pero </w:t>
      </w:r>
      <w:r>
        <w:rPr>
          <w:rFonts w:ascii="Consolas" w:hAnsi="Consolas" w:eastAsia="Consolas"/>
          <w:sz w:val="21"/>
        </w:rPr>
        <w:t>/pantalla-inventada</w:t>
      </w:r>
      <w:r>
        <w:t xml:space="preserve"> muestra un 404 que conserva la barra lateral —la sesión sigue abierta— y dice qué dirección falló. Y un registro que no está deja de verse como una falla del sistema: abrir una incidencia anulada mostraba un cartel rojo, cuando no se rompió nada. Un rojo que aparece sin problema entrena a la gente a ignorar los rojos.</w:t>
      </w:r>
    </w:p>
    <w:p>
      <w:r>
        <w:rPr>
          <w:b/>
        </w:rPr>
        <w:t>Se dan de baja tres temas claros</w:t>
      </w:r>
      <w:r>
        <w:t xml:space="preserve"> —índigo, bosque y pizarra—. Con el acento restringido a lo accionable dejaron de distinguirse del clásico, y en un selector de seis opciones que se ven casi iguales elegir no significa nada. A quien tuviera uno guardado en el navegador se lo lleva al que lo reemplaza; sin eso, la pantalla de Apariencia le mostraría una selección que ya no está en la lista.</w:t>
      </w:r>
    </w:p>
    <w:p>
      <w:r>
        <w:rPr>
          <w:b/>
        </w:rPr>
        <w:t>Corrección de contraste.</w:t>
      </w:r>
      <w:r>
        <w:t xml:space="preserve"> El token </w:t>
      </w:r>
      <w:r>
        <w:rPr>
          <w:rFonts w:ascii="Consolas" w:hAnsi="Consolas" w:eastAsia="Consolas"/>
          <w:sz w:val="21"/>
        </w:rPr>
        <w:t>--tx3</w:t>
      </w:r>
      <w:r>
        <w:t>, que llevan las etiquetas de columna de 11 px y los metadatos de 12 px, daba 3,15:1 sobre la tarjeta blanca. Es texto chico sin excepción de umbral, así que el piso de 4,5:1 que pide WCAG AA no se cumplía. El valor nuevo da 5,09:1.</w:t>
      </w:r>
    </w:p>
    <w:p>
      <w:r>
        <w:rPr>
          <w:b/>
        </w:rPr>
        <w:t>El nivel de riesgo deja de depender del color.</w:t>
      </w:r>
      <w:r>
        <w:t xml:space="preserve"> Se codifica cuatro veces: un glifo de tres escalones con uno, dos o tres llenos; el puntaje en monoespaciada; el rótulo ALTO, MEDIO o BAJO; y recién ahí el color. Antes la tabla mostraba un punto de color y un número, con lo cual para alguien que no distingue el rojo del ámbar un 68 y un 92 se veían igual de graves. El componente vive en un solo archivo: estaba duplicado en el tablero y en el análisis predictivo, con su propia función de color en cada uno.</w:t>
      </w:r>
    </w:p>
    <w:p>
      <w:r>
        <w:t>Al aplicar la capa nueva apareció una dependencia que no estaba dicha en ninguna parte. El archivo de tokens anterior no tenía sólo tokens: llevaba también el reset del documento, la tipografía del cuerpo y el estilo de los enlaces. Reemplazarlo por el del canvas dejó la aplicación entera en serif y con todos los enlaces subrayados. Esa capa base pasa a vivir en su propio archivo, así la próxima bajada del canvas no se la lleva puesta.</w:t>
      </w:r>
    </w:p>
    <w:p>
      <w:pPr>
        <w:pStyle w:val="Heading2"/>
        <w:pBdr>
          <w:bottom w:val="single" w:sz="6" w:space="6" w:color="2F5496"/>
        </w:pBdr>
        <w:spacing w:before="440"/>
      </w:pPr>
      <w:r>
        <w:rPr>
          <w:rFonts w:ascii="Calibri" w:hAnsi="Calibri" w:eastAsia="Calibri"/>
          <w:color w:val="2F5496"/>
        </w:rPr>
        <w:t>D-29 · Las pantallas del 10.5 se describen, no sólo se muestran</w:t>
      </w:r>
    </w:p>
    <w:p>
      <w:r>
        <w:rPr>
          <w:i/>
        </w:rPr>
        <w:t>Estado:</w:t>
      </w:r>
      <w:r>
        <w:t xml:space="preserve"> </w:t>
      </w:r>
      <w:r>
        <w:rPr>
          <w:rFonts w:ascii="Consolas" w:hAnsi="Consolas" w:eastAsia="Consolas"/>
          <w:sz w:val="21"/>
        </w:rPr>
        <w:t>aplicado</w:t>
      </w:r>
      <w:r>
        <w:t xml:space="preserve"> — las pantallas del 10.5 llevan su descripcion, no solo la captura</w:t>
      </w:r>
    </w:p>
    <w:p>
      <w:r>
        <w:rPr>
          <w:i/>
        </w:rPr>
        <w:t>Secciones:</w:t>
      </w:r>
      <w:r>
        <w:t xml:space="preserve"> 10.5.1.1 a 10.5.2.4</w:t>
      </w:r>
    </w:p>
    <w:p>
      <w:r>
        <w:t>Cada apartado del capítulo tenía el título, la imagen y el epígrafe. Nada más. Diecisiete pantallas sin una línea que diga qué se hace en cada una, con lo cual quien lee el documento sin haber visto el sistema tiene que deducirlo de la captura.</w:t>
      </w:r>
    </w:p>
    <w:p>
      <w:r>
        <w:t>Se agrega un párrafo por pantalla. Dice qué se hace ahí y, cuando la hay, la decisión de diseño que explica por qué se ve así: por qué el formulario de reporte no pide categoría, por qué la vista del solicitante es deliberadamente pobre en información, por qué la bitácora no ofrece una acción de edición. Eso es lo que no se puede deducir mirando la imagen.</w:t>
      </w:r>
    </w:p>
    <w:p>
      <w:pPr>
        <w:pStyle w:val="Heading2"/>
        <w:pBdr>
          <w:bottom w:val="single" w:sz="6" w:space="6" w:color="2F5496"/>
        </w:pBdr>
        <w:spacing w:before="440"/>
      </w:pPr>
      <w:r>
        <w:rPr>
          <w:rFonts w:ascii="Calibri" w:hAnsi="Calibri" w:eastAsia="Calibri"/>
          <w:color w:val="2F5496"/>
        </w:rPr>
        <w:t>D-30 · Verificación: OWASP, cobertura y carga</w:t>
      </w:r>
    </w:p>
    <w:p>
      <w:r>
        <w:rPr>
          <w:i/>
        </w:rPr>
        <w:t>Estado:</w:t>
      </w:r>
      <w:r>
        <w:t xml:space="preserve"> </w:t>
      </w:r>
      <w:r>
        <w:rPr>
          <w:rFonts w:ascii="Consolas" w:hAnsi="Consolas" w:eastAsia="Consolas"/>
          <w:sz w:val="21"/>
        </w:rPr>
        <w:t>aplicado fuera del .docx</w:t>
      </w:r>
      <w:r>
        <w:t xml:space="preserve"> — vive en el documento «Verificacion del sistema», que se entrega aparte</w:t>
      </w:r>
    </w:p>
    <w:p>
      <w:r>
        <w:rPr>
          <w:i/>
        </w:rPr>
        <w:t>Secciones:</w:t>
      </w:r>
      <w:r>
        <w:t xml:space="preserve"> 10.2.2 (RNF) · anexo nuevo</w:t>
      </w:r>
    </w:p>
    <w:p>
      <w:r>
        <w:t>Tres cosas que el documento afirmaba y que ahora están medidas, en un anexo propio (</w:t>
      </w:r>
      <w:r>
        <w:rPr>
          <w:rFonts w:ascii="Consolas" w:hAnsi="Consolas" w:eastAsia="Consolas"/>
          <w:sz w:val="21"/>
        </w:rPr>
        <w:t>Verificación del sistema</w:t>
      </w:r>
      <w:r>
        <w:t>).</w:t>
      </w:r>
    </w:p>
    <w:p>
      <w:r>
        <w:rPr>
          <w:b/>
        </w:rPr>
        <w:t>Revisión contra OWASP Top 10.</w:t>
      </w:r>
      <w:r>
        <w:t xml:space="preserve"> Existe porque el ADR 0014 decide no usar un gestor de identidad externo: sin un producto de terceros que se ocupe de la seguridad, la revisión no la hace nadie más. Recorre las diez categorías con el archivo donde está cada control y con lo que falta en cada una. Quedan abiertas dos: la configuración (A05) y el segundo factor (A07).</w:t>
      </w:r>
    </w:p>
    <w:p>
      <w:r>
        <w:rPr>
          <w:b/>
        </w:rPr>
        <w:t>Cobertura de pruebas: 33,8 %</w:t>
      </w:r>
      <w:r>
        <w:t xml:space="preserve">, medida con coverlet y con línea de base. El número trajo un hallazgo que el promedio tapaba: la capa de negocio está al </w:t>
      </w:r>
      <w:r>
        <w:rPr>
          <w:b/>
        </w:rPr>
        <w:t>2,3 %</w:t>
      </w:r>
      <w:r>
        <w:t>, porque las pruebas de integración construyen los DAO directamente contra la base y no pasan por ella.</w:t>
      </w:r>
    </w:p>
    <w:p>
      <w:r>
        <w:rPr>
          <w:b/>
        </w:rPr>
        <w:t>El requisito de carga del ADR 0008, medido.</w:t>
      </w:r>
      <w:r>
        <w:t xml:space="preserve"> Estaba afirmado —500 activos y 5.000 incidencias con respuesta bajo dos segundos— y nunca se había verificado. Con el volumen completo, la peor medición es de </w:t>
      </w:r>
      <w:r>
        <w:rPr>
          <w:b/>
        </w:rPr>
        <w:t>60 ms</w:t>
      </w:r>
      <w:r>
        <w:t>. El informe dice también qué no mide: un solo cliente, secuencial, base local, nada sobre concurrencia.</w:t>
      </w:r>
    </w:p>
    <w:p>
      <w:pPr>
        <w:pStyle w:val="Heading2"/>
        <w:pBdr>
          <w:bottom w:val="single" w:sz="6" w:space="6" w:color="2F5496"/>
        </w:pBdr>
        <w:spacing w:before="440"/>
      </w:pPr>
      <w:r>
        <w:rPr>
          <w:rFonts w:ascii="Calibri" w:hAnsi="Calibri" w:eastAsia="Calibri"/>
          <w:color w:val="2F5496"/>
        </w:rPr>
        <w:t>D-31 · ADR 0014: gestión de identidad propia</w:t>
      </w:r>
    </w:p>
    <w:p>
      <w:r>
        <w:rPr>
          <w:i/>
        </w:rPr>
        <w:t>Estado:</w:t>
      </w:r>
      <w:r>
        <w:t xml:space="preserve"> </w:t>
      </w:r>
      <w:r>
        <w:rPr>
          <w:rFonts w:ascii="Consolas" w:hAnsi="Consolas" w:eastAsia="Consolas"/>
          <w:sz w:val="21"/>
        </w:rPr>
        <w:t>aplicado fuera del .docx</w:t>
      </w:r>
      <w:r>
        <w:t xml:space="preserve"> — es el ADR 0014, que se entrega en «Decisiones de arquitectura»</w:t>
      </w:r>
    </w:p>
    <w:p>
      <w:r>
        <w:rPr>
          <w:i/>
        </w:rPr>
        <w:t>Secciones:</w:t>
      </w:r>
      <w:r>
        <w:t xml:space="preserve"> 10.3.2.4 (seguridad)</w:t>
      </w:r>
    </w:p>
    <w:p>
      <w:r>
        <w:t>El documento describe el modelo de familias y patentes sin decir por qué no se usa un gestor de identidad externo, que es la primera pregunta razonable en 2026 y que los requisitos de la cátedra mencionan como opción.</w:t>
      </w:r>
    </w:p>
    <w:p>
      <w:r>
        <w:t>Queda registrado. El motivo principal no es técnico: el modelo de permisos es contenido de la materia, y delegarlo en Keycloak lo convertiría en un archivo de configuración. El ADR dice además qué se pierde, con la autenticación en dos pasos a la cabeza.</w:t>
      </w:r>
    </w:p>
    <w:p>
      <w:pPr>
        <w:pStyle w:val="Heading2"/>
        <w:pBdr>
          <w:bottom w:val="single" w:sz="6" w:space="6" w:color="2F5496"/>
        </w:pBdr>
        <w:spacing w:before="440"/>
      </w:pPr>
      <w:r>
        <w:rPr>
          <w:rFonts w:ascii="Calibri" w:hAnsi="Calibri" w:eastAsia="Calibri"/>
          <w:color w:val="2F5496"/>
        </w:rPr>
        <w:t>D-32 · Los diagramas salen de Enterprise Architect</w:t>
      </w:r>
    </w:p>
    <w:p>
      <w:r>
        <w:rPr>
          <w:i/>
        </w:rPr>
        <w:t>Estado:</w:t>
      </w:r>
      <w:r>
        <w:t xml:space="preserve"> </w:t>
      </w:r>
      <w:r>
        <w:rPr>
          <w:rFonts w:ascii="Consolas" w:hAnsi="Consolas" w:eastAsia="Consolas"/>
          <w:sz w:val="21"/>
        </w:rPr>
        <w:t>aplicado</w:t>
      </w:r>
      <w:r>
        <w:t xml:space="preserve"> — los 22 diagramas del documento salen del modelo de Enterprise Architect</w:t>
      </w:r>
    </w:p>
    <w:p>
      <w:r>
        <w:rPr>
          <w:i/>
        </w:rPr>
        <w:t>Secciones:</w:t>
      </w:r>
      <w:r>
        <w:t xml:space="preserve"> 10.4.4 · 10.4.5 · 10.4.8 · anexo de diagramas</w:t>
      </w:r>
    </w:p>
    <w:p>
      <w:r>
        <w:t xml:space="preserve">La cátedra recomienda </w:t>
      </w:r>
      <w:r>
        <w:rPr>
          <w:b/>
        </w:rPr>
        <w:t>Enterprise Architect</w:t>
      </w:r>
      <w:r>
        <w:t>, así que los diagramas pasan a salir de ahí. Reemplazan a los que se generaban de Mermaid, que a su vez habían reemplazado a los originales de la etapa de diseño —el de paquetes decía MySQL y la solución usa SQL Server, delta D-25—.</w:t>
      </w:r>
    </w:p>
    <w:p>
      <w:r>
        <w:t xml:space="preserve">No están dibujados a mano. </w:t>
      </w:r>
      <w:r>
        <w:rPr>
          <w:rFonts w:ascii="Consolas" w:hAnsi="Consolas" w:eastAsia="Consolas"/>
          <w:sz w:val="21"/>
        </w:rPr>
        <w:t>docs/tecnico/_diagramas-ea.py</w:t>
      </w:r>
      <w:r>
        <w:t xml:space="preserve"> construye el modelo por la API de automatización de EA —paquetes, elementos, conectores y la posición de cada cosa en cada diagrama— y le pide a EA que exporte la imagen. El motivo es el mismo por el que las capturas se automatizan: cuando el código cambia, los diagramas se rehacen con un comando.</w:t>
      </w:r>
    </w:p>
    <w:p>
      <w:r>
        <w:t xml:space="preserve">Son </w:t>
      </w:r>
      <w:r>
        <w:rPr>
          <w:b/>
        </w:rPr>
        <w:t>veinticinco</w:t>
      </w:r>
      <w:r>
        <w:t xml:space="preserve">, y cubren los </w:t>
      </w:r>
      <w:r>
        <w:rPr>
          <w:b/>
        </w:rPr>
        <w:t>veintidós apartados</w:t>
      </w:r>
      <w:r>
        <w:t xml:space="preserve"> del documento que llevan diagrama:</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Apartado</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Diagrama</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10.3.2.3.1</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Clases de Bitácora</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10.3.2.5</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Usuario, Patente y Familia: el composite</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10.4.2</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Casos de uso por perfil</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10.4.3.1 a 10.4.3.13</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Una secuencia por caso de uso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10.4.4 · 10.4.5 · 10.4.8</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Paquetes, componentes y despliegue</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10.4.6</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Clases de la solución, por capa</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10.4.7</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Entidad-Relación, una por base</w:t>
            </w:r>
          </w:p>
        </w:tc>
      </w:tr>
    </w:tbl>
    <w:p>
      <w:pPr>
        <w:spacing w:after="80"/>
      </w:pPr>
    </w:p>
    <w:p>
      <w:r>
        <w:t>Los tres restantes —modelo de dominio, ciclo de vida de la incidencia y la secuencia general— van al anexo técnico de diagramas.</w:t>
      </w:r>
    </w:p>
    <w:p>
      <w:r>
        <w:t xml:space="preserve">Dos cosas que valen la pena señalar. </w:t>
      </w:r>
      <w:r>
        <w:rPr>
          <w:b/>
        </w:rPr>
        <w:t>Los dos DER no se dibujan</w:t>
      </w:r>
      <w:r>
        <w:t xml:space="preserve">: se leen de las bases con </w:t>
      </w:r>
      <w:r>
        <w:rPr>
          <w:rFonts w:ascii="Consolas" w:hAnsi="Consolas" w:eastAsia="Consolas"/>
          <w:sz w:val="21"/>
        </w:rPr>
        <w:t>sys.tables</w:t>
      </w:r>
      <w:r>
        <w:t xml:space="preserve"> y </w:t>
      </w:r>
      <w:r>
        <w:rPr>
          <w:rFonts w:ascii="Consolas" w:hAnsi="Consolas" w:eastAsia="Consolas"/>
          <w:sz w:val="21"/>
        </w:rPr>
        <w:t>sys.foreign_key_columns</w:t>
      </w:r>
      <w:r>
        <w:t xml:space="preserve">, así que muestran las tablas, las columnas, los tipos y las foráneas que existen de verdad —22 tablas y 34 foráneas en negocio, 15 y 16 en servicio— y no las que el diseño se propuso. Y </w:t>
      </w:r>
      <w:r>
        <w:rPr>
          <w:b/>
        </w:rPr>
        <w:t>las trece secuencias por caso de uso</w:t>
      </w:r>
      <w:r>
        <w:t xml:space="preserve"> salen de leer el controlador y el business de cada uno: a un diagrama de secuencia que no coincide con el código se le cree igual, y ahí está el daño.</w:t>
      </w:r>
    </w:p>
    <w:p>
      <w:r>
        <w:t>Los de estados y secuencia son UML de verdad —máquina de estados, y líneas de vida con barras de activación— dibujados por la herramienta y no por un script imitando su estilo.</w:t>
      </w:r>
    </w:p>
    <w:p>
      <w:r>
        <w:rPr>
          <w:b/>
        </w:rPr>
        <w:t>El Mermaid se retira.</w:t>
      </w:r>
      <w:r>
        <w:t xml:space="preserve"> Convivían dos representaciones del mismo modelo, y mantenerlas sincronizadas a mano es exactamente lo que este proyecto viene evitando en todo lo demás. Gana EA porque es la herramienta que pide la cátedra.</w:t>
      </w:r>
    </w:p>
    <w:p>
      <w:r>
        <w:t xml:space="preserve">El modelo se entrega junto con las imágenes, en </w:t>
      </w:r>
      <w:r>
        <w:rPr>
          <w:rFonts w:ascii="Consolas" w:hAnsi="Consolas" w:eastAsia="Consolas"/>
          <w:sz w:val="21"/>
        </w:rPr>
        <w:t>docs/diagramas-ea/PredictIT.eapx</w:t>
      </w:r>
      <w:r>
        <w:t>. Se abre en EA, se puede seguir editando a mano, y de ahí salen exactamente los PNG que están en el documento.</w:t>
      </w:r>
    </w:p>
    <w:p>
      <w:pPr>
        <w:pStyle w:val="Heading2"/>
        <w:pBdr>
          <w:bottom w:val="single" w:sz="6" w:space="6" w:color="2F5496"/>
        </w:pBdr>
        <w:spacing w:before="440"/>
      </w:pPr>
      <w:r>
        <w:rPr>
          <w:rFonts w:ascii="Calibri" w:hAnsi="Calibri" w:eastAsia="Calibri"/>
          <w:color w:val="2F5496"/>
        </w:rPr>
        <w:t>D-33 · El modelo se recalibra: macro del REM y estructura financiable</w:t>
      </w:r>
    </w:p>
    <w:p>
      <w:r>
        <w:rPr>
          <w:i/>
        </w:rPr>
        <w:t>Estado:</w:t>
      </w:r>
      <w:r>
        <w:t xml:space="preserve"> </w:t>
      </w:r>
      <w:r>
        <w:rPr>
          <w:rFonts w:ascii="Consolas" w:hAnsi="Consolas" w:eastAsia="Consolas"/>
          <w:sz w:val="21"/>
        </w:rPr>
        <w:t>aplicado</w:t>
      </w:r>
      <w:r>
        <w:t xml:space="preserve"> — el margen de 6.5.3, el punto de equilibrio y los indicadores de 7.7, y la plantilla, las cargas y el encuadre laboral de 7.6 estan en el </w:t>
      </w:r>
      <w:r>
        <w:rPr>
          <w:rFonts w:ascii="Consolas" w:hAnsi="Consolas" w:eastAsia="Consolas"/>
          <w:sz w:val="21"/>
        </w:rPr>
        <w:t>.docx</w:t>
      </w:r>
      <w:r>
        <w:t xml:space="preserve"> (09/09)</w:t>
      </w:r>
    </w:p>
    <w:p>
      <w:r>
        <w:rPr>
          <w:b/>
        </w:rPr>
        <w:t>Sección del documento:</w:t>
      </w:r>
      <w:r>
        <w:t xml:space="preserve"> 6.5.3 (márgenes) · 7.6 (plantilla y calendario de</w:t>
      </w:r>
    </w:p>
    <w:p>
      <w:r>
        <w:t>incorporaciones) · 7.7 (presupuesto y punto de equilibrio)</w:t>
      </w:r>
    </w:p>
    <w:p>
      <w:r>
        <w:rPr>
          <w:b/>
        </w:rPr>
        <w:t>Dice hoy:</w:t>
      </w:r>
      <w:r>
        <w:t xml:space="preserve"> La plantilla de 7.6 incorpora seis personas con altas en los meses</w:t>
      </w:r>
    </w:p>
    <w:p>
      <w:r>
        <w:t>1, 6, 9, 9 y 18. Los supuestos macroeconómicos del presupuesto estaban marcados como provisorios (inflación 35 % en 2027, tipo de cambio 1.900). Los tres conceptos del costo variable se ajustaban por inflación. El margen de contribución de 6.5.3 dice entre 74 % y 76 %. Los socios retiran del 30 % al 100 % de su salario de mercado.</w:t>
      </w:r>
    </w:p>
    <w:p>
      <w:r>
        <w:rPr>
          <w:b/>
        </w:rPr>
        <w:t>Tiene que decir:</w:t>
      </w:r>
    </w:p>
    <w:p>
      <w:r>
        <w:rPr>
          <w:i/>
        </w:rPr>
        <w:t>Los supuestos macro salen de una fuente citada.</w:t>
      </w:r>
      <w:r>
        <w:t xml:space="preserve"> El </w:t>
      </w:r>
      <w:r>
        <w:rPr>
          <w:b/>
        </w:rPr>
        <w:t>Relevamiento de Expectativas de Mercado del BCRA</w:t>
      </w:r>
      <w:r>
        <w:t xml:space="preserve">, informe de agosto de 2026 —publicado el 4 de septiembre sobre 47 participantes—: inflación 20,5 % en 2027 y 14,1 % en 2028, tipo de cambio 1.800 y 2.050, TAMAR de referencia 21 % y 16 %. El REM releva tres períodos anuales para precios y dos para el tipo de cambio, así que </w:t>
      </w:r>
      <w:r>
        <w:rPr>
          <w:b/>
        </w:rPr>
        <w:t>2029 y 2030 son extrapolación propia de la misma senda</w:t>
      </w:r>
      <w:r>
        <w:t xml:space="preserve"> y cada fila lo declara. Los aumentos de precios de lista y de salarios pasan a ser política propia definida </w:t>
      </w:r>
      <w:r>
        <w:rPr>
          <w:i/>
        </w:rPr>
        <w:t>sobre</w:t>
      </w:r>
      <w:r>
        <w:t xml:space="preserve"> la inflación del REM —tres y cinco puntos— en lugar de valores sueltos.</w:t>
      </w:r>
    </w:p>
    <w:p>
      <w:r>
        <w:rPr>
          <w:i/>
        </w:rPr>
        <w:t>El calendario de incorporaciones se ata a la facturación.</w:t>
      </w:r>
      <w:r>
        <w:t xml:space="preserve"> Soporte en el mes 12, colaborador de desarrollo en el 20, marketing a medio tiempo —$ 1.100.000— en el 30, segundo soporte en el 42. Tres personas al cierre del primer año, cuatro al segundo, cinco al tercero y seis al cuarto.</w:t>
      </w:r>
    </w:p>
    <w:p>
      <w:r>
        <w:rPr>
          <w:i/>
        </w:rPr>
        <w:t>El retiro de los socios arranca más abajo:</w:t>
      </w:r>
      <w:r>
        <w:t xml:space="preserve"> 15 %, 35 %, 60 % y 100 % del salario de mercado, en lugar de 30 / 55 / 80 / 100.</w:t>
      </w:r>
    </w:p>
    <w:p>
      <w:r>
        <w:rPr>
          <w:i/>
        </w:rPr>
        <w:t>El costo variable se ajusta por el índice que le corresponde:</w:t>
      </w:r>
      <w:r>
        <w:t xml:space="preserve"> infraestructura y servicio de IA </w:t>
      </w:r>
      <w:r>
        <w:rPr>
          <w:b/>
        </w:rPr>
        <w:t>por tipo de cambio</w:t>
      </w:r>
      <w:r>
        <w:t>, porque se pagan en dólares; soporte y onboarding por el índice de salarios, porque es trabajo local.</w:t>
      </w:r>
    </w:p>
    <w:p>
      <w:r>
        <w:rPr>
          <w:i/>
        </w:rPr>
        <w:t>El margen de contribución de 6.5.3 pasa a ser del orden del 90 %</w:t>
      </w:r>
      <w:r>
        <w:t xml:space="preserve"> en las tres líneas, que es lo que da el cálculo con los precios revisados en D-14. El 74–76 % que dice hoy corresponde a los precios anteriores.</w:t>
      </w:r>
    </w:p>
    <w:p>
      <w:r>
        <w:rPr>
          <w:b/>
        </w:rPr>
        <w:t>Por qué:</w:t>
      </w:r>
      <w:r>
        <w:t xml:space="preserve"> con la estructura anterior la pérdida acumulada de los tres</w:t>
      </w:r>
    </w:p>
    <w:p>
      <w:r>
        <w:t>primeros años pasaba de 400 millones de pesos. Eso no es un proyecto que dos socios financien: es una ronda de inversión, y el trabajo se defiende como algo que se puede arrancar.</w:t>
      </w:r>
    </w:p>
    <w:p>
      <w:r>
        <w:t xml:space="preserve">Con la </w:t>
      </w:r>
      <w:r>
        <w:rPr>
          <w:b/>
        </w:rPr>
        <w:t>misma</w:t>
      </w:r>
      <w:r>
        <w:t xml:space="preserve"> proyección de ingresos —no se tocó una sola hipótesis de ventas— la recalibración deja:</w:t>
      </w:r>
    </w:p>
    <w:tbl>
      <w:tblPr>
        <w:tblW w:type="auto" w:w="0"/>
        <w:jc w:val="center"/>
        <w:tblLook w:firstColumn="1" w:firstRow="1" w:lastColumn="0" w:lastRow="0" w:noHBand="0" w:noVBand="1" w:val="04A0"/>
      </w:tblPr>
      <w:tblGrid>
        <w:gridCol w:w="1872"/>
        <w:gridCol w:w="1872"/>
        <w:gridCol w:w="1872"/>
        <w:gridCol w:w="1872"/>
        <w:gridCol w:w="1872"/>
      </w:tblGrid>
      <w:tr>
        <w:trPr>
          <w:tblHeader w:val="true"/>
          <w:cantSplit w:val="true"/>
        </w:trPr>
        <w:tc>
          <w:tcPr>
            <w:tcW w:type="dxa" w:w="1872"/>
            <w:tcBorders>
              <w:top w:val="single" w:sz="4" w:color="BFBFBF"/>
              <w:left w:val="single" w:sz="4" w:color="BFBFBF"/>
              <w:bottom w:val="single" w:sz="4" w:color="BFBFBF"/>
              <w:right w:val="single" w:sz="4" w:color="BFBFBF"/>
            </w:tcBorders>
            <w:shd w:val="clear" w:fill="EDF3F4"/>
          </w:tcPr>
          <w:p>
            <w:pPr>
              <w:keepNext/>
              <w:spacing w:line="240" w:lineRule="auto" w:after="40"/>
              <w:jc w:val="left"/>
            </w:pPr>
          </w:p>
        </w:tc>
        <w:tc>
          <w:tcPr>
            <w:tcW w:type="dxa" w:w="1872"/>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2027</w:t>
            </w:r>
          </w:p>
        </w:tc>
        <w:tc>
          <w:tcPr>
            <w:tcW w:type="dxa" w:w="1872"/>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2028</w:t>
            </w:r>
          </w:p>
        </w:tc>
        <w:tc>
          <w:tcPr>
            <w:tcW w:type="dxa" w:w="1872"/>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2029</w:t>
            </w:r>
          </w:p>
        </w:tc>
        <w:tc>
          <w:tcPr>
            <w:tcW w:type="dxa" w:w="1872"/>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2030</w:t>
            </w:r>
          </w:p>
        </w:tc>
      </w:tr>
      <w:tr>
        <w:trPr>
          <w:cantSplit w:val="true"/>
        </w:trPr>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Ingresos (M ARS)</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10,8</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89,7</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296,5</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677,8</w:t>
            </w:r>
          </w:p>
        </w:tc>
      </w:tr>
      <w:tr>
        <w:trPr>
          <w:cantSplit w:val="true"/>
        </w:trPr>
        <w:tc>
          <w:tcPr>
            <w:tcW w:type="dxa" w:w="1872"/>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Egresos (M ARS)</w:t>
            </w:r>
          </w:p>
        </w:tc>
        <w:tc>
          <w:tcPr>
            <w:tcW w:type="dxa" w:w="1872"/>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30,6</w:t>
            </w:r>
          </w:p>
        </w:tc>
        <w:tc>
          <w:tcPr>
            <w:tcW w:type="dxa" w:w="1872"/>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137,8</w:t>
            </w:r>
          </w:p>
        </w:tc>
        <w:tc>
          <w:tcPr>
            <w:tcW w:type="dxa" w:w="1872"/>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273,3</w:t>
            </w:r>
          </w:p>
        </w:tc>
        <w:tc>
          <w:tcPr>
            <w:tcW w:type="dxa" w:w="1872"/>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457,1</w:t>
            </w:r>
          </w:p>
        </w:tc>
      </w:tr>
      <w:tr>
        <w:trPr>
          <w:cantSplit w:val="true"/>
        </w:trPr>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Resultado operativo</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−19,8</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−48,1</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+23,2</w:t>
            </w:r>
          </w:p>
        </w:tc>
        <w:tc>
          <w:tcPr>
            <w:tcW w:type="dxa" w:w="1872"/>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+220,7</w:t>
            </w:r>
          </w:p>
        </w:tc>
      </w:tr>
    </w:tbl>
    <w:p>
      <w:pPr>
        <w:spacing w:after="80"/>
      </w:pPr>
    </w:p>
    <w:p>
      <w:r>
        <w:t xml:space="preserve">El resultado operativo se vuelve positivo en </w:t>
      </w:r>
      <w:r>
        <w:rPr>
          <w:b/>
        </w:rPr>
        <w:t>abril de 2029</w:t>
      </w:r>
      <w:r>
        <w:t xml:space="preserve"> con 131 clientes activos, y el capital operativo que hay que poner hasta ese punto es de </w:t>
      </w:r>
      <w:r>
        <w:rPr>
          <w:b/>
        </w:rPr>
        <w:t>77,7 millones</w:t>
      </w:r>
      <w:r>
        <w:t xml:space="preserve"> —unos USD 40.100 convirtiendo el déficit de cada año al tipo de cambio de ese año—, o sea USD 20.000 por socio a lo largo de dos años y medio. Con la inversión inicial y los impuestos adentro sube a 91,3 millones, unos USD 23.600 por socio. Eso sí es financiable sin capital externo.</w:t>
      </w:r>
    </w:p>
    <w:p>
      <w:r>
        <w:rPr>
          <w:i/>
        </w:rPr>
        <w:t>(Estas cifras incorporan la corrección de D-34: la versión anterior de este delta traía las del modelo con la línea del Segmento B en cero.)</w:t>
      </w:r>
    </w:p>
    <w:p>
      <w:r>
        <w:t xml:space="preserve">La contracara hay que poder sostenerla en la defensa: </w:t>
      </w:r>
      <w:r>
        <w:rPr>
          <w:b/>
        </w:rPr>
        <w:t>seis personas atienden 370 clientes y casi 9.900 equipos en 2030</w:t>
      </w:r>
      <w:r>
        <w:t>, y dos de ellas son todo el soporte. Es coherente con un producto de mantenimiento predictivo, cuya promesa es que el trabajo por cliente no crece igual que la cartera; si no se cumpliera, la primera consecuencia sería adelantar el segundo colaborador de soporte.</w:t>
      </w:r>
    </w:p>
    <w:p>
      <w:r>
        <w:rPr>
          <w:b/>
        </w:rPr>
        <w:t>Lo que esto deja abierto:</w:t>
      </w:r>
      <w:r>
        <w:t xml:space="preserve"> las cifras de D-14 que hablan del año 4 y del VAN</w:t>
      </w:r>
    </w:p>
    <w:p>
      <w:r>
        <w:t xml:space="preserve">—ARS +60,2 M de resultado y ARS −194 M de valor actual neto con tasa de corte del 60 % nominal— quedan </w:t>
      </w:r>
      <w:r>
        <w:rPr>
          <w:b/>
        </w:rPr>
        <w:t>superadas por este delta</w:t>
      </w:r>
      <w:r>
        <w:t>. La tasa de corte se rehízo en D-34: pasa a calcularse como la inflación del año 1 más una prima de riesgo de 20 puntos, o sea 40,5 %. El VAN, la TIR y el repago van en la Entrega 2 y se calculan con estos supuestos.</w:t>
      </w:r>
    </w:p>
    <w:p>
      <w:pPr>
        <w:pStyle w:val="Heading2"/>
        <w:pBdr>
          <w:bottom w:val="single" w:sz="6" w:space="6" w:color="2F5496"/>
        </w:pBdr>
        <w:spacing w:before="440"/>
      </w:pPr>
      <w:r>
        <w:rPr>
          <w:rFonts w:ascii="Calibri" w:hAnsi="Calibri" w:eastAsia="Calibri"/>
          <w:color w:val="2F5496"/>
        </w:rPr>
        <w:t>D-34 · El modelo dejaba dos supuestos afuera</w:t>
      </w:r>
    </w:p>
    <w:p>
      <w:r>
        <w:rPr>
          <w:i/>
        </w:rPr>
        <w:t>Estado:</w:t>
      </w:r>
      <w:r>
        <w:t xml:space="preserve"> </w:t>
      </w:r>
      <w:r>
        <w:rPr>
          <w:rFonts w:ascii="Consolas" w:hAnsi="Consolas" w:eastAsia="Consolas"/>
          <w:sz w:val="21"/>
        </w:rPr>
        <w:t>aplicado</w:t>
      </w:r>
      <w:r>
        <w:t xml:space="preserve"> — corregido en el presupuesto financiero, en el plan de la Entrega 1 y en el </w:t>
      </w:r>
      <w:r>
        <w:rPr>
          <w:rFonts w:ascii="Consolas" w:hAnsi="Consolas" w:eastAsia="Consolas"/>
          <w:sz w:val="21"/>
        </w:rPr>
        <w:t>.docx</w:t>
      </w:r>
      <w:r>
        <w:t>. El punto de equilibrio de 7.7 ya dice las cifras del modelo recalibrado: 135 clientes pagos en mayo de 2029, ARS 156,2 millones de capital —USD 77.000, o USD 38.500 por socio— medidos como el peor punto del flujo acumulado, que es la magnitud relevante porque el proyecto sigue consumiendo caja después de arrancar</w:t>
      </w:r>
    </w:p>
    <w:p>
      <w:r>
        <w:rPr>
          <w:b/>
        </w:rPr>
        <w:t>Sección del documento:</w:t>
      </w:r>
      <w:r>
        <w:t xml:space="preserve"> 5.3.5 (ciclo de venta del Segmento B) · 7.7</w:t>
      </w:r>
    </w:p>
    <w:p>
      <w:r>
        <w:t>(presupuesto y punto de equilibrio)</w:t>
      </w:r>
    </w:p>
    <w:p>
      <w:r>
        <w:rPr>
          <w:b/>
        </w:rPr>
        <w:t>Dice hoy:</w:t>
      </w:r>
      <w:r>
        <w:t xml:space="preserve"> La sección 5.3.5 describe el Segmento B con un ciclo de venta de</w:t>
      </w:r>
    </w:p>
    <w:p>
      <w:r>
        <w:t>60 a 90 días y el primer cliente en la Etapa E3. El plan de la Entrega 1 declara que las altas del Plan Estándar son 1,2 / 4,8 / 9,6 / 14,4 por año.</w:t>
      </w:r>
    </w:p>
    <w:p>
      <w:r>
        <w:rPr>
          <w:b/>
        </w:rPr>
        <w:t>Tiene que decir:</w:t>
      </w:r>
      <w:r>
        <w:t xml:space="preserve"> lo mismo. Lo que estaba mal no era el documento: **era el</w:t>
      </w:r>
    </w:p>
    <w:p>
      <w:r>
        <w:t>modelo, que no lo aplicaba**.</w:t>
      </w:r>
    </w:p>
    <w:p>
      <w:r>
        <w:rPr>
          <w:b/>
        </w:rPr>
        <w:t>Qué pasó.</w:t>
      </w:r>
      <w:r>
        <w:t xml:space="preserve"> La fórmula de altas del Plan Estándar armaba la referencia con el ayudante que apunta a la hoja </w:t>
      </w:r>
      <w:r>
        <w:rPr>
          <w:i/>
        </w:rPr>
        <w:t>Hipótesis</w:t>
      </w:r>
      <w:r>
        <w:t xml:space="preserve">, pero la fila de entrada estaba en </w:t>
      </w:r>
      <w:r>
        <w:rPr>
          <w:i/>
        </w:rPr>
        <w:t>Proyección de ventas</w:t>
      </w:r>
      <w:r>
        <w:t xml:space="preserve">. El número de fila coincidía con «Crecimiento mensual de visitas» de Hipótesis, así que el modelo daba de alta </w:t>
      </w:r>
      <w:r>
        <w:rPr>
          <w:b/>
        </w:rPr>
        <w:t>0,12 clientes del Segmento B en el año 1 en lugar de 1,2</w:t>
      </w:r>
      <w:r>
        <w:t xml:space="preserve">, y 0,08 en el año 2 en lugar de 4,8. La línea entera valía cero y </w:t>
      </w:r>
      <w:r>
        <w:rPr>
          <w:b/>
        </w:rPr>
        <w:t>ninguna celda daba error</w:t>
      </w:r>
      <w:r>
        <w:t>: el libro calculaba perfecto y el Plan Estándar —el de mejor precio por equipo, con parques de 90 a 120 equipos— no existía.</w:t>
      </w:r>
    </w:p>
    <w:p>
      <w:r>
        <w:t>Con la referencia arreglada, el Segmento B llega a 18 clientes activos al año 4 y el modelo entero cambia de escala:</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Antes</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Corregido</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Ingresos año 4 (M ARS)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548,0</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677,8</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Resultado operativo año 4 (M ARS)</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+97,5</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+220,7</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Primer mes positivo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agosto de 2029</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abril de 2029</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Capital operativo necesario (M ARS)</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116,8</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77,7</w:t>
            </w:r>
          </w:p>
        </w:tc>
      </w:tr>
      <w:tr>
        <w:trPr>
          <w:cantSplit w:val="true"/>
        </w:trPr>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Clientes al año 4</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353</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b/>
                <w:sz w:val="20"/>
              </w:rPr>
              <w:t>370</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Equipos al año 4</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7.722</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9.866</w:t>
            </w:r>
          </w:p>
        </w:tc>
      </w:tr>
    </w:tbl>
    <w:p>
      <w:pPr>
        <w:spacing w:after="80"/>
      </w:pPr>
    </w:p>
    <w:p>
      <w:r>
        <w:rPr>
          <w:b/>
        </w:rPr>
        <w:t>Y una segunda cosa que la misma revisión encontró.</w:t>
      </w:r>
      <w:r>
        <w:t xml:space="preserve"> La inflación no movía nada. Los aumentos de precios de lista y de salarios estaban tipeados con la cuenta ya hecha —23,5 % y 25,5 %, que son la inflación más 3 y más 5 puntos—, y las filas de inflación de 2028 a 2030 no las leía ninguna fórmula. La tasa de corte estaba en 60 %, que era una inflación del 35 % —la provisoria, ya reemplazada— más 25 puntos. Ahora:</w:t>
      </w:r>
    </w:p>
    <w:p>
      <w:pPr>
        <w:pStyle w:val="ListBullet"/>
      </w:pPr>
      <w:r>
        <w:t xml:space="preserve">la </w:t>
      </w:r>
      <w:r>
        <w:rPr>
          <w:b/>
        </w:rPr>
        <w:t>prima</w:t>
      </w:r>
      <w:r>
        <w:t xml:space="preserve"> es la entrada y el aumento se calcula: cambiar la inflación mueve precios y salarios, que es lo que el libro declara en su portada;</w:t>
      </w:r>
    </w:p>
    <w:p>
      <w:pPr>
        <w:pStyle w:val="ListBullet"/>
      </w:pPr>
      <w:r>
        <w:t xml:space="preserve">la </w:t>
      </w:r>
      <w:r>
        <w:rPr>
          <w:b/>
        </w:rPr>
        <w:t>tasa de corte</w:t>
      </w:r>
      <w:r>
        <w:t xml:space="preserve"> es la inflación del año 1 más una prima de riesgo de 20 puntos: </w:t>
      </w:r>
      <w:r>
        <w:rPr>
          <w:b/>
        </w:rPr>
        <w:t>40,5 %</w:t>
      </w:r>
      <w:r>
        <w:t>, con un control al lado de cuánto le gana a la tasa de referencia del REM;</w:t>
      </w:r>
    </w:p>
    <w:p>
      <w:pPr>
        <w:pStyle w:val="ListBullet"/>
      </w:pPr>
      <w:r>
        <w:t xml:space="preserve">la </w:t>
      </w:r>
      <w:r>
        <w:rPr>
          <w:b/>
        </w:rPr>
        <w:t>participación de mercado</w:t>
      </w:r>
      <w:r>
        <w:t xml:space="preserve"> se contrasta en la hoja </w:t>
      </w:r>
      <w:r>
        <w:rPr>
          <w:i/>
        </w:rPr>
        <w:t>Proyección de ventas</w:t>
      </w:r>
      <w:r>
        <w:t xml:space="preserve"> y no a mano en el plan: 1,61 % proyectado contra 1,1 % objetivo.</w:t>
      </w:r>
    </w:p>
    <w:p>
      <w:r>
        <w:rPr>
          <w:b/>
        </w:rPr>
        <w:t>Cómo se evita que vuelva a pasar.</w:t>
      </w:r>
      <w:r>
        <w:t xml:space="preserve"> </w:t>
      </w:r>
      <w:r>
        <w:rPr>
          <w:rFonts w:ascii="Consolas" w:hAnsi="Consolas" w:eastAsia="Consolas"/>
          <w:sz w:val="21"/>
        </w:rPr>
        <w:t>docs/negocio/_verificar.py</w:t>
      </w:r>
      <w:r>
        <w:t xml:space="preserve"> tiene un control nuevo: </w:t>
      </w:r>
      <w:r>
        <w:rPr>
          <w:b/>
        </w:rPr>
        <w:t>toda celda de entrada tiene que ser leída por alguna fórmula</w:t>
      </w:r>
      <w:r>
        <w:t>. Una entrada huérfana —cargada, pintada de amarillo, con su nota al lado y que el modelo ignora— es exactamente el error que estuvo acá, y no lo detecta ninguna verificación de fórmulas porque no hay fórmula rota. Quedan declaradas las excepciones informativas, con el motivo escrito.</w:t>
      </w:r>
    </w:p>
    <w:p>
      <w:pPr>
        <w:pStyle w:val="Heading2"/>
        <w:pBdr>
          <w:bottom w:val="single" w:sz="6" w:space="6" w:color="2F5496"/>
        </w:pBdr>
        <w:spacing w:before="440"/>
      </w:pPr>
      <w:r>
        <w:rPr>
          <w:rFonts w:ascii="Calibri" w:hAnsi="Calibri" w:eastAsia="Calibri"/>
          <w:color w:val="2F5496"/>
        </w:rPr>
        <w:t>D-35 · El presupuesto se alinea con el material de la cátedra</w:t>
      </w:r>
    </w:p>
    <w:p>
      <w:r>
        <w:rPr>
          <w:i/>
        </w:rPr>
        <w:t>Estado:</w:t>
      </w:r>
      <w:r>
        <w:t xml:space="preserve"> </w:t>
      </w:r>
      <w:r>
        <w:rPr>
          <w:rFonts w:ascii="Consolas" w:hAnsi="Consolas" w:eastAsia="Consolas"/>
          <w:sz w:val="21"/>
        </w:rPr>
        <w:t>aplicado</w:t>
      </w:r>
      <w:r>
        <w:t xml:space="preserve"> — el presupuesto y la Entrega 1 lo traen desde el 09/09, y el </w:t>
      </w:r>
      <w:r>
        <w:rPr>
          <w:rFonts w:ascii="Consolas" w:hAnsi="Consolas" w:eastAsia="Consolas"/>
          <w:sz w:val="21"/>
        </w:rPr>
        <w:t>.docx</w:t>
      </w:r>
      <w:r>
        <w:t xml:space="preserve"> desde el 11/09: la carga tributaria completa con el régimen de promoción y el encuadre CAPEX/OPEX están en 7.7, la tasa de corte se nombra como costo de oportunidad en 7.7.1, y las métricas por suscripción —margen bruto, rotación, vida media, LTV, CAC y su relación— cierran el apartado 6.5.3</w:t>
      </w:r>
    </w:p>
    <w:p>
      <w:r>
        <w:rPr>
          <w:b/>
        </w:rPr>
        <w:t>Sección del documento:</w:t>
      </w:r>
      <w:r>
        <w:t xml:space="preserve"> 7.6 (plantilla y cargas) · 7.7 (presupuesto, punto de</w:t>
      </w:r>
    </w:p>
    <w:p>
      <w:r>
        <w:t>equilibrio e indicadores) · capítulo 6 (métricas del negocio)</w:t>
      </w:r>
    </w:p>
    <w:p>
      <w:r>
        <w:rPr>
          <w:b/>
        </w:rPr>
        <w:t>De dónde sale:</w:t>
      </w:r>
      <w:r>
        <w:t xml:space="preserve"> las tres clases de negocio de 2026 —Presupuesto, Costos y</w:t>
      </w:r>
    </w:p>
    <w:p>
      <w:r>
        <w:t>precios, e Impuestos e indicadores de inversión—. El modelo cubría la estructura que pide la Clase 1, pero le faltaba buena parte de lo que piden las otras dos.</w:t>
      </w:r>
    </w:p>
    <w:p>
      <w:r>
        <w:rPr>
          <w:b/>
        </w:rPr>
        <w:t>Qué se agregó:</w:t>
      </w:r>
    </w:p>
    <w:p>
      <w:r>
        <w:rPr>
          <w:i/>
        </w:rPr>
        <w:t>Impuestos, que eran dos y ahora son todos.</w:t>
      </w:r>
      <w:r>
        <w:t xml:space="preserve"> El modelo tenía ingresos brutos al 3 % y ganancias al 35 %, tipeados dentro del flujo de fondos. La hoja </w:t>
      </w:r>
      <w:r>
        <w:rPr>
          <w:b/>
        </w:rPr>
        <w:t>Impuestos</w:t>
      </w:r>
      <w:r>
        <w:t xml:space="preserve"> liquida ahora IVA —débito, crédito e importación de servicios digitales por RG 4356/2018—, ingresos brutos repartidos por </w:t>
      </w:r>
      <w:r>
        <w:rPr>
          <w:b/>
        </w:rPr>
        <w:t>Convenio Multilateral</w:t>
      </w:r>
      <w:r>
        <w:t xml:space="preserve"> entre CABA y Provincia, impuesto de sellos, impuesto al cheque con su 33 % a cuenta, retención a beneficiarios del exterior, y ganancias con el régimen de la </w:t>
      </w:r>
      <w:r>
        <w:rPr>
          <w:b/>
        </w:rPr>
        <w:t>Ley de Economía del Conocimiento</w:t>
      </w:r>
      <w:r>
        <w:t xml:space="preserve">: reducción de hasta 60 % y bono de crédito fiscal de hasta 70 % de las contribuciones patronales. Los tributos que </w:t>
      </w:r>
      <w:r>
        <w:rPr>
          <w:b/>
        </w:rPr>
        <w:t>no</w:t>
      </w:r>
      <w:r>
        <w:t xml:space="preserve"> aplican —aduaneros, patentes, inmobiliario, bienes personales— están nombrados con el motivo.</w:t>
      </w:r>
    </w:p>
    <w:p>
      <w:r>
        <w:t xml:space="preserve">Dos decisiones de modelado que hay que poder defender: el </w:t>
      </w:r>
      <w:r>
        <w:rPr>
          <w:b/>
        </w:rPr>
        <w:t>IVA no entra al flujo como costo</w:t>
      </w:r>
      <w:r>
        <w:t xml:space="preserve">, porque es neutro para un responsable inscripto, y el </w:t>
      </w:r>
      <w:r>
        <w:rPr>
          <w:b/>
        </w:rPr>
        <w:t>bono de crédito fiscal se parte</w:t>
      </w:r>
      <w:r>
        <w:t xml:space="preserve"> entre la porción que cancela Ganancias —que sí baja el costo— y la que cancela IVA —que mejora la caja—. Sumarlas infla un beneficio que no existe.</w:t>
      </w:r>
    </w:p>
    <w:p>
      <w:r>
        <w:rPr>
          <w:i/>
        </w:rPr>
        <w:t>Cargas sociales completas.</w:t>
      </w:r>
      <w:r>
        <w:t xml:space="preserve"> Faltaba la ART, que es obligatoria. Con ella y el seguro de vida el total pasa de 23,00 % a </w:t>
      </w:r>
      <w:r>
        <w:rPr>
          <w:b/>
        </w:rPr>
        <w:t>28,30 %</w:t>
      </w:r>
      <w:r>
        <w:t>, dentro del 25 % a 30 % que da la clase. Se declara además el encuadre laboral: fuera de convenio, bajo la LCT 20.744, porque no hay convenio colectivo propio de la actividad del software. Eso explica por qué los aumentos salariales del modelo son política propia y no una paritaria.</w:t>
      </w:r>
    </w:p>
    <w:p>
      <w:r>
        <w:rPr>
          <w:i/>
        </w:rPr>
        <w:t>Gastos que faltaban, y CAPEX contra OPEX.</w:t>
      </w:r>
      <w:r>
        <w:t xml:space="preserve"> Entran las </w:t>
      </w:r>
      <w:r>
        <w:rPr>
          <w:b/>
        </w:rPr>
        <w:t>herramientas de IA del equipo</w:t>
      </w:r>
      <w:r>
        <w:t xml:space="preserve"> y la </w:t>
      </w:r>
      <w:r>
        <w:rPr>
          <w:b/>
        </w:rPr>
        <w:t>conectividad del equipo remoto</w:t>
      </w:r>
      <w:r>
        <w:t>. Cada concepto de costo fijo lleva ahora su clasificación CAPEX/OPEX y si se paga en el país o al exterior; lo segundo es la base del cálculo de importación de servicios digitales.</w:t>
      </w:r>
    </w:p>
    <w:p>
      <w:r>
        <w:rPr>
          <w:i/>
        </w:rPr>
        <w:t>El flujo de fondos con la fórmula de la clase.</w:t>
      </w:r>
      <w:r>
        <w:t xml:space="preserve"> Flujo de caja libre = EBIT × (1 − Ganancias) + Amortizaciones − Variación de capital de trabajo − CAPEX. El </w:t>
      </w:r>
      <w:r>
        <w:rPr>
          <w:b/>
        </w:rPr>
        <w:t>capital de trabajo faltaba entero</w:t>
      </w:r>
      <w:r>
        <w:t xml:space="preserve">, y no es menor: el cliente paga a 30 días, así que cada peso de crecimiento de la facturación inmoviliza un mes de ventas. Se separan además </w:t>
      </w:r>
      <w:r>
        <w:rPr>
          <w:b/>
        </w:rPr>
        <w:t>EBITDA</w:t>
      </w:r>
      <w:r>
        <w:t xml:space="preserve"> y </w:t>
      </w:r>
      <w:r>
        <w:rPr>
          <w:b/>
        </w:rPr>
        <w:t>EBIT</w:t>
      </w:r>
      <w:r>
        <w:t>, que antes estaban fundidos en una sola fila llamada UAII.</w:t>
      </w:r>
    </w:p>
    <w:p>
      <w:r>
        <w:rPr>
          <w:i/>
        </w:rPr>
        <w:t>Indicadores completos.</w:t>
      </w:r>
      <w:r>
        <w:t xml:space="preserve"> A VAN, TIR y período de repago se suman </w:t>
      </w:r>
      <w:r>
        <w:rPr>
          <w:b/>
        </w:rPr>
        <w:t>ROI</w:t>
      </w:r>
      <w:r>
        <w:t xml:space="preserve"> e </w:t>
      </w:r>
      <w:r>
        <w:rPr>
          <w:b/>
        </w:rPr>
        <w:t>índice de rentabilidad</w:t>
      </w:r>
      <w:r>
        <w:t xml:space="preserve">, que son los que la clase calcula en su ejemplo. Los tres se miden contra el </w:t>
      </w:r>
      <w:r>
        <w:rPr>
          <w:b/>
        </w:rPr>
        <w:t>capital que hay que poner</w:t>
      </w:r>
      <w:r>
        <w:t xml:space="preserve"> —el peor punto del flujo acumulado, 139,6 millones— y no contra el CAPEX inicial: medido contra los 20,4 millones del período cero, el ROI daba 5.399 %, que es un número sin sentido. La tasa de corte se nombra por lo que es: </w:t>
      </w:r>
      <w:r>
        <w:rPr>
          <w:b/>
        </w:rPr>
        <w:t>costo de oportunidad</w:t>
      </w:r>
      <w:r>
        <w:t>.</w:t>
      </w:r>
    </w:p>
    <w:p>
      <w:r>
        <w:rPr>
          <w:i/>
        </w:rPr>
        <w:t>Métricas del negocio por suscripción.</w:t>
      </w:r>
      <w:r>
        <w:t xml:space="preserve"> Hoja nueva con MRR, ARR, ARPU, churn, vida media del cliente, margen bruto, </w:t>
      </w:r>
      <w:r>
        <w:rPr>
          <w:b/>
        </w:rPr>
        <w:t>LTV</w:t>
      </w:r>
      <w:r>
        <w:t xml:space="preserve">, </w:t>
      </w:r>
      <w:r>
        <w:rPr>
          <w:b/>
        </w:rPr>
        <w:t>CAC</w:t>
      </w:r>
      <w:r>
        <w:t xml:space="preserve">, la relación </w:t>
      </w:r>
      <w:r>
        <w:rPr>
          <w:b/>
        </w:rPr>
        <w:t>LTV/CAC</w:t>
      </w:r>
      <w:r>
        <w:t xml:space="preserve"> y los meses de recuperación del CAC. Son las que la Clase 2 enumera para un SaaS y las que explican por qué el proyecto necesita capital antes de dar ganancia.</w:t>
      </w:r>
    </w:p>
    <w:p>
      <w:r>
        <w:rPr>
          <w:i/>
        </w:rPr>
        <w:t>Gráficos.</w:t>
      </w:r>
      <w:r>
        <w:t xml:space="preserve"> Seis, con las series tomadas por fórmula de sus hojas de origen.</w:t>
      </w:r>
    </w:p>
    <w:p>
      <w:r>
        <w:rPr>
          <w:b/>
        </w:rPr>
        <w:t>Qué cambió en los números:</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Antes</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Con impuestos, cargas y gastos completos</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Egresos año 1 (M ARS)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30,6</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32,5</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Resultado operativo año 4 (M ARS)</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+220,7</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+205,0</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Primer mes positivo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abril de 2029</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mayo de 2029</w:t>
            </w:r>
            <w:r>
              <w:rPr>
                <w:rFonts w:ascii="Calibri" w:hAnsi="Calibri" w:eastAsia="Calibri"/>
                <w:sz w:val="20"/>
              </w:rPr>
              <w:t>, con 142 clientes</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Capital total a poner (M ARS)</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139,6</w:t>
            </w:r>
            <w:r>
              <w:rPr>
                <w:rFonts w:ascii="Calibri" w:hAnsi="Calibri" w:eastAsia="Calibri"/>
                <w:sz w:val="20"/>
              </w:rPr>
              <w:t>, unos USD 69.500</w:t>
            </w:r>
          </w:p>
        </w:tc>
      </w:tr>
      <w:tr>
        <w:trPr>
          <w:cantSplit w:val="true"/>
        </w:trPr>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Presión tributaria sobre ventas</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del 9,0 % al 5,7 %</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LTV / CAC</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de 3,5 a 8,2</w:t>
            </w:r>
          </w:p>
        </w:tc>
      </w:tr>
    </w:tbl>
    <w:p>
      <w:pPr>
        <w:spacing w:after="80"/>
      </w:pPr>
    </w:p>
    <w:p>
      <w:r>
        <w:rPr>
          <w:b/>
        </w:rPr>
        <w:t>Esos números son los de esta iteración y no los de hoy.</w:t>
      </w:r>
      <w:r>
        <w:t xml:space="preserve"> La recalibración de D-33 y el arreglo de las tablas de 7.7 en D-41 los movieron después: el capital a poner quedó en </w:t>
      </w:r>
      <w:r>
        <w:rPr>
          <w:b/>
        </w:rPr>
        <w:t>156,2 millones</w:t>
      </w:r>
      <w:r>
        <w:t xml:space="preserve">, el primer mes positivo en mayo de 2029 con </w:t>
      </w:r>
      <w:r>
        <w:rPr>
          <w:b/>
        </w:rPr>
        <w:t>135 clientes</w:t>
      </w:r>
      <w:r>
        <w:t xml:space="preserve">, los egresos del año 1 en </w:t>
      </w:r>
      <w:r>
        <w:rPr>
          <w:b/>
        </w:rPr>
        <w:t>32,4 millones</w:t>
      </w:r>
      <w:r>
        <w:t xml:space="preserve">, el resultado del año 4 en </w:t>
      </w:r>
      <w:r>
        <w:rPr>
          <w:b/>
        </w:rPr>
        <w:t>+169,6</w:t>
      </w:r>
      <w:r>
        <w:t xml:space="preserve"> y la relación LTV/CAC entre </w:t>
      </w:r>
      <w:r>
        <w:rPr>
          <w:b/>
        </w:rPr>
        <w:t>3,3 y 7,7</w:t>
      </w:r>
      <w:r>
        <w:t xml:space="preserve">. Se deja la tabla como estaba porque este registro es cronológico y muestra el efecto de </w:t>
      </w:r>
      <w:r>
        <w:rPr>
          <w:i/>
        </w:rPr>
        <w:t>este</w:t>
      </w:r>
      <w:r>
        <w:t xml:space="preserve"> cambio; lo que vale para el documento es lo que dice 7.7, y eso lo verifica el control de alineación.</w:t>
      </w:r>
    </w:p>
    <w:p>
      <w:r>
        <w:rPr>
          <w:b/>
        </w:rPr>
        <w:t>Y una corrección de fecha que no es menor.</w:t>
      </w:r>
      <w:r>
        <w:t xml:space="preserve"> La Clase 1 alterna el orden de los grupos entre entregas: en la Entrega 1 va primero el Grupo 1 y en la </w:t>
      </w:r>
      <w:r>
        <w:rPr>
          <w:b/>
        </w:rPr>
        <w:t>Entrega 2 va primero el Grupo 2, el 16 de octubre</w:t>
      </w:r>
      <w:r>
        <w:t>. El proyecto tenía anotado el 23, que es la del Grupo 1.</w:t>
      </w:r>
    </w:p>
    <w:p>
      <w:pPr>
        <w:pStyle w:val="Heading2"/>
        <w:pBdr>
          <w:bottom w:val="single" w:sz="6" w:space="6" w:color="2F5496"/>
        </w:pBdr>
        <w:spacing w:before="440"/>
      </w:pPr>
      <w:r>
        <w:rPr>
          <w:rFonts w:ascii="Calibri" w:hAnsi="Calibri" w:eastAsia="Calibri"/>
          <w:color w:val="2F5496"/>
        </w:rPr>
        <w:t>D-36 · Alcance de la IA: la guía de reparación paso a paso</w:t>
      </w:r>
    </w:p>
    <w:p>
      <w:r>
        <w:rPr>
          <w:i/>
        </w:rPr>
        <w:t>Estado:</w:t>
      </w:r>
      <w:r>
        <w:t xml:space="preserve"> </w:t>
      </w:r>
      <w:r>
        <w:rPr>
          <w:rFonts w:ascii="Consolas" w:hAnsi="Consolas" w:eastAsia="Consolas"/>
          <w:sz w:val="21"/>
        </w:rPr>
        <w:t>aplicado</w:t>
      </w:r>
      <w:r>
        <w:t xml:space="preserve"> — el alcance de la IA dice tres funciones, el panel está en la pantalla de detalle con sus cuatro estados, y el documento ya tiene el RF-15 en 10.2.2, el CU-018 con su diagrama y sus dos flujos en 10.4.3.18, y el CP-15 con su resultado leído de la corrida</w:t>
      </w:r>
    </w:p>
    <w:p>
      <w:r>
        <w:rPr>
          <w:i/>
        </w:rPr>
        <w:t>Secciones:</w:t>
      </w:r>
      <w:r>
        <w:t xml:space="preserve"> 1.7 · 2.2.1.1 · 6.4.1 (alcance de la IA) · 10.2.2 (RF-15 nuevo) · 10.2.3 (CU-018 nuevo) · 10.4.3 (secuencia) · 10.5 (pantalla de detalle de incidencia) · 10.6 (casos de prueba)</w:t>
      </w:r>
    </w:p>
    <w:p>
      <w:r>
        <w:rPr>
          <w:b/>
        </w:rPr>
        <w:t>Dice hoy:</w:t>
      </w:r>
      <w:r>
        <w:t xml:space="preserve"> con el delta D-03 el alcance de la inteligencia artificial quedó</w:t>
      </w:r>
    </w:p>
    <w:p>
      <w:r>
        <w:t xml:space="preserve">en dos funciones: </w:t>
      </w:r>
      <w:r>
        <w:rPr>
          <w:b/>
        </w:rPr>
        <w:t>clasificación</w:t>
      </w:r>
      <w:r>
        <w:t xml:space="preserve"> del texto libre del solicitante (triage, categoría, prioridad y detección de duplicados) y </w:t>
      </w:r>
      <w:r>
        <w:rPr>
          <w:b/>
        </w:rPr>
        <w:t>asignación</w:t>
      </w:r>
      <w:r>
        <w:t xml:space="preserve"> del técnico más adecuado.</w:t>
      </w:r>
    </w:p>
    <w:p>
      <w:r>
        <w:rPr>
          <w:b/>
        </w:rPr>
        <w:t>Tiene que decir:</w:t>
      </w:r>
      <w:r>
        <w:t xml:space="preserve"> tres funciones. Se suma la **guía de reparación paso a</w:t>
      </w:r>
    </w:p>
    <w:p>
      <w:r>
        <w:t>paso**: dada una incidencia, el sistema sugiere al técnico un procedimiento de diagnóstico y reparación ordenado, con el riesgo declarado en cada paso que lo tenga y el criterio para dejar de intentar y escalar.</w:t>
      </w:r>
    </w:p>
    <w:p>
      <w:pPr>
        <w:pStyle w:val="Heading3"/>
      </w:pPr>
      <w:r>
        <w:rPr>
          <w:rFonts w:ascii="Calibri" w:hAnsi="Calibri" w:eastAsia="Calibri"/>
        </w:rPr>
        <w:t>RF-15 · Sugerencia de procedimiento de reparación</w:t>
      </w:r>
    </w:p>
    <w:p>
      <w:pPr>
        <w:spacing w:before="120" w:after="200"/>
        <w:ind w:left="397"/>
        <w:pBdr>
          <w:left w:val="single" w:sz="18" w:space="10" w:color="2F5496"/>
        </w:pBdr>
      </w:pPr>
      <w:r>
        <w:rPr>
          <w:i/>
          <w:color w:val="444444"/>
        </w:rPr>
        <w:t>El sistema debe poder sugerir, a pedido del técnico asignado a una incidencia,</w:t>
      </w:r>
    </w:p>
    <w:p>
      <w:pPr>
        <w:spacing w:before="120" w:after="200"/>
        <w:ind w:left="397"/>
        <w:pBdr>
          <w:left w:val="single" w:sz="18" w:space="10" w:color="2F5496"/>
        </w:pBdr>
      </w:pPr>
      <w:r>
        <w:rPr>
          <w:i/>
          <w:color w:val="444444"/>
        </w:rPr>
        <w:t>una guía de diagnóstico y reparación paso a paso, generada a partir del texto</w:t>
      </w:r>
    </w:p>
    <w:p>
      <w:pPr>
        <w:spacing w:before="120" w:after="200"/>
        <w:ind w:left="397"/>
        <w:pBdr>
          <w:left w:val="single" w:sz="18" w:space="10" w:color="2F5496"/>
        </w:pBdr>
      </w:pPr>
      <w:r>
        <w:rPr>
          <w:i/>
          <w:color w:val="444444"/>
        </w:rPr>
        <w:t>del reporte, la categoría, los datos del equipo y el historial de fallas</w:t>
      </w:r>
    </w:p>
    <w:p>
      <w:pPr>
        <w:spacing w:before="120" w:after="200"/>
        <w:ind w:left="397"/>
        <w:pBdr>
          <w:left w:val="single" w:sz="18" w:space="10" w:color="2F5496"/>
        </w:pBdr>
      </w:pPr>
      <w:r>
        <w:rPr>
          <w:i/>
          <w:color w:val="444444"/>
        </w:rPr>
        <w:t>resueltas de ese mismo equipo. Cada paso indica qué hacer, con qué detalle y</w:t>
      </w:r>
    </w:p>
    <w:p>
      <w:pPr>
        <w:spacing w:before="120" w:after="200"/>
        <w:ind w:left="397"/>
        <w:pBdr>
          <w:left w:val="single" w:sz="18" w:space="10" w:color="2F5496"/>
        </w:pBdr>
      </w:pPr>
      <w:r>
        <w:rPr>
          <w:i/>
          <w:color w:val="444444"/>
        </w:rPr>
        <w:t>qué riesgo tiene. La guía es una sugerencia: el técnico decide qué ejecutar.</w:t>
      </w:r>
    </w:p>
    <w:p>
      <w:pPr>
        <w:pStyle w:val="Heading3"/>
      </w:pPr>
      <w:r>
        <w:rPr>
          <w:rFonts w:ascii="Calibri" w:hAnsi="Calibri" w:eastAsia="Calibri"/>
        </w:rPr>
        <w:t>CU-018 · Consultar la guía de reparación sugerida</w:t>
      </w:r>
    </w:p>
    <w:tbl>
      <w:tblPr>
        <w:tblW w:type="auto" w:w="0"/>
        <w:jc w:val="center"/>
        <w:tblLook w:firstColumn="1" w:firstRow="1" w:lastColumn="0" w:lastRow="0" w:noHBand="0" w:noVBand="1" w:val="04A0"/>
      </w:tblPr>
      <w:tblGrid>
        <w:gridCol w:w="4680"/>
        <w:gridCol w:w="4680"/>
      </w:tblGrid>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Actor</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Responsable Técnico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Precondición</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La incidencia existe y el actor puede verla</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Disparador</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El técnico pide la guía desde el detalle de la incidencia</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Flujo principal</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1. El sistema arma el contexto con la incidencia, el equipo y hasta cinco fallas resueltas del mismo equipo en los últimos dos años. 2. Consulta al proveedor de IA configurado. 3. Renumera los pasos y devuelve la guía. 4. Asienta la consulta en la bitácora con el proveedor que respondió.</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Flujo alternativo</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Si el proveedor no responde o el circuito está abierto, se devuelve la guía marcada como no disponible con el motivo. La incidencia no se ve afectada.</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Postcondición</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Queda el asiento en bitácora. La guía </w:t>
            </w:r>
            <w:r>
              <w:rPr>
                <w:rFonts w:ascii="Calibri" w:hAnsi="Calibri" w:eastAsia="Calibri"/>
                <w:b/>
                <w:sz w:val="20"/>
              </w:rPr>
              <w:t>no</w:t>
            </w:r>
            <w:r>
              <w:rPr>
                <w:rFonts w:ascii="Calibri" w:hAnsi="Calibri" w:eastAsia="Calibri"/>
                <w:sz w:val="20"/>
              </w:rPr>
              <w:t xml:space="preserve"> se persiste.</w:t>
            </w:r>
          </w:p>
        </w:tc>
      </w:tr>
    </w:tbl>
    <w:p>
      <w:pPr>
        <w:spacing w:after="80"/>
      </w:pPr>
    </w:p>
    <w:p>
      <w:r>
        <w:rPr>
          <w:b/>
        </w:rPr>
        <w:t>Por qué se suma, y por qué recién ahora.</w:t>
      </w:r>
      <w:r>
        <w:t xml:space="preserve"> El sistema ya sabía </w:t>
      </w:r>
      <w:r>
        <w:rPr>
          <w:i/>
        </w:rPr>
        <w:t>quién</w:t>
      </w:r>
      <w:r>
        <w:t xml:space="preserve"> tiene que atender la incidencia y </w:t>
      </w:r>
      <w:r>
        <w:rPr>
          <w:i/>
        </w:rPr>
        <w:t>de qué</w:t>
      </w:r>
      <w:r>
        <w:t xml:space="preserve"> se trata, pero no aportaba nada sobre </w:t>
      </w:r>
      <w:r>
        <w:rPr>
          <w:i/>
        </w:rPr>
        <w:t>cómo</w:t>
      </w:r>
      <w:r>
        <w:t xml:space="preserve"> resolverla. Para el Segmento A —PyMEs donde el soporte lo hace una persona sola, muchas veces sin formación específica— ése es justamente el momento en que el producto puede aportar más. Y encaja con el motor predictivo: las mismas fallas resueltas que alimentan las reglas son las que hacen útil la guía.</w:t>
      </w:r>
    </w:p>
    <w:p>
      <w:r>
        <w:rPr>
          <w:b/>
        </w:rPr>
        <w:t>Tres decisiones de diseño que hay que poder defender:</w:t>
      </w:r>
    </w:p>
    <w:p>
      <w:pPr>
        <w:spacing w:after="80"/>
        <w:ind w:left="510" w:hanging="510"/>
        <w:jc w:val="left"/>
      </w:pPr>
      <w:r>
        <w:t>1.</w:t>
        <w:tab/>
      </w:r>
      <w:r>
        <w:rPr>
          <w:b/>
        </w:rPr>
        <w:t>Los pasos van de menos a más invasivos, y eso se prueba.</w:t>
      </w:r>
      <w:r>
        <w:t xml:space="preserve"> Un procedimiento que arranca vaciando la cola de impresión o apagando el equipo es peor que no tener procedimiento. La regla está en el prompt del proveedor real y en las recetas del simulado, y hay una prueba que recorre las seis categorías verificando que ningún paso sin riesgo quede después de uno con riesgo.</w:t>
      </w:r>
    </w:p>
    <w:p>
      <w:pPr>
        <w:spacing w:after="80"/>
        <w:ind w:left="510" w:hanging="510"/>
        <w:jc w:val="left"/>
      </w:pPr>
      <w:r>
        <w:t>2.</w:t>
        <w:tab/>
      </w:r>
      <w:r>
        <w:rPr>
          <w:b/>
        </w:rPr>
        <w:t>El sistema no toca el equipo del cliente.</w:t>
      </w:r>
      <w:r>
        <w:t xml:space="preserve"> La guía la ejecuta una persona. Está dicho en el prompt de forma explícita para que el modelo no proponga acciones remotas, y es lo que mantiene el alcance del producto donde estaba: PredictIT gestiona y predice, no administra máquinas. Sumar ejecución remota sería otro producto, con otra responsabilidad legal.</w:t>
      </w:r>
    </w:p>
    <w:p>
      <w:pPr>
        <w:spacing w:after="80"/>
        <w:ind w:left="510" w:hanging="510"/>
        <w:jc w:val="left"/>
      </w:pPr>
      <w:r>
        <w:t>3.</w:t>
        <w:tab/>
      </w:r>
      <w:r>
        <w:rPr>
          <w:b/>
        </w:rPr>
        <w:t>No se persiste.</w:t>
      </w:r>
      <w:r>
        <w:t xml:space="preserve"> La guía depende del historial del equipo en el momento en que se pide; guardarla invitaría a leer mañana una armada con otro historial. Lo que queda es el asiento en bitácora, que además alimenta el costo por consulta del modelo financiero.</w:t>
      </w:r>
    </w:p>
    <w:p>
      <w:r>
        <w:rPr>
          <w:b/>
        </w:rPr>
        <w:t>Lo que esto cambia en el resto del trabajo:</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Dónde</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Qué cambia</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Alcance de la IA (1.7, 2.2.1.1, 6.4.1)</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De dos funciones a tres</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Requisitos (10.2.2)</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RF-15 nuevo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Casos de uso (10.2.3, 10.4.2)</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CU-018 nuevo, con su diagrama de secuencia</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Pantallas (10.5)</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El detalle de incidencia suma el panel de la guía</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Casos de prueba (10.6)</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CP-15: la guía con el proveedor caído devuelve el motivo y no rompe la pantalla</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Costo del servicio de IA</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 xml:space="preserve">Es una consulta más por incidencia </w:t>
            </w:r>
            <w:r>
              <w:rPr>
                <w:rFonts w:ascii="Calibri" w:hAnsi="Calibri" w:eastAsia="Calibri"/>
                <w:b/>
                <w:sz w:val="20"/>
              </w:rPr>
              <w:t>sólo cuando se pide</w:t>
            </w:r>
            <w:r>
              <w:rPr>
                <w:rFonts w:ascii="Calibri" w:hAnsi="Calibri" w:eastAsia="Calibri"/>
                <w:sz w:val="20"/>
              </w:rPr>
              <w:t>, no en cada alta. El presupuesto lo toma de la bitácora, que ya distingue los tres tipos de evento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Propuesta de valor (capítulo 6)</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Es el argumento más fuerte para el Segmento A: el sistema no sólo avisa que algo va a fallar, ayuda a arreglarlo</w:t>
            </w:r>
          </w:p>
        </w:tc>
      </w:tr>
    </w:tbl>
    <w:p>
      <w:pPr>
        <w:spacing w:after="80"/>
      </w:pPr>
    </w:p>
    <w:p>
      <w:r>
        <w:rPr>
          <w:b/>
        </w:rPr>
        <w:t>Lo que está hecho:</w:t>
      </w:r>
      <w:r>
        <w:t xml:space="preserve"> el contrato </w:t>
      </w:r>
      <w:r>
        <w:rPr>
          <w:rFonts w:ascii="Consolas" w:hAnsi="Consolas" w:eastAsia="Consolas"/>
          <w:sz w:val="21"/>
        </w:rPr>
        <w:t>IProveedorIA</w:t>
      </w:r>
      <w:r>
        <w:t xml:space="preserve"> con la tercera operación, las</w:t>
      </w:r>
    </w:p>
    <w:p>
      <w:r>
        <w:t>dos implementaciones —la real contra la API de Anthropic y la simulada con recetas por categoría—, el disyuntor cubriendo la operación nueva, el método de negocio con su control de acceso, el endpoint, los dos tipos de evento en el seed y diez pruebas.</w:t>
      </w:r>
    </w:p>
    <w:p>
      <w:r>
        <w:rPr>
          <w:b/>
        </w:rPr>
        <w:t>Lo que falta:</w:t>
      </w:r>
      <w:r>
        <w:t xml:space="preserve"> el panel en la pantalla de detalle de incidencia, el CP-15</w:t>
      </w:r>
    </w:p>
    <w:p>
      <w:r>
        <w:t xml:space="preserve">automatizado, y bajar todo esto al </w:t>
      </w:r>
      <w:r>
        <w:rPr>
          <w:rFonts w:ascii="Consolas" w:hAnsi="Consolas" w:eastAsia="Consolas"/>
          <w:sz w:val="21"/>
        </w:rPr>
        <w:t>.docx</w:t>
      </w:r>
      <w:r>
        <w:t>.</w:t>
      </w:r>
    </w:p>
    <w:p>
      <w:pPr>
        <w:pStyle w:val="Heading2"/>
        <w:pBdr>
          <w:bottom w:val="single" w:sz="6" w:space="6" w:color="2F5496"/>
        </w:pBdr>
        <w:spacing w:before="440"/>
      </w:pPr>
      <w:r>
        <w:rPr>
          <w:rFonts w:ascii="Calibri" w:hAnsi="Calibri" w:eastAsia="Calibri"/>
          <w:color w:val="2F5496"/>
        </w:rPr>
        <w:t>D-37 · Las dos metas que no coincidían con el modelo, resueltas</w:t>
      </w:r>
    </w:p>
    <w:p>
      <w:r>
        <w:rPr>
          <w:i/>
        </w:rPr>
        <w:t>Estado:</w:t>
      </w:r>
      <w:r>
        <w:t xml:space="preserve"> </w:t>
      </w:r>
      <w:r>
        <w:rPr>
          <w:rFonts w:ascii="Consolas" w:hAnsi="Consolas" w:eastAsia="Consolas"/>
          <w:sz w:val="21"/>
        </w:rPr>
        <w:t>aplicado</w:t>
      </w:r>
      <w:r>
        <w:t xml:space="preserve"> en el modelo y en el plan de la Entrega 1 · la meta de equipos </w:t>
      </w:r>
      <w:r>
        <w:rPr>
          <w:b/>
        </w:rPr>
        <w:t>ya estaba corregida en el `.docx`</w:t>
      </w:r>
    </w:p>
    <w:p>
      <w:r>
        <w:rPr>
          <w:i/>
        </w:rPr>
        <w:t>Secciones:</w:t>
      </w:r>
      <w:r>
        <w:t xml:space="preserve"> 5.3.3 (metas cuantitativas al mes 12) · 1.2 del plan de negocio (participación de mercado)</w:t>
      </w:r>
    </w:p>
    <w:p>
      <w:r>
        <w:t>Eran las dos decisiones de negocio que el plan venía declarando sin resolver. Se resolvieron el 09/09.</w:t>
      </w:r>
    </w:p>
    <w:p>
      <w:pPr>
        <w:pStyle w:val="Heading3"/>
      </w:pPr>
      <w:r>
        <w:rPr>
          <w:rFonts w:ascii="Calibri" w:hAnsi="Calibri" w:eastAsia="Calibri"/>
        </w:rPr>
        <w:t>La meta de equipos: el Excel estaba mal, no el documento</w:t>
      </w:r>
    </w:p>
    <w:p>
      <w:r>
        <w:t xml:space="preserve">El plan de la Entrega 1 contrastaba los 480 equipos que proyecta el modelo al mes 12 contra una meta de </w:t>
      </w:r>
      <w:r>
        <w:rPr>
          <w:b/>
        </w:rPr>
        <w:t>1.000</w:t>
      </w:r>
      <w:r>
        <w:t>, y reportaba un desvío del −52 %.</w:t>
      </w:r>
    </w:p>
    <w:p>
      <w:r>
        <w:t xml:space="preserve">Al ir a corregirlo apareció que </w:t>
      </w:r>
      <w:r>
        <w:rPr>
          <w:b/>
        </w:rPr>
        <w:t>el documento ya no dice 1.000</w:t>
      </w:r>
      <w:r>
        <w:t>. Dice:</w:t>
      </w:r>
    </w:p>
    <w:p>
      <w:pPr>
        <w:spacing w:before="120" w:after="200"/>
        <w:ind w:left="397"/>
        <w:pBdr>
          <w:left w:val="single" w:sz="18" w:space="10" w:color="2F5496"/>
        </w:pBdr>
      </w:pPr>
      <w:r>
        <w:rPr>
          <w:i/>
          <w:color w:val="444444"/>
        </w:rPr>
        <w:t xml:space="preserve">«Alcanzar 25 clientes pagos activos y </w:t>
      </w:r>
      <w:r>
        <w:rPr>
          <w:b/>
          <w:i/>
          <w:color w:val="444444"/>
        </w:rPr>
        <w:t>450 equipos</w:t>
      </w:r>
      <w:r>
        <w:rPr>
          <w:i/>
          <w:color w:val="444444"/>
        </w:rPr>
        <w:t xml:space="preserve"> informáticos</w:t>
      </w:r>
    </w:p>
    <w:p>
      <w:pPr>
        <w:spacing w:before="120" w:after="200"/>
        <w:ind w:left="397"/>
        <w:pBdr>
          <w:left w:val="single" w:sz="18" w:space="10" w:color="2F5496"/>
        </w:pBdr>
      </w:pPr>
      <w:r>
        <w:rPr>
          <w:i/>
          <w:color w:val="444444"/>
        </w:rPr>
        <w:t>administrados al mes 12 […] el Segmento A se define como PyMEs de 5 a 50</w:t>
      </w:r>
    </w:p>
    <w:p>
      <w:pPr>
        <w:spacing w:before="120" w:after="200"/>
        <w:ind w:left="397"/>
        <w:pBdr>
          <w:left w:val="single" w:sz="18" w:space="10" w:color="2F5496"/>
        </w:pBdr>
      </w:pPr>
      <w:r>
        <w:rPr>
          <w:i/>
          <w:color w:val="444444"/>
        </w:rPr>
        <w:t>empleados, cuyo parque informático es del orden de 18 a 24 equipos, de modo</w:t>
      </w:r>
    </w:p>
    <w:p>
      <w:pPr>
        <w:spacing w:before="120" w:after="200"/>
        <w:ind w:left="397"/>
        <w:pBdr>
          <w:left w:val="single" w:sz="18" w:space="10" w:color="2F5496"/>
        </w:pBdr>
      </w:pPr>
      <w:r>
        <w:rPr>
          <w:i/>
          <w:color w:val="444444"/>
        </w:rPr>
        <w:t>que 25 clientes administran alrededor de 450. Los 1.000 equipos quedan como</w:t>
      </w:r>
    </w:p>
    <w:p>
      <w:pPr>
        <w:spacing w:before="120" w:after="200"/>
        <w:ind w:left="397"/>
        <w:pBdr>
          <w:left w:val="single" w:sz="18" w:space="10" w:color="2F5496"/>
        </w:pBdr>
      </w:pPr>
      <w:r>
        <w:rPr>
          <w:i/>
          <w:color w:val="444444"/>
        </w:rPr>
        <w:t>objetivo del segundo año de operación, cuando la mezcla incorpore clientes del</w:t>
      </w:r>
    </w:p>
    <w:p>
      <w:pPr>
        <w:spacing w:before="120" w:after="200"/>
        <w:ind w:left="397"/>
        <w:pBdr>
          <w:left w:val="single" w:sz="18" w:space="10" w:color="2F5496"/>
        </w:pBdr>
      </w:pPr>
      <w:r>
        <w:rPr>
          <w:i/>
          <w:color w:val="444444"/>
        </w:rPr>
        <w:t>Segmento B.»</w:t>
      </w:r>
    </w:p>
    <w:p>
      <w:r>
        <w:t xml:space="preserve">O sea que la corrección estaba hecha en el documento y el modelo seguía midiendo contra la meta vieja. Es exactamente el caso que la cátedra advierte: si el Excel y el PDF dicen distinto, uno de los dos está mal, y acá el que estaba mal era el Excel. Con la meta en 450, el modelo da </w:t>
      </w:r>
      <w:r>
        <w:rPr>
          <w:b/>
        </w:rPr>
        <w:t>480: un 6,7 % por encima</w:t>
      </w:r>
      <w:r>
        <w:t>, y el control pasa de ser el peor desvío del libro a cerrar.</w:t>
      </w:r>
    </w:p>
    <w:p>
      <w:r>
        <w:t xml:space="preserve">Vale la pena dejar escrito por qué 1.000 era insostenible, porque es lo que se pregunta: 1.000 equipos entre 25 clientes son </w:t>
      </w:r>
      <w:r>
        <w:rPr>
          <w:b/>
        </w:rPr>
        <w:t>40 equipos por cliente</w:t>
      </w:r>
      <w:r>
        <w:t>, y con 40 equipos cada cliente pagaría 25 adicionales a $ 4.200 —$ 105.000— sobre un abono de $ 89.000. El plan quedaba vendiendo adicionales y llamándolo suscripción.</w:t>
      </w:r>
    </w:p>
    <w:p>
      <w:pPr>
        <w:pStyle w:val="Heading3"/>
      </w:pPr>
      <w:r>
        <w:rPr>
          <w:rFonts w:ascii="Calibri" w:hAnsi="Calibri" w:eastAsia="Calibri"/>
        </w:rPr>
        <w:t>La participación de mercado: punto intermedio</w:t>
      </w:r>
    </w:p>
    <w:p>
      <w:r>
        <w:t xml:space="preserve">El plan declaraba </w:t>
      </w:r>
      <w:r>
        <w:rPr>
          <w:b/>
        </w:rPr>
        <w:t>1,1 %</w:t>
      </w:r>
      <w:r>
        <w:t xml:space="preserve"> al año 4 y el modelo proyectaba </w:t>
      </w:r>
      <w:r>
        <w:rPr>
          <w:b/>
        </w:rPr>
        <w:t>1,61 %</w:t>
      </w:r>
      <w:r>
        <w:t xml:space="preserve">, un 46 % por encima. Pasa a </w:t>
      </w:r>
      <w:r>
        <w:rPr>
          <w:b/>
        </w:rPr>
        <w:t>1,35 %</w:t>
      </w:r>
      <w:r>
        <w:t>, el punto medio.</w:t>
      </w:r>
    </w:p>
    <w:p>
      <w:r>
        <w:t>El motivo de tomar el medio y no una de las dos puntas es que las dos estaban movidas. El 1,1 % se escribió antes de tener el embudo armado y quedó corto; el 1,61 % supone que el embudo sostiene su tasa de conversión durante cuatro años seguidos, y eso es optimista. Mover una sola para que coincidiera con la otra habría sido acomodar el número.</w:t>
      </w:r>
    </w:p>
    <w:p>
      <w:r>
        <w:t>Queda un desvío del 19 % entre objetivo y proyección, declarado. *</w:t>
      </w:r>
      <w:r>
        <w:rPr>
          <w:i/>
        </w:rPr>
        <w:t xml:space="preserve">El contraste lo calcula la hoja </w:t>
      </w:r>
      <w:r>
        <w:t>Proyección de ventas*** y no un párrafo escrito a mano, así que si mañana cambia una hipótesis, el desvío se mueve solo.</w:t>
      </w:r>
    </w:p>
    <w:p>
      <w:pPr>
        <w:pStyle w:val="Heading2"/>
        <w:pBdr>
          <w:bottom w:val="single" w:sz="6" w:space="6" w:color="2F5496"/>
        </w:pBdr>
        <w:spacing w:before="440"/>
      </w:pPr>
      <w:r>
        <w:rPr>
          <w:rFonts w:ascii="Calibri" w:hAnsi="Calibri" w:eastAsia="Calibri"/>
          <w:color w:val="2F5496"/>
        </w:rPr>
        <w:t>D-38 · El embudo se vuelve autogestionado y el universo se deriva</w:t>
      </w:r>
    </w:p>
    <w:p>
      <w:r>
        <w:rPr>
          <w:i/>
        </w:rPr>
        <w:t>Estado:</w:t>
      </w:r>
      <w:r>
        <w:t xml:space="preserve"> </w:t>
      </w:r>
      <w:r>
        <w:rPr>
          <w:rFonts w:ascii="Consolas" w:hAnsi="Consolas" w:eastAsia="Consolas"/>
          <w:sz w:val="21"/>
        </w:rPr>
        <w:t>aplicado</w:t>
      </w:r>
      <w:r>
        <w:t xml:space="preserve"> — la tabla del embudo está en 5.3.5, la derivación del universo —de las 549.100 PyMEs empleadoras a las 65.965 del AMBA y a las 21.109 del mercado meta— en 4.2 con sus dos supuestos propios declarados, y en 5.3.2 las metas expresadas sobre ese denominador: 0,12 % al mes 12, 0,64 % en el equilibrio y 1,40 % al año 4</w:t>
      </w:r>
    </w:p>
    <w:p>
      <w:r>
        <w:rPr>
          <w:i/>
        </w:rPr>
        <w:t>Secciones:</w:t>
      </w:r>
      <w:r>
        <w:t xml:space="preserve"> 4.2 y 5.3.2 (dimensionamiento del mercado) · 5.3.5 (embudo comercial) · 5.3.3 (metas al mes 12)</w:t>
      </w:r>
    </w:p>
    <w:p>
      <w:r>
        <w:t>Son las dos decisiones de negocio que quedaban abiertas del punto 1 del plan, y se tomaron el 09/09.</w:t>
      </w:r>
    </w:p>
    <w:p>
      <w:pPr>
        <w:pStyle w:val="Heading3"/>
      </w:pPr>
      <w:r>
        <w:rPr>
          <w:rFonts w:ascii="Calibri" w:hAnsi="Calibri" w:eastAsia="Calibri"/>
        </w:rPr>
        <w:t>El embudo: sale la demostración en vivo</w:t>
      </w:r>
    </w:p>
    <w:p>
      <w:r>
        <w:rPr>
          <w:b/>
        </w:rPr>
        <w:t>Dice hoy (5.3.5):</w:t>
      </w:r>
      <w:r>
        <w:t xml:space="preserve"> cuatro etapas —visitas a leads 3-5 % a demostraciones</w:t>
      </w:r>
    </w:p>
    <w:p>
      <w:r>
        <w:t>calificadas 35-45 % a pruebas gratuitas 55-65 % a cliente pago 25-30 %—.</w:t>
      </w:r>
    </w:p>
    <w:p>
      <w:r>
        <w:rPr>
          <w:b/>
        </w:rPr>
        <w:t>Tiene que decir:</w:t>
      </w:r>
      <w:r>
        <w:t xml:space="preserve"> dos etapas. </w:t>
      </w:r>
      <w:r>
        <w:rPr>
          <w:b/>
        </w:rPr>
        <w:t>Visitas a prueba gratuita iniciada, 2,0 %</w:t>
      </w:r>
      <w:r>
        <w:t xml:space="preserve"> y</w:t>
      </w:r>
    </w:p>
    <w:p>
      <w:r>
        <w:rPr>
          <w:b/>
        </w:rPr>
        <w:t>prueba gratuita a cliente pago, 12 %</w:t>
      </w:r>
      <w:r>
        <w:t>. La prueba se inicia desde el sitio, sin intervención humana.</w:t>
      </w:r>
    </w:p>
    <w:p>
      <w:r>
        <w:rPr>
          <w:b/>
        </w:rPr>
        <w:t>Por qué.</w:t>
      </w:r>
      <w:r>
        <w:t xml:space="preserve"> El embudo anterior tenía una conversión total del 0,26 % y el nuevo tiene 0,24 %: la diferencia no está en la tasa, está en quién hace el trabajo. Para sostener las altas del cuarto año, el embudo de cuatro etapas pedía </w:t>
      </w:r>
      <w:r>
        <w:rPr>
          <w:b/>
        </w:rPr>
        <w:t>108 demostraciones por mes</w:t>
      </w:r>
      <w:r>
        <w:t>, cinco por día hábil, y el único rol comercial de la plantilla es un socio que además gestiona el canal de partners y el ciclo de venta del Segmento B. Era un embudo que el equipo no podía operar.</w:t>
      </w:r>
    </w:p>
    <w:p>
      <w:r>
        <w:t>El argumento de fondo es de economía unitaria y conviene tenerlo a mano en la defensa: un producto de unos USD 75 mensuales no se vende con demostraciones individuales, porque una hora de una persona por prospecto no entra en un costo de adquisición que tiene que recuperarse en meses. Se vende dejando que el cliente lo pruebe.</w:t>
      </w:r>
    </w:p>
    <w:p>
      <w:r>
        <w:rPr>
          <w:b/>
        </w:rPr>
        <w:t>Lo que cuesta:</w:t>
      </w:r>
      <w:r>
        <w:t xml:space="preserve"> sin nadie que califique al que se registra, la prueba</w:t>
      </w:r>
    </w:p>
    <w:p>
      <w:r>
        <w:t xml:space="preserve">convierte al 12 % y no al 27,5 %. El modelo pasa de 370 a </w:t>
      </w:r>
      <w:r>
        <w:rPr>
          <w:b/>
        </w:rPr>
        <w:t>350 clientes</w:t>
      </w:r>
      <w:r>
        <w:t xml:space="preserve"> al año 4 y el resultado del año 4 de +205,0 a </w:t>
      </w:r>
      <w:r>
        <w:rPr>
          <w:b/>
        </w:rPr>
        <w:t>+169,6 millones</w:t>
      </w:r>
      <w:r>
        <w:t xml:space="preserve">. </w:t>
      </w:r>
      <w:r>
        <w:rPr>
          <w:b/>
        </w:rPr>
        <w:t>Lo que se gana:</w:t>
      </w:r>
      <w:r>
        <w:t xml:space="preserve"> el volumen deja de tener techo. 135 pruebas por mes no consumen horas de nadie; 108 demostraciones sí. La carga se mueve al onboarding, que ya está modelado como costo variable por cliente.</w:t>
      </w:r>
    </w:p>
    <w:p>
      <w:pPr>
        <w:pStyle w:val="Heading3"/>
      </w:pPr>
      <w:r>
        <w:rPr>
          <w:rFonts w:ascii="Calibri" w:hAnsi="Calibri" w:eastAsia="Calibri"/>
        </w:rPr>
        <w:t>El universo de PyMEs: se deriva de datos públicos</w:t>
      </w:r>
    </w:p>
    <w:p>
      <w:r>
        <w:rPr>
          <w:b/>
        </w:rPr>
        <w:t>Dice hoy:</w:t>
      </w:r>
      <w:r>
        <w:t xml:space="preserve"> 72.000 PyMEs de 5 a 50 empleados en AMBA, sin fuente.</w:t>
      </w:r>
    </w:p>
    <w:p>
      <w:r>
        <w:rPr>
          <w:b/>
        </w:rPr>
        <w:t>Tiene que decir:</w:t>
      </w:r>
      <w:r>
        <w:t xml:space="preserve"> </w:t>
      </w:r>
      <w:r>
        <w:rPr>
          <w:b/>
        </w:rPr>
        <w:t>65.965</w:t>
      </w:r>
      <w:r>
        <w:t>, derivado de los datos de SEPYME / CEP XXI de</w:t>
      </w:r>
    </w:p>
    <w:p>
      <w:r>
        <w:t xml:space="preserve">2023 —549.100 PyMEs empleadoras, 12 % de 10 a 49 empleados, 85 % de 1 a 9, con 17,2 % en CABA y 32,3 % en la Provincia— más dos supuestos propios declarados: que el </w:t>
      </w:r>
      <w:r>
        <w:rPr>
          <w:b/>
        </w:rPr>
        <w:t>20 %</w:t>
      </w:r>
      <w:r>
        <w:t xml:space="preserve"> de las microempresas tiene entre 5 y 9 empleados, y que el </w:t>
      </w:r>
      <w:r>
        <w:rPr>
          <w:b/>
        </w:rPr>
        <w:t>75 %</w:t>
      </w:r>
      <w:r>
        <w:t xml:space="preserve"> de la Provincia cae dentro del AMBA.</w:t>
      </w:r>
    </w:p>
    <w:p>
      <w:r>
        <w:rPr>
          <w:b/>
        </w:rPr>
        <w:t>Por qué importa.</w:t>
      </w:r>
      <w:r>
        <w:t xml:space="preserve"> Era la única fila del plan sin fuente, y de ella cuelga toda la sección de mercado: si el denominador no se puede sostener, la participación tampoco. Las estadísticas oficiales cortan los tramos en 1–9 y 10–49, y el segmento objetivo arranca en 5, así que el recorte exige un supuesto propio; lo mismo con el AMBA, que la estadística no distingue de la Provincia entera.</w:t>
      </w:r>
    </w:p>
    <w:p>
      <w:r>
        <w:t xml:space="preserve">Con esos dos supuestos el resultado se mueve entre 63.000 y 73.000. </w:t>
      </w:r>
      <w:r>
        <w:rPr>
          <w:b/>
        </w:rPr>
        <w:t>Se toma el extremo conservador y no el medio</w:t>
      </w:r>
      <w:r>
        <w:t>: bajar el universo hace más exigente el objetivo de participación, no menos. Los 72.000 anteriores eran el techo del rango.</w:t>
      </w:r>
    </w:p>
    <w:p>
      <w:r>
        <w:t xml:space="preserve">Con el universo en 65.965, el mercado meta alcanzable pasa de 23.040 a </w:t>
      </w:r>
      <w:r>
        <w:rPr>
          <w:b/>
        </w:rPr>
        <w:t>21.109</w:t>
      </w:r>
      <w:r>
        <w:t xml:space="preserve">, y la participación objetivo se fija en </w:t>
      </w:r>
      <w:r>
        <w:rPr>
          <w:b/>
        </w:rPr>
        <w:t>1,4 %</w:t>
      </w:r>
      <w:r>
        <w:t xml:space="preserve"> —el punto intermedio entre el 1,1 % que declaraba el plan y el 1,66 % que proyecta el modelo—.</w:t>
      </w:r>
    </w:p>
    <w:p>
      <w:pPr>
        <w:pStyle w:val="Heading2"/>
        <w:pBdr>
          <w:bottom w:val="single" w:sz="6" w:space="6" w:color="2F5496"/>
        </w:pBdr>
        <w:spacing w:before="440"/>
      </w:pPr>
      <w:r>
        <w:rPr>
          <w:rFonts w:ascii="Calibri" w:hAnsi="Calibri" w:eastAsia="Calibri"/>
          <w:color w:val="2F5496"/>
        </w:rPr>
        <w:t>D-39 · D-32 decia «aplicado» y solo cuatro diagramas lo estaban</w:t>
      </w:r>
    </w:p>
    <w:p>
      <w:r>
        <w:rPr>
          <w:i/>
        </w:rPr>
        <w:t>Estado:</w:t>
      </w:r>
      <w:r>
        <w:t xml:space="preserve"> </w:t>
      </w:r>
      <w:r>
        <w:rPr>
          <w:rFonts w:ascii="Consolas" w:hAnsi="Consolas" w:eastAsia="Consolas"/>
          <w:sz w:val="21"/>
        </w:rPr>
        <w:t>aplicado</w:t>
      </w:r>
      <w:r>
        <w:t xml:space="preserve"> — los veintidós salen de Enterprise Architect, y también los dieciocho diagramas de caso de uso de 10.4.3.</w:t>
      </w:r>
    </w:p>
    <w:p>
      <w:r>
        <w:t>El diagnóstico de esta entrada estaba equivocado, y el equivocado era mío. Decía que las secuencias de EA tenían proporción 0,9 contra 2,5 las del documento, así que había que insertarlas a mano redimensionando una por una. Lo que pasaba es que los PNG en disco eran de una corrida vieja: al volver a construir el modelo, las trece salen con 2,55 · 2,41 · 2,22 · 2,46 y así, coincidiendo una por una con las del documento. No había nada que hacer a mano.</w:t>
      </w:r>
    </w:p>
    <w:p>
      <w:r>
        <w:t xml:space="preserve">Al mirarlo de cerca apareció algo peor y que ninguna medición mostraba: las secciones de CU-013 a CU-017 mostraban las cinco </w:t>
      </w:r>
      <w:r>
        <w:rPr>
          <w:b/>
        </w:rPr>
        <w:t>la misma imagen</w:t>
      </w:r>
      <w:r>
        <w:t xml:space="preserve">. Las secciones se habían clonado de la de CU-013 y la referencia a la imagen se clonó con ellas, así que apuntaban al mismo archivo dentro del </w:t>
      </w:r>
      <w:r>
        <w:rPr>
          <w:rFonts w:ascii="Consolas" w:hAnsi="Consolas" w:eastAsia="Consolas"/>
          <w:sz w:val="21"/>
        </w:rPr>
        <w:t>.docx</w:t>
      </w:r>
      <w:r>
        <w:t xml:space="preserve"> —escribir en él cambiaba las cinco a la vez—. Ahora hay dieciocho diagramas de caso de uso, uno por sección, generados desde el modelo.</w:t>
      </w:r>
    </w:p>
    <w:p>
      <w:r>
        <w:t>Y 10.4.7 pasa a ser tres diagramas en lugar de uno. El modelo exportaba las cinco capas una al lado de la otra, 1.436 px de ancho, que en una hoja de 15 cm deja la letra en menos de 3 pt. El corte es por dependencia y no por capa suelta —Api sobre BLL, Service como transversal, DAO sobre Domain—, así cada uno tiene las dos puntas de una relación y se entiende solo.</w:t>
      </w:r>
    </w:p>
    <w:p>
      <w:r>
        <w:rPr>
          <w:i/>
        </w:rPr>
        <w:t>Secciones:</w:t>
      </w:r>
      <w:r>
        <w:t xml:space="preserve"> 10.4.4 (secuencias) · 10.4.7 (clases de toda la solución)</w:t>
      </w:r>
    </w:p>
    <w:p>
      <w:r>
        <w:rPr>
          <w:b/>
        </w:rPr>
        <w:t>Cómo apareció.</w:t>
      </w:r>
      <w:r>
        <w:t xml:space="preserve"> Al ir a reemplazar los diagramas se comparó el md5 de cada imagen del </w:t>
      </w:r>
      <w:r>
        <w:rPr>
          <w:rFonts w:ascii="Consolas" w:hAnsi="Consolas" w:eastAsia="Consolas"/>
          <w:sz w:val="21"/>
        </w:rPr>
        <w:t>.docx</w:t>
      </w:r>
      <w:r>
        <w:t xml:space="preserve"> contra los PNG que exporta el modelo. De las 59 imágenes del documento, sólo </w:t>
      </w:r>
      <w:r>
        <w:rPr>
          <w:b/>
        </w:rPr>
        <w:t>cuatro</w:t>
      </w:r>
      <w:r>
        <w:t xml:space="preserve"> eran exactamente un archivo de EA: clases de bitácora, clases de permisos, componentes y despliegue. D-32 figuraba como aplicado desde que se generó el modelo, pero generar los diagramas y ponerlos en el documento son dos cosas distintas y sólo la primera había pasado.</w:t>
      </w:r>
    </w:p>
    <w:p>
      <w:r>
        <w:rPr>
          <w:b/>
        </w:rPr>
        <w:t>Qué se hizo el 09/09.</w:t>
      </w:r>
      <w:r>
        <w:t xml:space="preserve"> Se reemplazaron cuatro más —el de paquetes y los tres entidad-relación—, con lo que ya son ocho. El mapeo de los tres DER se resolvió comparando proporciones y no por el número de archivo: 0,82 contra 0,83 para equipos, 0,70 contra 0,71 para incidencias y 0,92 contra 0,93 para servicio. Esa verificación cumple dos funciones a la vez, porque el tamaño en página lo fija el XML del documento y no el archivo: si las proporciones no coincidieran, la imagen nueva entraría deformada.</w:t>
      </w:r>
    </w:p>
    <w:p>
      <w:r>
        <w:rPr>
          <w:b/>
        </w:rPr>
        <w:t>Lo que falta y por qué no se hizo por bytes.</w:t>
      </w:r>
      <w:r>
        <w:t xml:space="preserve"> Las trece secuencias del documento tienen proporción 2,5 y las de Enterprise Architect 0,9. Reemplazarlas sustituyendo el archivo las aplastaría a un tercio de su alto. Hay que insertarlas a mano en Word, redimensionando cada una. Lo mismo con 10.4.7, que tiene tres imágenes y el modelo exporta un solo diagrama de clases de la solución: hay que decidir si se parte en tres o si la sección pasa a tener una.</w:t>
      </w:r>
    </w:p>
    <w:p>
      <w:pPr>
        <w:pStyle w:val="Heading2"/>
        <w:pBdr>
          <w:bottom w:val="single" w:sz="6" w:space="6" w:color="2F5496"/>
        </w:pBdr>
        <w:spacing w:before="440"/>
      </w:pPr>
      <w:r>
        <w:rPr>
          <w:rFonts w:ascii="Calibri" w:hAnsi="Calibri" w:eastAsia="Calibri"/>
          <w:color w:val="2F5496"/>
        </w:rPr>
        <w:t>D-40 · Fuera los emojis y las flechas tipográficas</w:t>
      </w:r>
    </w:p>
    <w:p>
      <w:r>
        <w:rPr>
          <w:i/>
        </w:rPr>
        <w:t>Estado:</w:t>
      </w:r>
      <w:r>
        <w:t xml:space="preserve"> </w:t>
      </w:r>
      <w:r>
        <w:rPr>
          <w:rFonts w:ascii="Consolas" w:hAnsi="Consolas" w:eastAsia="Consolas"/>
          <w:sz w:val="21"/>
        </w:rPr>
        <w:t>aplicado</w:t>
      </w:r>
    </w:p>
    <w:p>
      <w:r>
        <w:rPr>
          <w:i/>
        </w:rPr>
        <w:t>Secciones:</w:t>
      </w:r>
      <w:r>
        <w:t xml:space="preserve"> 1.7 y 6.4.1 (embudo comercial) · anexo de gestión del proyecto · código fuente entregado</w:t>
      </w:r>
    </w:p>
    <w:p>
      <w:r>
        <w:rPr>
          <w:b/>
        </w:rPr>
        <w:t>Por qué.</w:t>
      </w:r>
      <w:r>
        <w:t xml:space="preserve"> Un emoji y una flecha tipográfica no se escriben con el teclado y dependen de una fuente que la máquina del lector puede no tener: en un PDF sin esa fuente salen como un cuadrado, y en una consola de Windows con página de códigos 1252 directamente rompen el proceso. Este proyecto ya se cayó una vez imprimiendo un signo menos tipográfico, así que no es una hipótesis.</w:t>
      </w:r>
    </w:p>
    <w:p>
      <w:r>
        <w:rPr>
          <w:b/>
        </w:rPr>
        <w:t>Qué se cambió.</w:t>
      </w:r>
      <w:r>
        <w:t xml:space="preserve"> En el código, las cuatro flechas que quedaban —la del comentario de </w:t>
      </w:r>
      <w:r>
        <w:rPr>
          <w:rFonts w:ascii="Consolas" w:hAnsi="Consolas" w:eastAsia="Consolas"/>
          <w:sz w:val="21"/>
        </w:rPr>
        <w:t>FactoryDao</w:t>
      </w:r>
      <w:r>
        <w:t xml:space="preserve">, las dos de los mensajes de cambio de estado de equipo e incidencia, y la de la recomendación en la pantalla Predictivo— pasan a </w:t>
      </w:r>
      <w:r>
        <w:rPr>
          <w:rFonts w:ascii="Consolas" w:hAnsi="Consolas" w:eastAsia="Consolas"/>
          <w:sz w:val="21"/>
        </w:rPr>
        <w:t>-&gt;</w:t>
      </w:r>
      <w:r>
        <w:t xml:space="preserve">. Las marcas de avance del ROADMAP y de los casos de prueba pasan de emoji a las marcas de las listas de tareas de Markdown: </w:t>
      </w:r>
      <w:r>
        <w:rPr>
          <w:rFonts w:ascii="Consolas" w:hAnsi="Consolas" w:eastAsia="Consolas"/>
          <w:sz w:val="21"/>
        </w:rPr>
        <w:t>[x]</w:t>
      </w:r>
      <w:r>
        <w:t xml:space="preserve">, </w:t>
      </w:r>
      <w:r>
        <w:rPr>
          <w:rFonts w:ascii="Consolas" w:hAnsi="Consolas" w:eastAsia="Consolas"/>
          <w:sz w:val="21"/>
        </w:rPr>
        <w:t>[~]</w:t>
      </w:r>
      <w:r>
        <w:t xml:space="preserve"> y </w:t>
      </w:r>
      <w:r>
        <w:rPr>
          <w:rFonts w:ascii="Consolas" w:hAnsi="Consolas" w:eastAsia="Consolas"/>
          <w:sz w:val="21"/>
        </w:rPr>
        <w:t>[ ]</w:t>
      </w:r>
      <w:r>
        <w:t xml:space="preserve">, más </w:t>
      </w:r>
      <w:r>
        <w:rPr>
          <w:rFonts w:ascii="Consolas" w:hAnsi="Consolas" w:eastAsia="Consolas"/>
          <w:sz w:val="21"/>
        </w:rPr>
        <w:t>OK</w:t>
      </w:r>
      <w:r>
        <w:t xml:space="preserve"> y </w:t>
      </w:r>
      <w:r>
        <w:rPr>
          <w:rFonts w:ascii="Consolas" w:hAnsi="Consolas" w:eastAsia="Consolas"/>
          <w:sz w:val="21"/>
        </w:rPr>
        <w:t>FALLA</w:t>
      </w:r>
      <w:r>
        <w:t xml:space="preserve"> para el resultado de cada prueba. En el documento se reescribieron las seis frases del embudo y del cuadro de metas que usaban la flecha como conector.</w:t>
      </w:r>
    </w:p>
    <w:p>
      <w:r>
        <w:rPr>
          <w:b/>
        </w:rPr>
        <w:t>Lo que se aprovechó.</w:t>
      </w:r>
      <w:r>
        <w:t xml:space="preserve"> Tres de esas seis frases nombraban las etapas del embudo con palabras distintas a las de la hoja de cálculo —«Visitantes web», «Cliente pago»— y ahora dicen exactamente lo que dice la fila del Excel: «Visitas a prueba gratuita iniciada» y «Prueba gratuita a cliente pago». Que el documento y el modelo llamen distinto a la misma fila es justo lo que el control de alineación busca.</w:t>
      </w:r>
    </w:p>
    <w:p>
      <w:r>
        <w:rPr>
          <w:b/>
        </w:rPr>
        <w:t>Verificación.</w:t>
      </w:r>
      <w:r>
        <w:t xml:space="preserve"> El barrido sobre los quince </w:t>
      </w:r>
      <w:r>
        <w:rPr>
          <w:rFonts w:ascii="Consolas" w:hAnsi="Consolas" w:eastAsia="Consolas"/>
          <w:sz w:val="21"/>
        </w:rPr>
        <w:t>.docx</w:t>
      </w:r>
      <w:r>
        <w:t xml:space="preserve"> y los dieciséis PDF del paquete no encuentra ningún emoji ni ninguna flecha. Sobre los 164 archivos de código del ZIP de la entrega queda </w:t>
      </w:r>
      <w:r>
        <w:rPr>
          <w:b/>
        </w:rPr>
        <w:t>uno solo</w:t>
      </w:r>
      <w:r>
        <w:t xml:space="preserve">, y a propósito: el literal de </w:t>
      </w:r>
      <w:r>
        <w:rPr>
          <w:rFonts w:ascii="Consolas" w:hAnsi="Consolas" w:eastAsia="Consolas"/>
          <w:sz w:val="21"/>
        </w:rPr>
        <w:t>CifradoTests.cs</w:t>
      </w:r>
      <w:r>
        <w:t>, que es el dato con el que se prueba que el cifrado AES-256-GCM soporte acentos, emojis y separadores. Sacarlo debilitaría la prueba.</w:t>
      </w:r>
    </w:p>
    <w:p>
      <w:r>
        <w:rPr>
          <w:b/>
        </w:rPr>
        <w:t>Lo que además quedó al día.</w:t>
      </w:r>
      <w:r>
        <w:t xml:space="preserve"> </w:t>
      </w:r>
      <w:r>
        <w:rPr>
          <w:rFonts w:ascii="Consolas" w:hAnsi="Consolas" w:eastAsia="Consolas"/>
          <w:sz w:val="21"/>
        </w:rPr>
        <w:t>PATRONES-Y-PRINCIPIOS.md</w:t>
      </w:r>
      <w:r>
        <w:t xml:space="preserve"> traía la verificación del 02/09 y afirmaba que no había integración continua, que Docker cubría sólo la base de datos y que la suite tenía 199 pruebas. Las tres cosas dejaron de ser ciertas: hay cinco trabajos de CI sobre cada push, </w:t>
      </w:r>
      <w:r>
        <w:rPr>
          <w:rFonts w:ascii="Consolas" w:hAnsi="Consolas" w:eastAsia="Consolas"/>
          <w:sz w:val="21"/>
        </w:rPr>
        <w:t>docker compose up --build</w:t>
      </w:r>
      <w:r>
        <w:t xml:space="preserve"> levanta las cuatro piezas, y la suite está en 281 pruebas en verde —250 del backend y 31 del frontend—. Una tabla de estado desactualizada es peor que no tenerla, porque en la defensa la contradice el propio repositorio.</w:t>
      </w:r>
    </w:p>
    <w:p>
      <w:pPr>
        <w:pStyle w:val="Heading2"/>
        <w:pBdr>
          <w:bottom w:val="single" w:sz="6" w:space="6" w:color="2F5496"/>
        </w:pBdr>
        <w:spacing w:before="440"/>
      </w:pPr>
      <w:r>
        <w:rPr>
          <w:rFonts w:ascii="Calibri" w:hAnsi="Calibri" w:eastAsia="Calibri"/>
          <w:color w:val="2F5496"/>
        </w:rPr>
        <w:t>D-41 · La sección financiera se contradecía a sí misma</w:t>
      </w:r>
    </w:p>
    <w:p>
      <w:r>
        <w:rPr>
          <w:i/>
        </w:rPr>
        <w:t>Estado:</w:t>
      </w:r>
      <w:r>
        <w:t xml:space="preserve"> </w:t>
      </w:r>
      <w:r>
        <w:rPr>
          <w:rFonts w:ascii="Consolas" w:hAnsi="Consolas" w:eastAsia="Consolas"/>
          <w:sz w:val="21"/>
        </w:rPr>
        <w:t>aplicado</w:t>
      </w:r>
      <w:r>
        <w:t xml:space="preserve"> — las tablas 9, 10 y 11 salen del presupuesto y la prosa de alrededor dice los mismos números (09/09)</w:t>
      </w:r>
    </w:p>
    <w:p>
      <w:r>
        <w:rPr>
          <w:b/>
        </w:rPr>
        <w:t>Sección del documento:</w:t>
      </w:r>
      <w:r>
        <w:t xml:space="preserve"> 7.7 (presupuesto y punto de equilibrio)</w:t>
      </w:r>
    </w:p>
    <w:p>
      <w:r>
        <w:rPr>
          <w:b/>
        </w:rPr>
        <w:t>Decía hoy:</w:t>
      </w:r>
      <w:r>
        <w:t xml:space="preserve"> las tres tablas traían la estructura de costos anterior a D-33</w:t>
      </w:r>
    </w:p>
    <w:p>
      <w:r>
        <w:t>—ARS 45,9 millones de recursos humanos y ARS 53,6 de egresos en el primer año, y un salto de personal «por más de cinco» entre E2 y E3— mientras los párrafos de la misma sección ya citaban el punto de equilibrio en 135 clientes, el capital de ARS 156,2 millones y el valor actual neto de 184,7. Adentro de una sección, las tablas decían una cosa y los párrafos de al lado otra.</w:t>
      </w:r>
    </w:p>
    <w:p>
      <w:r>
        <w:rPr>
          <w:b/>
        </w:rPr>
        <w:t>Tiene que decir:</w:t>
      </w:r>
      <w:r>
        <w:t xml:space="preserve"> los números del modelo. Las tres tablas se rehicieron</w:t>
      </w:r>
    </w:p>
    <w:p>
      <w:r>
        <w:t>promediando los meses de cada etapa del presupuesto —E0 son los meses 1 y 2, E1 del 3 al 5, E2 del 6 al 8 y E3 del 9 al 12—, y suman ARS 32,4 millones de egresos y ARS 10,4 de ingresos en el año 1, con un resultado operativo de −22,0. Es lo mismo que informa la Entrega 1 de negocio.</w:t>
      </w:r>
    </w:p>
    <w:p>
      <w:r>
        <w:rPr>
          <w:b/>
        </w:rPr>
        <w:t>Por qué:</w:t>
      </w:r>
      <w:r>
        <w:t xml:space="preserve"> cuando el modelo se recalibró (D-33) se actualizó la prosa de 7.7 y</w:t>
      </w:r>
    </w:p>
    <w:p>
      <w:r>
        <w:t xml:space="preserve">no las tablas. Nadie lo vio porque las dos partes son coherentes por separado: hay que sumar los doce meses de la tabla y compararlos con el libro para que aparezca. </w:t>
      </w:r>
      <w:r>
        <w:rPr>
          <w:rFonts w:ascii="Consolas" w:hAnsi="Consolas" w:eastAsia="Consolas"/>
          <w:sz w:val="21"/>
        </w:rPr>
        <w:t>docs/negocio/README.md</w:t>
      </w:r>
      <w:r>
        <w:t xml:space="preserve"> lo tenía anotado —«la reconciliación ya no cierra... los dos números hay que rehacerlos en el documento»— y esa nota quedó pendiente tres iteraciones.</w:t>
      </w:r>
    </w:p>
    <w:p>
      <w:r>
        <w:rPr>
          <w:b/>
        </w:rPr>
        <w:t>Lo que además se declaró.</w:t>
      </w:r>
      <w:r>
        <w:t xml:space="preserve"> El documento fija 25 clientes pagos al mes 12 y el modelo proyecta 22,8, un 8,9 % por debajo. La Entrega 1 lo dice con su motivo —haber sacado la demostración comercial del embudo baja la conversión— y el </w:t>
      </w:r>
      <w:r>
        <w:rPr>
          <w:rFonts w:ascii="Consolas" w:hAnsi="Consolas" w:eastAsia="Consolas"/>
          <w:sz w:val="21"/>
        </w:rPr>
        <w:t>.docx</w:t>
      </w:r>
      <w:r>
        <w:t xml:space="preserve"> no lo decía. Ahora la meta se sostiene como objetivo y la diferencia queda escrita, que es distinto de presentar la proyección como si coincidiera.</w:t>
      </w:r>
    </w:p>
    <w:p>
      <w:pPr>
        <w:pStyle w:val="Heading2"/>
        <w:pBdr>
          <w:bottom w:val="single" w:sz="6" w:space="6" w:color="2F5496"/>
        </w:pBdr>
        <w:spacing w:before="440"/>
      </w:pPr>
      <w:r>
        <w:rPr>
          <w:rFonts w:ascii="Calibri" w:hAnsi="Calibri" w:eastAsia="Calibri"/>
          <w:color w:val="2F5496"/>
        </w:rPr>
        <w:t>D-42 · Lo que encontró la revisión de coherencia</w:t>
      </w:r>
    </w:p>
    <w:p>
      <w:r>
        <w:rPr>
          <w:i/>
        </w:rPr>
        <w:t>Estado:</w:t>
      </w:r>
      <w:r>
        <w:t xml:space="preserve"> </w:t>
      </w:r>
      <w:r>
        <w:rPr>
          <w:rFonts w:ascii="Consolas" w:hAnsi="Consolas" w:eastAsia="Consolas"/>
          <w:sz w:val="21"/>
        </w:rPr>
        <w:t>aplicado</w:t>
      </w:r>
      <w:r>
        <w:t xml:space="preserve"> — los seis arreglos están en el </w:t>
      </w:r>
      <w:r>
        <w:rPr>
          <w:rFonts w:ascii="Consolas" w:hAnsi="Consolas" w:eastAsia="Consolas"/>
          <w:sz w:val="21"/>
        </w:rPr>
        <w:t>.docx</w:t>
      </w:r>
      <w:r>
        <w:t xml:space="preserve"> y los dos controles nuevos pasan (09/09)</w:t>
      </w:r>
    </w:p>
    <w:p>
      <w:r>
        <w:rPr>
          <w:b/>
        </w:rPr>
        <w:t>Sección del documento:</w:t>
      </w:r>
      <w:r>
        <w:t xml:space="preserve"> 6.6.2 · 7.7 · 10.4.10 · capítulos 4 a 7 (referencias</w:t>
      </w:r>
    </w:p>
    <w:p>
      <w:r>
        <w:t>cruzadas) · documento completo (índice)</w:t>
      </w:r>
    </w:p>
    <w:p>
      <w:r>
        <w:rPr>
          <w:b/>
        </w:rPr>
        <w:t>Qué se encontró</w:t>
      </w:r>
      <w:r>
        <w:t>, leyendo el paquete completo con el criterio de alguien de afuera:</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Hallazgo</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Dónde</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Qué se hizo</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El apartado 7.7.1 estaba insertado justo después del título de 7.7, así que el presupuesto, los ingresos, el resultado y el punto de equilibrio colgaban de un título que habla del valor terminal</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7.7</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El apartado pasa al final de la sección, que es además donde corresponde: es la conclusión de la evaluación</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El CP-15 no tenía título y su tabla estaba rotulada «CP-14 (continuación)»</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10.4.10</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Se agrega </w:t>
            </w:r>
            <w:r>
              <w:rPr>
                <w:rFonts w:ascii="Consolas" w:hAnsi="Consolas" w:eastAsia="Consolas"/>
                <w:sz w:val="19"/>
              </w:rPr>
              <w:t>10.4.10.15</w:t>
            </w:r>
            <w:r>
              <w:rPr>
                <w:rFonts w:ascii="Calibri" w:hAnsi="Calibri" w:eastAsia="Calibri"/>
                <w:sz w:val="20"/>
              </w:rPr>
              <w:t xml:space="preserve"> y el epígrafe dice lo que la tabla contiene</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Nueve referencias cruzadas apuntaban a apartados que no existen —</w:t>
            </w:r>
            <w:r>
              <w:rPr>
                <w:rFonts w:ascii="Consolas" w:hAnsi="Consolas" w:eastAsia="Consolas"/>
                <w:sz w:val="19"/>
              </w:rPr>
              <w:t>5.3.2</w:t>
            </w:r>
            <w:r>
              <w:rPr>
                <w:rFonts w:ascii="Calibri" w:hAnsi="Calibri" w:eastAsia="Calibri"/>
                <w:sz w:val="20"/>
              </w:rPr>
              <w:t xml:space="preserve">, </w:t>
            </w:r>
            <w:r>
              <w:rPr>
                <w:rFonts w:ascii="Consolas" w:hAnsi="Consolas" w:eastAsia="Consolas"/>
                <w:sz w:val="19"/>
              </w:rPr>
              <w:t>5.3.3</w:t>
            </w:r>
            <w:r>
              <w:rPr>
                <w:rFonts w:ascii="Calibri" w:hAnsi="Calibri" w:eastAsia="Calibri"/>
                <w:sz w:val="20"/>
              </w:rPr>
              <w:t xml:space="preserve">, </w:t>
            </w:r>
            <w:r>
              <w:rPr>
                <w:rFonts w:ascii="Consolas" w:hAnsi="Consolas" w:eastAsia="Consolas"/>
                <w:sz w:val="19"/>
              </w:rPr>
              <w:t>5.3.5</w:t>
            </w:r>
            <w:r>
              <w:rPr>
                <w:rFonts w:ascii="Calibri" w:hAnsi="Calibri" w:eastAsia="Calibri"/>
                <w:sz w:val="20"/>
              </w:rPr>
              <w:t xml:space="preserve">, </w:t>
            </w:r>
            <w:r>
              <w:rPr>
                <w:rFonts w:ascii="Consolas" w:hAnsi="Consolas" w:eastAsia="Consolas"/>
                <w:sz w:val="19"/>
              </w:rPr>
              <w:t>5.3.6</w:t>
            </w:r>
            <w:r>
              <w:rPr>
                <w:rFonts w:ascii="Calibri" w:hAnsi="Calibri" w:eastAsia="Calibri"/>
                <w:sz w:val="20"/>
              </w:rPr>
              <w:t>— desde que el capítulo 5 se renumeró</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4.2, 6.1, 6.5.2, 6.5.3, 7, 7.1, 7.7</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Cada una apunta a su destino real; la de 4.2 iba a 6.2 y no al capítulo 5</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Seis títulos vacíos, que salen en el índice como renglones en blanco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1.2, 10.3.2, 10.4.4, 10.4.9, 10.5.1</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Se sacan</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El título de 6.6.2 traía basura de codificación: los apóstrofos de «7 C's» eran diéresis sueltas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6.6.2</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«7 C»</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Los manuales decían que esperaras 131 pruebas del backend y 24 del frontend, y salen 257 y 34; el documento de patrones declaraba 253; la revisión OWASP, 197</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Manuales, patrones, OWASP</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Al día, y con un control que lo compara contra la corrida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La insignia de pruebas de la hoja de ruta decía «175 + 24» desde que se escribió</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ROADMAP</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Se cuenta: el backend sale del documento que genera la corrida y el frontend de los archivos de prueba</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El plan de sprints describía ocho sprints y el backlog tiene diez; el décimo figuraba como colchón «sin alcance asignado» y tiene diecisiete historias terminadas</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Plan de sprints</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Se agrega S10 con lo que efectivamente absorbió, y la nota de que el trabajo se adelantó al calendario</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El README declaraba 11 ADR con 14, 19 deltas con 43, 16 prompts críticos con 18 y 53 historias con 88</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README</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Al día, y con el control 17 que cuenta las cuatro cosas de su fuente</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El guion de la defensa contestaba «el VAN da −48 millones» y «los usuarios concurrentes no están medidos», las dos falsas; la presentación enumeraba cuatro pendientes de los cuales tres estaban resueltos</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Guion y presentación</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Al día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El panel de obra mostraba 71 de 76 historias, 227 pruebas y el diagrama de sprints con S6 a S9 sin empezar</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Panel de obra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docs/panel/_actualizar-cifras.py</w:t>
            </w:r>
            <w:r>
              <w:rPr>
                <w:rFonts w:ascii="Calibri" w:hAnsi="Calibri" w:eastAsia="Calibri"/>
                <w:sz w:val="20"/>
              </w:rPr>
              <w:t xml:space="preserve"> cuenta cada cifra de su fuente y redibuja las barras</w:t>
            </w:r>
          </w:p>
        </w:tc>
      </w:tr>
    </w:tbl>
    <w:p>
      <w:pPr>
        <w:spacing w:after="80"/>
      </w:pPr>
    </w:p>
    <w:p>
      <w:r>
        <w:rPr>
          <w:b/>
        </w:rPr>
        <w:t>Los dos controles que deja.</w:t>
      </w:r>
      <w:r>
        <w:t xml:space="preserve"> El 15 verifica que toda referencia a un apartado numerado apunte a un título que existe: una mención rota no falla, manda al lector a buscar algo que no está, y en una defensa eso es una pregunta. El 16 compara la cantidad de pruebas que declara cada documento contra el total de la corrida. Los dos se probaron en rojo antes de darlos por buenos.</w:t>
      </w:r>
    </w:p>
    <w:p>
      <w:pPr>
        <w:pStyle w:val="Heading2"/>
        <w:pBdr>
          <w:bottom w:val="single" w:sz="6" w:space="6" w:color="2F5496"/>
        </w:pBdr>
        <w:spacing w:before="440"/>
      </w:pPr>
      <w:r>
        <w:rPr>
          <w:rFonts w:ascii="Calibri" w:hAnsi="Calibri" w:eastAsia="Calibri"/>
          <w:color w:val="2F5496"/>
        </w:rPr>
        <w:t>D-43 · El multiidioma no cumplía lo que el requisito promete</w:t>
      </w:r>
    </w:p>
    <w:p>
      <w:r>
        <w:rPr>
          <w:i/>
        </w:rPr>
        <w:t>Estado:</w:t>
      </w:r>
      <w:r>
        <w:t xml:space="preserve"> </w:t>
      </w:r>
      <w:r>
        <w:rPr>
          <w:rFonts w:ascii="Consolas" w:hAnsi="Consolas" w:eastAsia="Consolas"/>
          <w:sz w:val="21"/>
        </w:rPr>
        <w:t>aplicado</w:t>
      </w:r>
      <w:r>
        <w:t xml:space="preserve"> — el tablero manda claves, el diccionario tiene las 739, y la medición sobre el sistema corriendo da cero (09/09)</w:t>
      </w:r>
    </w:p>
    <w:p>
      <w:r>
        <w:rPr>
          <w:b/>
        </w:rPr>
        <w:t>Sección del documento:</w:t>
      </w:r>
      <w:r>
        <w:t xml:space="preserve"> 10.2.5 (RNF de internacionalización) · 10.3.2.1</w:t>
      </w:r>
    </w:p>
    <w:p>
      <w:r>
        <w:t>(Multiidioma)</w:t>
      </w:r>
    </w:p>
    <w:p>
      <w:r>
        <w:rPr>
          <w:b/>
        </w:rPr>
        <w:t>Dice hoy:</w:t>
      </w:r>
      <w:r>
        <w:t xml:space="preserve"> «la incorporación de un nuevo idioma no requiere modificaciones en</w:t>
      </w:r>
    </w:p>
    <w:p>
      <w:r>
        <w:t>la lógica de la aplicación, sino únicamente la traducción del archivo correspondiente».</w:t>
      </w:r>
    </w:p>
    <w:p>
      <w:r>
        <w:rPr>
          <w:b/>
        </w:rPr>
        <w:t>Tiene que decir:</w:t>
      </w:r>
      <w:r>
        <w:t xml:space="preserve"> lo mismo. Lo que cambió es el sistema, que no lo cumplía.</w:t>
      </w:r>
    </w:p>
    <w:p>
      <w:r>
        <w:rPr>
          <w:b/>
        </w:rPr>
        <w:t>Por qué:</w:t>
      </w:r>
      <w:r>
        <w:t xml:space="preserve"> con la interfaz en castellano todo se leía bien, y ese es el punto.</w:t>
      </w:r>
    </w:p>
    <w:p>
      <w:r>
        <w:t xml:space="preserve">Puesta en inglés quedaban en castellano los cuatro indicadores del tablero —que </w:t>
      </w:r>
      <w:r>
        <w:rPr>
          <w:rFonts w:ascii="Consolas" w:hAnsi="Consolas" w:eastAsia="Consolas"/>
          <w:sz w:val="21"/>
        </w:rPr>
        <w:t>PrediccionBusiness</w:t>
      </w:r>
      <w:r>
        <w:t xml:space="preserve"> armaba como frases, de modo que sumar un idioma pedía editar una clase de la capa de negocio—, unos noventa rótulos del frontend y treinta y cuatro claves que el código pedía y nadie había cargado en el diccionario. El control que vigilaba esto informaba cero: su heurística exigía un acento, una eñe o un artículo, y «Estado operativo», «Fallos seguidos» o «Configurar reglas» no tienen ninguno.</w:t>
      </w:r>
    </w:p>
    <w:p>
      <w:r>
        <w:rPr>
          <w:b/>
        </w:rPr>
        <w:t>Cómo quedó.</w:t>
      </w:r>
      <w:r>
        <w:t xml:space="preserve"> Los indicadores viajan como clave con los números aparte —en inglés el número va delante del sustantivo y en castellano detrás, así que concatenar no alcanza—. La detección mira además los rótulos sin acento, las props propias que llevan texto visible (</w:t>
      </w:r>
      <w:r>
        <w:rPr>
          <w:rFonts w:ascii="Consolas" w:hAnsi="Consolas" w:eastAsia="Consolas"/>
          <w:sz w:val="21"/>
        </w:rPr>
        <w:t>titulo</w:t>
      </w:r>
      <w:r>
        <w:t xml:space="preserve">, </w:t>
      </w:r>
      <w:r>
        <w:rPr>
          <w:rFonts w:ascii="Consolas" w:hAnsi="Consolas" w:eastAsia="Consolas"/>
          <w:sz w:val="21"/>
        </w:rPr>
        <w:t>contexto</w:t>
      </w:r>
      <w:r>
        <w:t xml:space="preserve">, </w:t>
      </w:r>
      <w:r>
        <w:rPr>
          <w:rFonts w:ascii="Consolas" w:hAnsi="Consolas" w:eastAsia="Consolas"/>
          <w:sz w:val="21"/>
        </w:rPr>
        <w:t>etiqueta</w:t>
      </w:r>
      <w:r>
        <w:t xml:space="preserve">, </w:t>
      </w:r>
      <w:r>
        <w:rPr>
          <w:rFonts w:ascii="Consolas" w:hAnsi="Consolas" w:eastAsia="Consolas"/>
          <w:sz w:val="21"/>
        </w:rPr>
        <w:t>detalle</w:t>
      </w:r>
      <w:r>
        <w:t xml:space="preserve">) y ya no descarta un párrafo por tener un punto y coma. Y hay tres redes nuevas: una prueba de backend que exige que el tablero mande claves, el control 15 de alineación que compara cada clave pedida contra el seed, y </w:t>
      </w:r>
      <w:r>
        <w:rPr>
          <w:rFonts w:ascii="Consolas" w:hAnsi="Consolas" w:eastAsia="Consolas"/>
          <w:sz w:val="21"/>
        </w:rPr>
        <w:t>npm run idioma</w:t>
      </w:r>
      <w:r>
        <w:t>, que abre el sistema en los dos idiomas y compara pantalla contra pantalla descartando lo que mandó la API. Ese último es el que encuentra lo que la heurística no ve, porque mide en lugar de deducir. Da cero.</w:t>
      </w:r>
    </w:p>
    <w:p>
      <w:pPr>
        <w:pStyle w:val="Heading2"/>
        <w:pBdr>
          <w:bottom w:val="single" w:sz="6" w:space="6" w:color="2F5496"/>
        </w:pBdr>
        <w:spacing w:before="440"/>
      </w:pPr>
      <w:r>
        <w:rPr>
          <w:rFonts w:ascii="Calibri" w:hAnsi="Calibri" w:eastAsia="Calibri"/>
          <w:color w:val="2F5496"/>
        </w:rPr>
        <w:t>D-44 · Lo que quedaba abierto de OWASP, y la capa de negocio</w:t>
      </w:r>
    </w:p>
    <w:p>
      <w:r>
        <w:rPr>
          <w:i/>
        </w:rPr>
        <w:t>Estado:</w:t>
      </w:r>
      <w:r>
        <w:t xml:space="preserve"> </w:t>
      </w:r>
      <w:r>
        <w:rPr>
          <w:rFonts w:ascii="Consolas" w:hAnsi="Consolas" w:eastAsia="Consolas"/>
          <w:sz w:val="21"/>
        </w:rPr>
        <w:t>aplicado fuera del .docx</w:t>
      </w:r>
      <w:r>
        <w:t xml:space="preserve"> — vive en «Verificación del sistema» y en el código; el documento principal no describe los parámetros de derivación ni la configuración del proxy, y no tiene por qué (11/09)</w:t>
      </w:r>
    </w:p>
    <w:p>
      <w:r>
        <w:rPr>
          <w:b/>
        </w:rPr>
        <w:t>Sección del documento:</w:t>
      </w:r>
      <w:r>
        <w:t xml:space="preserve"> ninguna. Se anota igual porque cambia lo que el</w:t>
      </w:r>
    </w:p>
    <w:p>
      <w:r>
        <w:t>paquete afirma sobre sí mismo, y eso es lo que este registro sigue.</w:t>
      </w:r>
    </w:p>
    <w:p>
      <w:r>
        <w:rPr>
          <w:b/>
        </w:rPr>
        <w:t>Qué decía la revisión OWASP:</w:t>
      </w:r>
      <w:r>
        <w:t xml:space="preserve"> que A02 quedaba con dos reparos —«falta TLS</w:t>
      </w:r>
    </w:p>
    <w:p>
      <w:r>
        <w:t>propio» e «iteraciones por debajo de OWASP»— y que A08 estaba «sin cubrir en la cadena de build».</w:t>
      </w:r>
    </w:p>
    <w:p>
      <w:r>
        <w:rPr>
          <w:b/>
        </w:rPr>
        <w:t>Qué dice ahora:</w:t>
      </w:r>
    </w:p>
    <w:p>
      <w:r>
        <w:rPr>
          <w:i/>
        </w:rPr>
        <w:t>Iteraciones.</w:t>
      </w:r>
      <w:r>
        <w:t xml:space="preserve"> PBKDF2 pasa de 120.000 a </w:t>
      </w:r>
      <w:r>
        <w:rPr>
          <w:b/>
        </w:rPr>
        <w:t>600.000</w:t>
      </w:r>
      <w:r>
        <w:t xml:space="preserve">, la recomendación de la </w:t>
      </w:r>
      <w:r>
        <w:rPr>
          <w:i/>
        </w:rPr>
        <w:t>Password Storage Cheat Sheet</w:t>
      </w:r>
      <w:r>
        <w:t xml:space="preserve">. Subirlo solo no alcanzaba: el número viaja adentro del hash y cada uno se verifica con el suyo, así que los usuarios ya creados se quedaban con el hash débil para siempre. El sistema </w:t>
      </w:r>
      <w:r>
        <w:rPr>
          <w:b/>
        </w:rPr>
        <w:t>vuelve a derivar el hash cuando la persona entra</w:t>
      </w:r>
      <w:r>
        <w:t>, que es el único momento en que la contraseña en claro existe, y los datos iniciales ya se generan con 600.000.</w:t>
      </w:r>
    </w:p>
    <w:p>
      <w:r>
        <w:rPr>
          <w:i/>
        </w:rPr>
        <w:t>TLS.</w:t>
      </w:r>
      <w:r>
        <w:t xml:space="preserve"> Deja de ser una ausencia y pasa a ser una configuración que no está activa. </w:t>
      </w:r>
      <w:r>
        <w:rPr>
          <w:rFonts w:ascii="Consolas" w:hAnsi="Consolas" w:eastAsia="Consolas"/>
          <w:sz w:val="21"/>
        </w:rPr>
        <w:t>frontend/nginx-tls.conf</w:t>
      </w:r>
      <w:r>
        <w:t xml:space="preserve"> trae el servidor de 443 con TLS 1.2 y 1.3, la lista de cifrados, la redirección desde el 80 y HSTS a un año. No se activa en la imagen porque en </w:t>
      </w:r>
      <w:r>
        <w:rPr>
          <w:rFonts w:ascii="Consolas" w:hAnsi="Consolas" w:eastAsia="Consolas"/>
          <w:sz w:val="21"/>
        </w:rPr>
        <w:t>localhost</w:t>
      </w:r>
      <w:r>
        <w:t xml:space="preserve"> el único certificado posible es autofirmado, y eso agrega una advertencia del navegador en medio de la defensa sin proteger nada.</w:t>
      </w:r>
    </w:p>
    <w:p>
      <w:r>
        <w:rPr>
          <w:i/>
        </w:rPr>
        <w:t>Dependencias.</w:t>
      </w:r>
      <w:r>
        <w:t xml:space="preserve"> El árbol completo queda congelado con su hash y la integración continua restaura en modo bloqueado, igual que la imagen de la API. Actualizar una dependencia pasa a ser un cambio visible en el repositorio.</w:t>
      </w:r>
    </w:p>
    <w:p>
      <w:r>
        <w:rPr>
          <w:b/>
        </w:rPr>
        <w:t>Y la capa de negocio.</w:t>
      </w:r>
      <w:r>
        <w:t xml:space="preserve"> Era la de menor cobertura de las cinco y sube de 23,7 % a 29,1 %, con el total del proyecto de 49,4 % a 51,4 %. Son veintidós pruebas sobre reglas con un motivo que no se ve en el código —la garantía anterior a la compra, la baja por la puerta del cambio de estado— y no sobre lo más fácil de cubrir. Apareció además una prueba intermitente que ya estaba: dos clases movían el contador de intentos fallidos del mismo usuario en paralelo.</w:t>
      </w:r>
    </w:p>
    <w:p>
      <w:r>
        <w:rPr>
          <w:b/>
        </w:rPr>
        <w:t>Lo que sigue abierto y declarado:</w:t>
      </w:r>
      <w:r>
        <w:t xml:space="preserve"> A07, el segundo factor, que es</w:t>
      </w:r>
    </w:p>
    <w:p>
      <w:r>
        <w:t>consecuencia del ADR 0014; y la firma de artefactos de A08.</w:t>
      </w:r>
    </w:p>
    <w:p>
      <w:pPr>
        <w:pStyle w:val="Heading2"/>
        <w:pBdr>
          <w:bottom w:val="single" w:sz="6" w:space="6" w:color="2F5496"/>
        </w:pBdr>
        <w:spacing w:before="440"/>
      </w:pPr>
      <w:r>
        <w:rPr>
          <w:rFonts w:ascii="Calibri" w:hAnsi="Calibri" w:eastAsia="Calibri"/>
          <w:color w:val="2F5496"/>
        </w:rPr>
        <w:t>D-45 · El mantenimiento deja de ser sólo un registro: entra el plan y la agenda</w:t>
      </w:r>
    </w:p>
    <w:p>
      <w:r>
        <w:rPr>
          <w:i/>
        </w:rPr>
        <w:t>Estado:</w:t>
      </w:r>
      <w:r>
        <w:t xml:space="preserve"> </w:t>
      </w:r>
      <w:r>
        <w:rPr>
          <w:rFonts w:ascii="Consolas" w:hAnsi="Consolas" w:eastAsia="Consolas"/>
          <w:sz w:val="21"/>
        </w:rPr>
        <w:t>aplicado</w:t>
      </w:r>
      <w:r>
        <w:t xml:space="preserve"> — el documento tiene el RF-16 en la tabla de requerimientos, los CU-019 y CU-020 en 10.4.3 con sus flujos, el CP-16 en 10.4.10.16, la pantalla de la agenda en 10.5.1.5 y la de planes en 10.5.1.10.3, y el DER de equipos ya trae </w:t>
      </w:r>
      <w:r>
        <w:rPr>
          <w:rFonts w:ascii="Consolas" w:hAnsi="Consolas" w:eastAsia="Consolas"/>
          <w:sz w:val="21"/>
        </w:rPr>
        <w:t>PlanMantenimiento</w:t>
      </w:r>
      <w:r>
        <w:t xml:space="preserve"> y </w:t>
      </w:r>
      <w:r>
        <w:rPr>
          <w:rFonts w:ascii="Consolas" w:hAnsi="Consolas" w:eastAsia="Consolas"/>
          <w:sz w:val="21"/>
        </w:rPr>
        <w:t>MantenimientoProgramado</w:t>
      </w:r>
      <w:r>
        <w:t xml:space="preserve">. Falta sólo el diagrama de secuencia de los dos casos de uso, que se dibuja en Enterprise Architect y está anotado en </w:t>
      </w:r>
      <w:r>
        <w:rPr>
          <w:rFonts w:ascii="Consolas" w:hAnsi="Consolas" w:eastAsia="Consolas"/>
          <w:sz w:val="21"/>
        </w:rPr>
        <w:t>PENDIENTE.md</w:t>
      </w:r>
    </w:p>
    <w:p>
      <w:r>
        <w:rPr>
          <w:i/>
        </w:rPr>
        <w:t>Secciones:</w:t>
      </w:r>
      <w:r>
        <w:t xml:space="preserve"> 10.2.2 (RF-16 nuevo) · 10.2.3 (CU-019 y CU-020 nuevos) · 10.4.7 (DER de negocio: dos entidades) · 10.5 (dos pantallas nuevas) · 10.6 (casos de prueba)</w:t>
      </w:r>
    </w:p>
    <w:p>
      <w:r>
        <w:rPr>
          <w:b/>
        </w:rPr>
        <w:t>Dice hoy:</w:t>
      </w:r>
      <w:r>
        <w:t xml:space="preserve"> el mantenimiento es un registro de lo que ya se hizo. </w:t>
      </w:r>
      <w:r>
        <w:rPr>
          <w:rFonts w:ascii="Consolas" w:hAnsi="Consolas" w:eastAsia="Consolas"/>
          <w:sz w:val="21"/>
        </w:rPr>
        <w:t>RF-07</w:t>
      </w:r>
    </w:p>
    <w:p>
      <w:r>
        <w:t>pide registrar mantenimientos preventivos y correctivos con su descripción, repuestos y costo, y la regla predictiva «Mantenimiento vencido» mide contra un umbral escrito en la propia regla —«hace más de 180 días del último preventivo»—.</w:t>
      </w:r>
    </w:p>
    <w:p>
      <w:r>
        <w:rPr>
          <w:b/>
        </w:rPr>
        <w:t>Tiene que decir:</w:t>
      </w:r>
      <w:r>
        <w:t xml:space="preserve"> el sistema además </w:t>
      </w:r>
      <w:r>
        <w:rPr>
          <w:b/>
        </w:rPr>
        <w:t>planifica</w:t>
      </w:r>
      <w:r>
        <w:t>. Una organización define</w:t>
      </w:r>
    </w:p>
    <w:p>
      <w:r>
        <w:t>cada cuánto le toca el preventivo a un equipo o a todo un tipo de equipo, de ahí salen fechas concretas, y «vencido» pasa a tener una definición exacta: el trabajo agendado cuya fecha ya pasó.</w:t>
      </w:r>
    </w:p>
    <w:p>
      <w:pPr>
        <w:pStyle w:val="Heading3"/>
      </w:pPr>
      <w:r>
        <w:rPr>
          <w:rFonts w:ascii="Calibri" w:hAnsi="Calibri" w:eastAsia="Calibri"/>
        </w:rPr>
        <w:t>RF-16 · Planificación del mantenimiento preventivo</w:t>
      </w:r>
    </w:p>
    <w:p>
      <w:pPr>
        <w:spacing w:before="120" w:after="200"/>
        <w:ind w:left="397"/>
        <w:pBdr>
          <w:left w:val="single" w:sz="18" w:space="10" w:color="2F5496"/>
        </w:pBdr>
      </w:pPr>
      <w:r>
        <w:rPr>
          <w:i/>
          <w:color w:val="444444"/>
        </w:rPr>
        <w:t>El sistema debe permitir definir planes de mantenimiento preventivo, cada uno</w:t>
      </w:r>
    </w:p>
    <w:p>
      <w:pPr>
        <w:spacing w:before="120" w:after="200"/>
        <w:ind w:left="397"/>
        <w:pBdr>
          <w:left w:val="single" w:sz="18" w:space="10" w:color="2F5496"/>
        </w:pBdr>
      </w:pPr>
      <w:r>
        <w:rPr>
          <w:i/>
          <w:color w:val="444444"/>
        </w:rPr>
        <w:t>con su alcance —un equipo puntual o todos los equipos de un tipo—, el tipo de</w:t>
      </w:r>
    </w:p>
    <w:p>
      <w:pPr>
        <w:spacing w:before="120" w:after="200"/>
        <w:ind w:left="397"/>
        <w:pBdr>
          <w:left w:val="single" w:sz="18" w:space="10" w:color="2F5496"/>
        </w:pBdr>
      </w:pPr>
      <w:r>
        <w:rPr>
          <w:i/>
          <w:color w:val="444444"/>
        </w:rPr>
        <w:t>trabajo y cada cuántos días corresponde. A partir de los planes activos, el</w:t>
      </w:r>
    </w:p>
    <w:p>
      <w:pPr>
        <w:spacing w:before="120" w:after="200"/>
        <w:ind w:left="397"/>
        <w:pBdr>
          <w:left w:val="single" w:sz="18" w:space="10" w:color="2F5496"/>
        </w:pBdr>
      </w:pPr>
      <w:r>
        <w:rPr>
          <w:i/>
          <w:color w:val="444444"/>
        </w:rPr>
        <w:t>sistema genera las fechas concretas de mantenimiento para los equipos</w:t>
      </w:r>
    </w:p>
    <w:p>
      <w:pPr>
        <w:spacing w:before="120" w:after="200"/>
        <w:ind w:left="397"/>
        <w:pBdr>
          <w:left w:val="single" w:sz="18" w:space="10" w:color="2F5496"/>
        </w:pBdr>
      </w:pPr>
      <w:r>
        <w:rPr>
          <w:i/>
          <w:color w:val="444444"/>
        </w:rPr>
        <w:t>operativos alcanzados. Cada fecha agendada puede reprogramarse o anularse</w:t>
      </w:r>
    </w:p>
    <w:p>
      <w:pPr>
        <w:spacing w:before="120" w:after="200"/>
        <w:ind w:left="397"/>
        <w:pBdr>
          <w:left w:val="single" w:sz="18" w:space="10" w:color="2F5496"/>
        </w:pBdr>
      </w:pPr>
      <w:r>
        <w:rPr>
          <w:i/>
          <w:color w:val="444444"/>
        </w:rPr>
        <w:t>indicando el motivo, y se cierra sola cuando se registra el mantenimiento que</w:t>
      </w:r>
    </w:p>
    <w:p>
      <w:pPr>
        <w:spacing w:before="120" w:after="200"/>
        <w:ind w:left="397"/>
        <w:pBdr>
          <w:left w:val="single" w:sz="18" w:space="10" w:color="2F5496"/>
        </w:pBdr>
      </w:pPr>
      <w:r>
        <w:rPr>
          <w:i/>
          <w:color w:val="444444"/>
        </w:rPr>
        <w:t>la ejecuta.</w:t>
      </w:r>
    </w:p>
    <w:p>
      <w:pPr>
        <w:pStyle w:val="Heading3"/>
      </w:pPr>
      <w:r>
        <w:rPr>
          <w:rFonts w:ascii="Calibri" w:hAnsi="Calibri" w:eastAsia="Calibri"/>
        </w:rPr>
        <w:t>CU-019 · Definir un plan de mantenimiento</w:t>
      </w:r>
    </w:p>
    <w:tbl>
      <w:tblPr>
        <w:tblW w:type="auto" w:w="0"/>
        <w:jc w:val="center"/>
        <w:tblLook w:firstColumn="1" w:firstRow="1" w:lastColumn="0" w:lastRow="0" w:noHBand="0" w:noVBand="1" w:val="04A0"/>
      </w:tblPr>
      <w:tblGrid>
        <w:gridCol w:w="4680"/>
        <w:gridCol w:w="4680"/>
      </w:tblGrid>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Actor</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Administrador</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Precondición</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Existe al menos un tipo de mantenimiento preventivo</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Disparador</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El administrador carga o edita un plan en Configuración › Planes de mantenimiento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Flujo principal</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1. Elige el alcance: un equipo o un tipo de equipo. 2. Elige el tipo de trabajo, que tiene que ser preventivo. 3. Indica cada cuántos días (entre 7 y 3650). 4. El sistema valida y guarda, y muestra a cuántos equipos operativos alcanza el plan.</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Flujo alternativo</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Si el alcance viene vacío o con las dos opciones, se rechaza explicando por qué: un plan sin alcance no se puede aplicar y uno con los dos no dice cuál manda.</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Postcondición</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El plan queda activo y cuenta para la generación de la agenda.</w:t>
            </w:r>
          </w:p>
        </w:tc>
      </w:tr>
    </w:tbl>
    <w:p>
      <w:pPr>
        <w:spacing w:after="80"/>
      </w:pPr>
    </w:p>
    <w:p>
      <w:pPr>
        <w:pStyle w:val="Heading3"/>
      </w:pPr>
      <w:r>
        <w:rPr>
          <w:rFonts w:ascii="Calibri" w:hAnsi="Calibri" w:eastAsia="Calibri"/>
        </w:rPr>
        <w:t>CU-020 · Gestionar la agenda de mantenimiento</w:t>
      </w:r>
    </w:p>
    <w:tbl>
      <w:tblPr>
        <w:tblW w:type="auto" w:w="0"/>
        <w:jc w:val="center"/>
        <w:tblLook w:firstColumn="1" w:firstRow="1" w:lastColumn="0" w:lastRow="0" w:noHBand="0" w:noVBand="1" w:val="04A0"/>
      </w:tblPr>
      <w:tblGrid>
        <w:gridCol w:w="4680"/>
        <w:gridCol w:w="4680"/>
      </w:tblGrid>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Actor</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Administrador</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Precondición</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Hay al menos un plan activo, o se programa una fecha suelta</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Disparador</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El administrador entra a la Agenda de mantenimiento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Flujo principal</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1. Ve lo vencido y lo que viene, con los días de atraso calculados en el servidor. 2. Genera las fechas que faltan a partir de los planes activos. 3. Sobre una fecha: registra el trabajo, la reprograma o la anula.</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Flujo alternativo</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Generar dos veces no duplica: informa cuántas fechas ya estaban. Reprogramar y anular exigen motivo.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Postcondición</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Cada operación queda asentada en bitácora con su tipo de evento propio.</w:t>
            </w:r>
          </w:p>
        </w:tc>
      </w:tr>
    </w:tbl>
    <w:p>
      <w:pPr>
        <w:spacing w:after="80"/>
      </w:pPr>
    </w:p>
    <w:p>
      <w:r>
        <w:rPr>
          <w:b/>
        </w:rPr>
        <w:t>Por qué se suma.</w:t>
      </w:r>
      <w:r>
        <w:t xml:space="preserve"> El motor predictivo ya recomendaba «Programar el mantenimiento preventivo» y el sistema no tenía con qué programarlo: la recomendación terminaba en un papel o en la memoria de alguien. El bucle quedaba abierto, y cerrarlo es lo que convierte al sistema en una herramienta de gestión y no sólo en un registro.</w:t>
      </w:r>
    </w:p>
    <w:p>
      <w:r>
        <w:rPr>
          <w:b/>
        </w:rPr>
        <w:t>Tres decisiones que hay que poder defender:</w:t>
      </w:r>
    </w:p>
    <w:p>
      <w:pPr>
        <w:spacing w:after="80"/>
        <w:ind w:left="510" w:hanging="510"/>
        <w:jc w:val="left"/>
      </w:pPr>
      <w:r>
        <w:t>1.</w:t>
        <w:tab/>
      </w:r>
      <w:r>
        <w:rPr>
          <w:b/>
        </w:rPr>
        <w:t>Con plan, el plan manda sobre el umbral.</w:t>
      </w:r>
      <w:r>
        <w:t xml:space="preserve"> Un equipo cuyo próximo preventivo está agendado para la semana que viene no es un equipo descuidado, aunque hayan pasado 250 días del anterior. Antes la regla decía que sí. El umbral no se va: es lo que sigue funcionando para los equipos sin plan, y además es lo que satura el atraso —un mes de atraso sobre un plan mensual es un ciclo entero perdido; sobre uno anual, poco—.</w:t>
      </w:r>
    </w:p>
    <w:p>
      <w:pPr>
        <w:spacing w:after="80"/>
        <w:ind w:left="510" w:hanging="510"/>
        <w:jc w:val="left"/>
      </w:pPr>
      <w:r>
        <w:t>2.</w:t>
        <w:tab/>
      </w:r>
      <w:r>
        <w:rPr>
          <w:b/>
        </w:rPr>
        <w:t>«Vencido» no es un estado guardado.</w:t>
      </w:r>
      <w:r>
        <w:t xml:space="preserve"> Es </w:t>
      </w:r>
      <w:r>
        <w:rPr>
          <w:rFonts w:ascii="Consolas" w:hAnsi="Consolas" w:eastAsia="Consolas"/>
          <w:sz w:val="21"/>
        </w:rPr>
        <w:t>PROGRAMADO</w:t>
      </w:r>
      <w:r>
        <w:t xml:space="preserve"> con la fecha pasada. Guardarlo obligaría a un proceso que recorra la tabla todos los días, y el día que ese proceso no corra el sistema mostraría datos viejos como si fueran ciertos.</w:t>
      </w:r>
    </w:p>
    <w:p>
      <w:pPr>
        <w:spacing w:after="80"/>
        <w:ind w:left="510" w:hanging="510"/>
        <w:jc w:val="left"/>
      </w:pPr>
      <w:r>
        <w:t>3.</w:t>
        <w:tab/>
      </w:r>
      <w:r>
        <w:rPr>
          <w:b/>
        </w:rPr>
        <w:t>La agenda no cierra nada por su cuenta.</w:t>
      </w:r>
      <w:r>
        <w:t xml:space="preserve"> Lo que cierra un trabajo agendado es haberlo hecho, y eso son los datos del mantenimiento —qué se hizo, repuestos, costo—. El botón «Registrar» lleva el identificador del trabajo hasta el servidor y no sólo el equipo y el tipo: dos preventivos iguales sobre el mismo equipo, uno atrasado y otro del mes que viene, sólo se distinguen así.</w:t>
      </w:r>
    </w:p>
    <w:p>
      <w:r>
        <w:rPr>
          <w:b/>
        </w:rPr>
        <w:t>Entidades nuevas en el DER de negocio:</w:t>
      </w:r>
      <w:r>
        <w:t xml:space="preserve"> </w:t>
      </w:r>
      <w:r>
        <w:rPr>
          <w:rFonts w:ascii="Consolas" w:hAnsi="Consolas" w:eastAsia="Consolas"/>
          <w:sz w:val="21"/>
        </w:rPr>
        <w:t>PlanMantenimiento</w:t>
      </w:r>
      <w:r>
        <w:t xml:space="preserve"> (alcance</w:t>
      </w:r>
    </w:p>
    <w:p>
      <w:r>
        <w:t xml:space="preserve">excluyente por </w:t>
      </w:r>
      <w:r>
        <w:rPr>
          <w:rFonts w:ascii="Consolas" w:hAnsi="Consolas" w:eastAsia="Consolas"/>
          <w:sz w:val="21"/>
        </w:rPr>
        <w:t>CHECK</w:t>
      </w:r>
      <w:r>
        <w:t xml:space="preserve">, </w:t>
      </w:r>
      <w:r>
        <w:rPr>
          <w:rFonts w:ascii="Consolas" w:hAnsi="Consolas" w:eastAsia="Consolas"/>
          <w:sz w:val="21"/>
        </w:rPr>
        <w:t>cada_dias</w:t>
      </w:r>
      <w:r>
        <w:t xml:space="preserve"> entre 7 y 3650) y </w:t>
      </w:r>
      <w:r>
        <w:rPr>
          <w:rFonts w:ascii="Consolas" w:hAnsi="Consolas" w:eastAsia="Consolas"/>
          <w:sz w:val="21"/>
        </w:rPr>
        <w:t>MantenimientoProgramado</w:t>
      </w:r>
      <w:r>
        <w:t xml:space="preserve"> (con su </w:t>
      </w:r>
      <w:r>
        <w:rPr>
          <w:rFonts w:ascii="Consolas" w:hAnsi="Consolas" w:eastAsia="Consolas"/>
          <w:sz w:val="21"/>
        </w:rPr>
        <w:t>id_plan</w:t>
      </w:r>
      <w:r>
        <w:t xml:space="preserve"> nulo cuando se agendó a mano, y su </w:t>
      </w:r>
      <w:r>
        <w:rPr>
          <w:rFonts w:ascii="Consolas" w:hAnsi="Consolas" w:eastAsia="Consolas"/>
          <w:sz w:val="21"/>
        </w:rPr>
        <w:t>id_mantenimiento</w:t>
      </w:r>
      <w:r>
        <w:t xml:space="preserve"> cuando se ejecutó).</w:t>
      </w:r>
    </w:p>
    <w:p>
      <w:r>
        <w:rPr>
          <w:b/>
        </w:rPr>
        <w:t>Patente nueva:</w:t>
      </w:r>
      <w:r>
        <w:t xml:space="preserve"> </w:t>
      </w:r>
      <w:r>
        <w:rPr>
          <w:rFonts w:ascii="Consolas" w:hAnsi="Consolas" w:eastAsia="Consolas"/>
          <w:sz w:val="21"/>
        </w:rPr>
        <w:t>MANTENIMIENTO_PLANIFICAR</w:t>
      </w:r>
      <w:r>
        <w:t>, aparte de</w:t>
      </w:r>
    </w:p>
    <w:p>
      <w:r>
        <w:rPr>
          <w:rFonts w:ascii="Consolas" w:hAnsi="Consolas" w:eastAsia="Consolas"/>
          <w:sz w:val="21"/>
        </w:rPr>
        <w:t>MANTENIMIENTO_REGISTRAR</w:t>
      </w:r>
      <w:r>
        <w:t>. Registrar es contar lo que se hizo; planificar es comprometer a la organización a hacerlo. El técnico hace lo primero; lo segundo lo decide quien responde por el parque.</w:t>
      </w:r>
    </w:p>
    <w:p>
      <w:pPr>
        <w:pStyle w:val="Heading2"/>
        <w:pBdr>
          <w:bottom w:val="single" w:sz="6" w:space="6" w:color="2F5496"/>
        </w:pBdr>
        <w:spacing w:before="440"/>
      </w:pPr>
      <w:r>
        <w:rPr>
          <w:rFonts w:ascii="Calibri" w:hAnsi="Calibri" w:eastAsia="Calibri"/>
          <w:color w:val="2F5496"/>
        </w:rPr>
        <w:t>D-46 · La facturación del servicio: el modelo de ingresos entra al sistema</w:t>
      </w:r>
    </w:p>
    <w:p>
      <w:r>
        <w:rPr>
          <w:i/>
        </w:rPr>
        <w:t>Estado:</w:t>
      </w:r>
      <w:r>
        <w:t xml:space="preserve"> </w:t>
      </w:r>
      <w:r>
        <w:rPr>
          <w:rFonts w:ascii="Consolas" w:hAnsi="Consolas" w:eastAsia="Consolas"/>
          <w:sz w:val="21"/>
        </w:rPr>
        <w:t>aplicado</w:t>
      </w:r>
      <w:r>
        <w:t xml:space="preserve"> — el documento tiene el RF-17, el CU-021 en 10.4.3.21, el CP-17 en 10.4.10.17, la pantalla en 10.5.1.10.4 y un DER propio de la facturación como cuarta figura de 10.4.8. Falta sólo el diagrama de secuencia del caso de uso, anotado en </w:t>
      </w:r>
      <w:r>
        <w:rPr>
          <w:rFonts w:ascii="Consolas" w:hAnsi="Consolas" w:eastAsia="Consolas"/>
          <w:sz w:val="21"/>
        </w:rPr>
        <w:t>PENDIENTE.md</w:t>
      </w:r>
    </w:p>
    <w:p>
      <w:r>
        <w:rPr>
          <w:i/>
        </w:rPr>
        <w:t>Secciones:</w:t>
      </w:r>
      <w:r>
        <w:t xml:space="preserve"> 10.2.2 (RF-17 nuevo) · 10.2.3 (CU-021 nuevo) · 10.4.7 (DER de negocio: dos entidades) · 10.5 (pantalla nueva) · 10.6 (CP-16) · y el puente con los capítulos 5 a 7, que definen los planes comerciales</w:t>
      </w:r>
    </w:p>
    <w:p>
      <w:r>
        <w:rPr>
          <w:b/>
        </w:rPr>
        <w:t>Dice hoy:</w:t>
      </w:r>
      <w:r>
        <w:t xml:space="preserve"> el capítulo 10 no menciona la facturación. Los planes comerciales</w:t>
      </w:r>
    </w:p>
    <w:p>
      <w:r>
        <w:t>—Inicial, Estándar y Partner, con su abono, sus equipos incluidos y su precio por equipo adicional— viven en los capítulos de negocio y en la pantalla de Organización, que muestra cuánto sale el mes.</w:t>
      </w:r>
    </w:p>
    <w:p>
      <w:r>
        <w:rPr>
          <w:b/>
        </w:rPr>
        <w:t>Tiene que decir:</w:t>
      </w:r>
      <w:r>
        <w:t xml:space="preserve"> el sistema </w:t>
      </w:r>
      <w:r>
        <w:rPr>
          <w:b/>
        </w:rPr>
        <w:t>factura su propio servicio</w:t>
      </w:r>
      <w:r>
        <w:t>. Cada mes cerrado</w:t>
      </w:r>
    </w:p>
    <w:p>
      <w:r>
        <w:t>genera un comprobante por organización con el desglose del plan, y lleva su estado de cobro.</w:t>
      </w:r>
    </w:p>
    <w:p>
      <w:pPr>
        <w:pStyle w:val="Heading3"/>
      </w:pPr>
      <w:r>
        <w:rPr>
          <w:rFonts w:ascii="Calibri" w:hAnsi="Calibri" w:eastAsia="Calibri"/>
        </w:rPr>
        <w:t>RF-17 · Facturación del servicio</w:t>
      </w:r>
    </w:p>
    <w:p>
      <w:pPr>
        <w:spacing w:before="120" w:after="200"/>
        <w:ind w:left="397"/>
        <w:pBdr>
          <w:left w:val="single" w:sz="18" w:space="10" w:color="2F5496"/>
        </w:pBdr>
      </w:pPr>
      <w:r>
        <w:rPr>
          <w:i/>
          <w:color w:val="444444"/>
        </w:rPr>
        <w:t>El sistema debe poder generar, por organización y período mensual, un</w:t>
      </w:r>
    </w:p>
    <w:p>
      <w:pPr>
        <w:spacing w:before="120" w:after="200"/>
        <w:ind w:left="397"/>
        <w:pBdr>
          <w:left w:val="single" w:sz="18" w:space="10" w:color="2F5496"/>
        </w:pBdr>
      </w:pPr>
      <w:r>
        <w:rPr>
          <w:i/>
          <w:color w:val="444444"/>
        </w:rPr>
        <w:t>comprobante del servicio prestado, con el abono del plan contratado y los</w:t>
      </w:r>
    </w:p>
    <w:p>
      <w:pPr>
        <w:spacing w:before="120" w:after="200"/>
        <w:ind w:left="397"/>
        <w:pBdr>
          <w:left w:val="single" w:sz="18" w:space="10" w:color="2F5496"/>
        </w:pBdr>
      </w:pPr>
      <w:r>
        <w:rPr>
          <w:i/>
          <w:color w:val="444444"/>
        </w:rPr>
        <w:t>equipos administrados por encima de los incluidos, medidos al cierre del</w:t>
      </w:r>
    </w:p>
    <w:p>
      <w:pPr>
        <w:spacing w:before="120" w:after="200"/>
        <w:ind w:left="397"/>
        <w:pBdr>
          <w:left w:val="single" w:sz="18" w:space="10" w:color="2F5496"/>
        </w:pBdr>
      </w:pPr>
      <w:r>
        <w:rPr>
          <w:i/>
          <w:color w:val="444444"/>
        </w:rPr>
        <w:t>período. El comprobante admite ajustes mientras está en borrador, se emite</w:t>
      </w:r>
    </w:p>
    <w:p>
      <w:pPr>
        <w:spacing w:before="120" w:after="200"/>
        <w:ind w:left="397"/>
        <w:pBdr>
          <w:left w:val="single" w:sz="18" w:space="10" w:color="2F5496"/>
        </w:pBdr>
      </w:pPr>
      <w:r>
        <w:rPr>
          <w:i/>
          <w:color w:val="444444"/>
        </w:rPr>
        <w:t>con número correlativo y vencimiento, registra su pago, y se anula con motivo.</w:t>
      </w:r>
    </w:p>
    <w:p>
      <w:pPr>
        <w:pStyle w:val="Heading3"/>
      </w:pPr>
      <w:r>
        <w:rPr>
          <w:rFonts w:ascii="Calibri" w:hAnsi="Calibri" w:eastAsia="Calibri"/>
        </w:rPr>
        <w:t>CU-021 · Facturar el período</w:t>
      </w:r>
    </w:p>
    <w:tbl>
      <w:tblPr>
        <w:tblW w:type="auto" w:w="0"/>
        <w:jc w:val="center"/>
        <w:tblLook w:firstColumn="1" w:firstRow="1" w:lastColumn="0" w:lastRow="0" w:noHBand="0" w:noVBand="1" w:val="04A0"/>
      </w:tblPr>
      <w:tblGrid>
        <w:gridCol w:w="4680"/>
        <w:gridCol w:w="4680"/>
      </w:tblGrid>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Actor</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Administrador</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Precondición</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La organización tiene un plan comercial asignado</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Disparador</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El administrador factura el último mes cerrado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Flujo principal</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1. El sistema cuenta los equipos administrados al cierre del período. 2. Arma el borrador con el abono y, si los hay, los equipos adicionales. 3. Calcula IVA y total. 4. El administrador emite: el comprobante recibe número, fecha y vencimiento. 5. Cuando se cobra, se registra el pago.</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Flujo alternativo</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Si el período ya está facturado, se devuelve el comprobante que hay sin tocarlo. Un comprobante emitido no se modifica: se anula con motivo y se genera otro. Uno cobrado no se anula: se corrige con un ajuste en el período siguiente.</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Postcondición</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Cada paso queda asentado en bitácora con su tipo de evento propio.</w:t>
            </w:r>
          </w:p>
        </w:tc>
      </w:tr>
    </w:tbl>
    <w:p>
      <w:pPr>
        <w:spacing w:after="80"/>
      </w:pPr>
    </w:p>
    <w:p>
      <w:r>
        <w:rPr>
          <w:b/>
        </w:rPr>
        <w:t>Por qué se suma.</w:t>
      </w:r>
      <w:r>
        <w:t xml:space="preserve"> El plan de negocio define un modelo de ingresos por abono más equipos administrados, y el sistema lo calculaba pero no lo registraba: no había forma de saber qué se facturó, cuándo vence ni qué está impago. Es el puente que faltaba entre los capítulos 5 a 7 y el capítulo 10, y en la defensa es la pregunta natural: «el modelo dice que cobrás por equipo administrado, ¿dónde está eso en el sistema?».</w:t>
      </w:r>
    </w:p>
    <w:p>
      <w:r>
        <w:rPr>
          <w:b/>
        </w:rPr>
        <w:t>Tres decisiones que hay que poder defender:</w:t>
      </w:r>
    </w:p>
    <w:p>
      <w:pPr>
        <w:spacing w:after="80"/>
        <w:ind w:left="510" w:hanging="510"/>
        <w:jc w:val="left"/>
      </w:pPr>
      <w:r>
        <w:t>1.</w:t>
        <w:tab/>
      </w:r>
      <w:r>
        <w:rPr>
          <w:b/>
        </w:rPr>
        <w:t>El corte entre borrador y emitido.</w:t>
      </w:r>
      <w:r>
        <w:t xml:space="preserve"> Hasta la emisión es un cálculo que se rehace; después es lo que se le reclama a la organización, con número y fecha. Ese corte es lo que hace auditable la facturación, y por eso emitir no se deshace: se anula con motivo.</w:t>
      </w:r>
    </w:p>
    <w:p>
      <w:pPr>
        <w:spacing w:after="80"/>
        <w:ind w:left="510" w:hanging="510"/>
        <w:jc w:val="left"/>
      </w:pPr>
      <w:r>
        <w:t>2.</w:t>
        <w:tab/>
      </w:r>
      <w:r>
        <w:rPr>
          <w:b/>
        </w:rPr>
        <w:t>Los números del plan quedan copiados en el comprobante.</w:t>
      </w:r>
      <w:r>
        <w:t xml:space="preserve"> Si se leyeran del plan al consultar, cambiar el precio reescribiría los comprobantes del año pasado. No es un detalle contable: es el registro de lo que la organización efectivamente pagó.</w:t>
      </w:r>
    </w:p>
    <w:p>
      <w:pPr>
        <w:spacing w:after="80"/>
        <w:ind w:left="510" w:hanging="510"/>
        <w:jc w:val="left"/>
      </w:pPr>
      <w:r>
        <w:t>3.</w:t>
        <w:tab/>
      </w:r>
      <w:r>
        <w:rPr>
          <w:b/>
        </w:rPr>
        <w:t>No pretende ser un comprobante fiscal.</w:t>
      </w:r>
      <w:r>
        <w:t xml:space="preserve"> No hay CAE, ni punto de venta, ni integración con AFIP, y por eso la entidad se llama </w:t>
      </w:r>
      <w:r>
        <w:rPr>
          <w:rFonts w:ascii="Consolas" w:hAnsi="Consolas" w:eastAsia="Consolas"/>
          <w:sz w:val="21"/>
        </w:rPr>
        <w:t>Comprobante</w:t>
      </w:r>
      <w:r>
        <w:t xml:space="preserve"> y no </w:t>
      </w:r>
      <w:r>
        <w:rPr>
          <w:rFonts w:ascii="Consolas" w:hAnsi="Consolas" w:eastAsia="Consolas"/>
          <w:sz w:val="21"/>
        </w:rPr>
        <w:t>Factura</w:t>
      </w:r>
      <w:r>
        <w:t>. Es el registro interno del servicio. Integrarlo con facturación electrónica es trabajo futuro y está anotado como tal.</w:t>
      </w:r>
    </w:p>
    <w:p>
      <w:r>
        <w:rPr>
          <w:b/>
        </w:rPr>
        <w:t>Entidades nuevas en el DER de negocio:</w:t>
      </w:r>
      <w:r>
        <w:t xml:space="preserve"> </w:t>
      </w:r>
      <w:r>
        <w:rPr>
          <w:rFonts w:ascii="Consolas" w:hAnsi="Consolas" w:eastAsia="Consolas"/>
          <w:sz w:val="21"/>
        </w:rPr>
        <w:t>Comprobante</w:t>
      </w:r>
      <w:r>
        <w:t xml:space="preserve"> (único por organización</w:t>
      </w:r>
    </w:p>
    <w:p>
      <w:r>
        <w:t xml:space="preserve">y período, con el correlativo garantizado por un índice único filtrado) y </w:t>
      </w:r>
      <w:r>
        <w:rPr>
          <w:rFonts w:ascii="Consolas" w:hAnsi="Consolas" w:eastAsia="Consolas"/>
          <w:sz w:val="21"/>
        </w:rPr>
        <w:t>LineaComprobante</w:t>
      </w:r>
      <w:r>
        <w:t xml:space="preserve"> (el desglose, que se borra con su comprobante).</w:t>
      </w:r>
    </w:p>
    <w:p>
      <w:r>
        <w:rPr>
          <w:b/>
        </w:rPr>
        <w:t>Patentes nuevas:</w:t>
      </w:r>
      <w:r>
        <w:t xml:space="preserve"> </w:t>
      </w:r>
      <w:r>
        <w:rPr>
          <w:rFonts w:ascii="Consolas" w:hAnsi="Consolas" w:eastAsia="Consolas"/>
          <w:sz w:val="21"/>
        </w:rPr>
        <w:t>FACTURACION_VER</w:t>
      </w:r>
      <w:r>
        <w:t xml:space="preserve"> y </w:t>
      </w:r>
      <w:r>
        <w:rPr>
          <w:rFonts w:ascii="Consolas" w:hAnsi="Consolas" w:eastAsia="Consolas"/>
          <w:sz w:val="21"/>
        </w:rPr>
        <w:t>FACTURACION_GESTIONAR</w:t>
      </w:r>
      <w:r>
        <w:t>. Quien</w:t>
      </w:r>
    </w:p>
    <w:p>
      <w:r>
        <w:t>administra la organización tiene que poder consultar qué le facturaron y desde cuándo debe, y eso no lo habilita a emitir ni a dar algo por cobrado.</w:t>
      </w:r>
    </w:p>
    <w:p>
      <w:r>
        <w:rPr>
          <w:b/>
        </w:rPr>
        <w:t>Un hallazgo del camino, que vale para la defensa.</w:t>
      </w:r>
      <w:r>
        <w:t xml:space="preserve"> La unicidad del correlativo estaba escrita como </w:t>
      </w:r>
      <w:r>
        <w:rPr>
          <w:rFonts w:ascii="Consolas" w:hAnsi="Consolas" w:eastAsia="Consolas"/>
          <w:sz w:val="21"/>
        </w:rPr>
        <w:t>UNIQUE (id_organizacion, numero)</w:t>
      </w:r>
      <w:r>
        <w:t xml:space="preserve">. SQL Server trata el </w:t>
      </w:r>
      <w:r>
        <w:rPr>
          <w:rFonts w:ascii="Consolas" w:hAnsi="Consolas" w:eastAsia="Consolas"/>
          <w:sz w:val="21"/>
        </w:rPr>
        <w:t>NULL</w:t>
      </w:r>
      <w:r>
        <w:t xml:space="preserve"> como un valor más en una restricción de unicidad, así que la organización admitía </w:t>
      </w:r>
      <w:r>
        <w:rPr>
          <w:b/>
        </w:rPr>
        <w:t>un solo borrador</w:t>
      </w:r>
      <w:r>
        <w:t xml:space="preserve"> y el segundo fallaba con un error del motor. Se reprodujo contra el sistema corriendo y se corrigió con un índice único filtrado por </w:t>
      </w:r>
      <w:r>
        <w:rPr>
          <w:rFonts w:ascii="Consolas" w:hAnsi="Consolas" w:eastAsia="Consolas"/>
          <w:sz w:val="21"/>
        </w:rPr>
        <w:t>numero IS NOT NULL</w:t>
      </w:r>
      <w:r>
        <w:t>. Queda una prueba de integración que lo cubre, porque la restricción vive en la base y ningún doble la reproduce.</w:t>
      </w:r>
    </w:p>
    <w:p>
      <w:pPr>
        <w:pStyle w:val="Heading2"/>
        <w:pBdr>
          <w:bottom w:val="single" w:sz="6" w:space="6" w:color="2F5496"/>
        </w:pBdr>
        <w:spacing w:before="440"/>
      </w:pPr>
      <w:r>
        <w:rPr>
          <w:rFonts w:ascii="Calibri" w:hAnsi="Calibri" w:eastAsia="Calibri"/>
          <w:color w:val="2F5496"/>
        </w:rPr>
        <w:t>D-47 · La fecha de la Entrega 2 de negocio, corregida en el sentido contrario</w:t>
      </w:r>
    </w:p>
    <w:p>
      <w:r>
        <w:rPr>
          <w:i/>
        </w:rPr>
        <w:t>Estado:</w:t>
      </w:r>
      <w:r>
        <w:t xml:space="preserve"> </w:t>
      </w:r>
      <w:r>
        <w:rPr>
          <w:rFonts w:ascii="Consolas" w:hAnsi="Consolas" w:eastAsia="Consolas"/>
          <w:sz w:val="21"/>
        </w:rPr>
        <w:t>aplicado</w:t>
      </w:r>
      <w:r>
        <w:t xml:space="preserve"> — el documento, el presupuesto, el plan de sprints, el backlog y el control de alineación dicen ahora </w:t>
      </w:r>
      <w:r>
        <w:rPr>
          <w:b/>
        </w:rPr>
        <w:t>23 de octubre</w:t>
      </w:r>
      <w:r>
        <w:t>.</w:t>
      </w:r>
    </w:p>
    <w:p>
      <w:r>
        <w:rPr>
          <w:b/>
        </w:rPr>
        <w:t>Qué pasó.</w:t>
      </w:r>
      <w:r>
        <w:t xml:space="preserve"> D-33 había corregido esta misma fecha el 08/09, con la nota de que la cátedra alterna el orden de los grupos entre entregas y que la Entrega 2 la abre el Grupo 2 —el autor— el 16 de octubre. La lámina 5 de Clase 1 - Presupuesto, vista de nuevo el 12/09, muestra el orden invertido: abre el Grupo 1 el 16 de octubre, y el Grupo 2 entrega el </w:t>
      </w:r>
      <w:r>
        <w:rPr>
          <w:b/>
        </w:rPr>
        <w:t>23</w:t>
      </w:r>
      <w:r>
        <w:t>.</w:t>
      </w:r>
    </w:p>
    <w:p>
      <w:r>
        <w:rPr>
          <w:b/>
        </w:rPr>
        <w:t>No se tocó la entrada de D-33.</w:t>
      </w:r>
      <w:r>
        <w:t xml:space="preserve"> Este registro es cronológico: D-33 documenta lo que se sabía y se decidió el 08/09, con su motivo, y sigue siendo cierto que eso fue lo que pasó ese día. Lo que cambia es el dato de la cátedra, no la decisión de aquel momento.</w:t>
      </w:r>
    </w:p>
    <w:p>
      <w:r>
        <w:rPr>
          <w:b/>
        </w:rPr>
        <w:t>Dónde se corrigió:</w:t>
      </w:r>
      <w:r>
        <w:t xml:space="preserve"> </w:t>
      </w:r>
      <w:r>
        <w:rPr>
          <w:rFonts w:ascii="Consolas" w:hAnsi="Consolas" w:eastAsia="Consolas"/>
          <w:sz w:val="21"/>
        </w:rPr>
        <w:t>docs/negocio/README.md</w:t>
      </w:r>
      <w:r>
        <w:t xml:space="preserve"> (tabla y prosa),</w:t>
      </w:r>
    </w:p>
    <w:p>
      <w:r>
        <w:rPr>
          <w:rFonts w:ascii="Consolas" w:hAnsi="Consolas" w:eastAsia="Consolas"/>
          <w:sz w:val="21"/>
        </w:rPr>
        <w:t>docs/negocio/_entrega-1.py</w:t>
      </w:r>
      <w:r>
        <w:t xml:space="preserve">, </w:t>
      </w:r>
      <w:r>
        <w:rPr>
          <w:rFonts w:ascii="Consolas" w:hAnsi="Consolas" w:eastAsia="Consolas"/>
          <w:sz w:val="21"/>
        </w:rPr>
        <w:t>docs/PENDIENTE.md</w:t>
      </w:r>
      <w:r>
        <w:t xml:space="preserve">, </w:t>
      </w:r>
      <w:r>
        <w:rPr>
          <w:rFonts w:ascii="Consolas" w:hAnsi="Consolas" w:eastAsia="Consolas"/>
          <w:sz w:val="21"/>
        </w:rPr>
        <w:t>docs/gestion/PLAN-DE-SPRINTS.md</w:t>
      </w:r>
      <w:r>
        <w:t xml:space="preserve">, la historia H-53 del backlog, los dos LEEME de </w:t>
      </w:r>
      <w:r>
        <w:rPr>
          <w:rFonts w:ascii="Consolas" w:hAnsi="Consolas" w:eastAsia="Consolas"/>
          <w:sz w:val="21"/>
        </w:rPr>
        <w:t>ENTREGABLES/ENTREGA NEGOCIO/</w:t>
      </w:r>
      <w:r>
        <w:t xml:space="preserve"> y la constante </w:t>
      </w:r>
      <w:r>
        <w:rPr>
          <w:rFonts w:ascii="Consolas" w:hAnsi="Consolas" w:eastAsia="Consolas"/>
          <w:sz w:val="21"/>
        </w:rPr>
        <w:t>FECHAS</w:t>
      </w:r>
      <w:r>
        <w:t xml:space="preserve"> de </w:t>
      </w:r>
      <w:r>
        <w:rPr>
          <w:rFonts w:ascii="Consolas" w:hAnsi="Consolas" w:eastAsia="Consolas"/>
          <w:sz w:val="21"/>
        </w:rPr>
        <w:t>docs/_verificar-alineacion.py</w:t>
      </w:r>
      <w:r>
        <w:t>, que es la que la cátedra usa como fuente única para el control de fechas.</w:t>
      </w:r>
    </w:p>
    <w:p>
      <w:pPr>
        <w:pStyle w:val="Heading2"/>
        <w:pBdr>
          <w:bottom w:val="single" w:sz="6" w:space="6" w:color="2F5496"/>
        </w:pBdr>
        <w:spacing w:before="440"/>
      </w:pPr>
      <w:r>
        <w:rPr>
          <w:rFonts w:ascii="Calibri" w:hAnsi="Calibri" w:eastAsia="Calibri"/>
          <w:color w:val="2F5496"/>
        </w:rPr>
        <w:t>D-48 · D-47 estaba mal: la lámina se leyó cruzada, no la fecha</w:t>
      </w:r>
    </w:p>
    <w:p>
      <w:r>
        <w:rPr>
          <w:i/>
        </w:rPr>
        <w:t>Estado:</w:t>
      </w:r>
      <w:r>
        <w:t xml:space="preserve"> </w:t>
      </w:r>
      <w:r>
        <w:rPr>
          <w:rFonts w:ascii="Consolas" w:hAnsi="Consolas" w:eastAsia="Consolas"/>
          <w:sz w:val="21"/>
        </w:rPr>
        <w:t>aplicado</w:t>
      </w:r>
      <w:r>
        <w:t xml:space="preserve"> — vuelve a decir </w:t>
      </w:r>
      <w:r>
        <w:rPr>
          <w:b/>
        </w:rPr>
        <w:t>16 de octubre</w:t>
      </w:r>
      <w:r>
        <w:t xml:space="preserve"> para el Grupo 2, que es lo mismo que decía antes de D-47.</w:t>
      </w:r>
    </w:p>
    <w:p>
      <w:r>
        <w:rPr>
          <w:b/>
        </w:rPr>
        <w:t>Qué pasó.</w:t>
      </w:r>
      <w:r>
        <w:t xml:space="preserve"> D-47 se apoyó en una foto del proyector de Clase 1, tomada en ángulo, para "corregir" la fecha en sentido contrario. Al cotejarla contra el PDF real de la clase —texto, no foto— la lámina 5 dice lo mismo que siempre: Entrega 2, Grupo 2 el 16 de octubre y Grupo 1 el 23. La foto se leyó con las dos filas de grupos cruzadas.</w:t>
      </w:r>
    </w:p>
    <w:p>
      <w:r>
        <w:rPr>
          <w:b/>
        </w:rPr>
        <w:t>No se corrigió D-47 en su lugar.</w:t>
      </w:r>
      <w:r>
        <w:t xml:space="preserve"> Por la misma razón que D-33 quedó escrito tal cual: este registro es cronológico, y D-47 documenta con exactitud qué se creyó y por qué durante esas horas del 12/09. Fue un error real, no una opinión, y decirlo así es preferible a que no quede rastro de él.</w:t>
      </w:r>
    </w:p>
    <w:p>
      <w:r>
        <w:rPr>
          <w:b/>
        </w:rPr>
        <w:t>Dónde se revirtió:</w:t>
      </w:r>
      <w:r>
        <w:t xml:space="preserve"> los mismos lugares que tocó D-47 —</w:t>
      </w:r>
    </w:p>
    <w:p>
      <w:r>
        <w:rPr>
          <w:rFonts w:ascii="Consolas" w:hAnsi="Consolas" w:eastAsia="Consolas"/>
          <w:sz w:val="21"/>
        </w:rPr>
        <w:t>docs/negocio/README.md</w:t>
      </w:r>
      <w:r>
        <w:t xml:space="preserve">, </w:t>
      </w:r>
      <w:r>
        <w:rPr>
          <w:rFonts w:ascii="Consolas" w:hAnsi="Consolas" w:eastAsia="Consolas"/>
          <w:sz w:val="21"/>
        </w:rPr>
        <w:t>_entrega-1.py</w:t>
      </w:r>
      <w:r>
        <w:t xml:space="preserve">, </w:t>
      </w:r>
      <w:r>
        <w:rPr>
          <w:rFonts w:ascii="Consolas" w:hAnsi="Consolas" w:eastAsia="Consolas"/>
          <w:sz w:val="21"/>
        </w:rPr>
        <w:t>docs/PENDIENTE.md</w:t>
      </w:r>
      <w:r>
        <w:t xml:space="preserve">, </w:t>
      </w:r>
      <w:r>
        <w:rPr>
          <w:rFonts w:ascii="Consolas" w:hAnsi="Consolas" w:eastAsia="Consolas"/>
          <w:sz w:val="21"/>
        </w:rPr>
        <w:t>docs/gestion/PLAN-DE-SPRINTS.md</w:t>
      </w:r>
      <w:r>
        <w:t xml:space="preserve">, la historia H-53 del backlog, los dos LEEME de </w:t>
      </w:r>
      <w:r>
        <w:rPr>
          <w:rFonts w:ascii="Consolas" w:hAnsi="Consolas" w:eastAsia="Consolas"/>
          <w:sz w:val="21"/>
        </w:rPr>
        <w:t>ENTREGABLES/ENTREGA NEGOCIO/</w:t>
      </w:r>
      <w:r>
        <w:t xml:space="preserve"> y </w:t>
      </w:r>
      <w:r>
        <w:rPr>
          <w:rFonts w:ascii="Consolas" w:hAnsi="Consolas" w:eastAsia="Consolas"/>
          <w:sz w:val="21"/>
        </w:rPr>
        <w:t>FECHAS</w:t>
      </w:r>
      <w:r>
        <w:t xml:space="preserve"> en </w:t>
      </w:r>
      <w:r>
        <w:rPr>
          <w:rFonts w:ascii="Consolas" w:hAnsi="Consolas" w:eastAsia="Consolas"/>
          <w:sz w:val="21"/>
        </w:rPr>
        <w:t>docs/_verificar-alineacion.py</w:t>
      </w:r>
      <w:r>
        <w:t>—, ahora citando el PDF de la clase como fuente, no la foto.</w:t>
      </w:r>
    </w:p>
    <w:p>
      <w:pPr>
        <w:pStyle w:val="Heading2"/>
        <w:pBdr>
          <w:bottom w:val="single" w:sz="6" w:space="6" w:color="2F5496"/>
        </w:pBdr>
        <w:spacing w:before="440"/>
      </w:pPr>
      <w:r>
        <w:rPr>
          <w:rFonts w:ascii="Calibri" w:hAnsi="Calibri" w:eastAsia="Calibri"/>
          <w:color w:val="2F5496"/>
        </w:rPr>
        <w:t>D-49 · Distrito Tecnológico y derechos de exportación, declarados como no aplicables</w:t>
      </w:r>
    </w:p>
    <w:p>
      <w:r>
        <w:rPr>
          <w:i/>
        </w:rPr>
        <w:t>Estado:</w:t>
      </w:r>
      <w:r>
        <w:t xml:space="preserve"> </w:t>
      </w:r>
      <w:r>
        <w:rPr>
          <w:rFonts w:ascii="Consolas" w:hAnsi="Consolas" w:eastAsia="Consolas"/>
          <w:sz w:val="21"/>
        </w:rPr>
        <w:t>aplicado</w:t>
      </w:r>
      <w:r>
        <w:t xml:space="preserve"> — en 7.7, junto a los demás tributos que no alcanzan al proyecto.</w:t>
      </w:r>
    </w:p>
    <w:p>
      <w:r>
        <w:rPr>
          <w:b/>
        </w:rPr>
        <w:t>Por qué se agrega.</w:t>
      </w:r>
      <w:r>
        <w:t xml:space="preserve"> Clase 3 (Impuestos) nombra dos beneficios que el documento no mencionaba ni para aplicarlos ni para descartarlos: la exención de Ingresos Brutos y Sellos del Distrito Tecnológico (CABA/Córdoba) y el 0 % de derechos de exportación para servicios tecnológicos. Un beneficio no mencionado se lee como un olvido, no como una decisión.</w:t>
      </w:r>
    </w:p>
    <w:p>
      <w:r>
        <w:rPr>
          <w:b/>
        </w:rPr>
        <w:t>Las dos decisiones:</w:t>
      </w:r>
    </w:p>
    <w:p>
      <w:pPr>
        <w:spacing w:after="80"/>
        <w:ind w:left="510" w:hanging="510"/>
        <w:jc w:val="left"/>
      </w:pPr>
      <w:r>
        <w:t>1.</w:t>
        <w:tab/>
      </w:r>
      <w:r>
        <w:rPr>
          <w:b/>
        </w:rPr>
        <w:t>Distrito Tecnológico: no se fija.</w:t>
      </w:r>
      <w:r>
        <w:t xml:space="preserve"> El documento define la sede operativa en la Ciudad Autónoma de Buenos Aires o su área metropolitana, sin comprometer un barrio. Fijarla en el Distrito Tecnológico sumaría el beneficio, pero es una decisión de alcance que se dejó afuera a propósito para no atar el proyecto a una dirección que no se necesita definir todavía.</w:t>
      </w:r>
    </w:p>
    <w:p>
      <w:pPr>
        <w:spacing w:after="80"/>
        <w:ind w:left="510" w:hanging="510"/>
        <w:jc w:val="left"/>
      </w:pPr>
      <w:r>
        <w:t>2.</w:t>
        <w:tab/>
      </w:r>
      <w:r>
        <w:rPr>
          <w:b/>
        </w:rPr>
        <w:t>Derechos de exportación: no aplican.</w:t>
      </w:r>
      <w:r>
        <w:t xml:space="preserve"> El proyecto vende únicamente en el mercado argentino; no exporta servicios, así que no hay base sobre la que el 0 % pueda aplicarse.</w:t>
      </w:r>
    </w:p>
    <w:p>
      <w:r>
        <w:rPr>
          <w:b/>
        </w:rPr>
        <w:t>Dónde:</w:t>
      </w:r>
      <w:r>
        <w:t xml:space="preserve"> el párrafo de 7.7 que ya declaraba qué tributos no alcanzan al</w:t>
      </w:r>
    </w:p>
    <w:p>
      <w:r>
        <w:t xml:space="preserve">proyecto —y por qué— se extiende con estas dos, en </w:t>
      </w:r>
      <w:r>
        <w:rPr>
          <w:rFonts w:ascii="Consolas" w:hAnsi="Consolas" w:eastAsia="Consolas"/>
          <w:sz w:val="21"/>
        </w:rPr>
        <w:t>docs/tfi/TFI-PredictIT.docx</w:t>
      </w:r>
      <w:r>
        <w:t xml:space="preserve"> y su fuente en </w:t>
      </w:r>
      <w:r>
        <w:rPr>
          <w:rFonts w:ascii="Consolas" w:hAnsi="Consolas" w:eastAsia="Consolas"/>
          <w:sz w:val="21"/>
        </w:rPr>
        <w:t>docs/tfi/_escenarios-y-tributos.py</w:t>
      </w:r>
      <w:r>
        <w:t>.</w:t>
      </w:r>
    </w:p>
    <w:p>
      <w:pPr>
        <w:pStyle w:val="Heading2"/>
        <w:pBdr>
          <w:bottom w:val="single" w:sz="6" w:space="6" w:color="2F5496"/>
        </w:pBdr>
        <w:spacing w:before="440"/>
      </w:pPr>
      <w:r>
        <w:rPr>
          <w:rFonts w:ascii="Calibri" w:hAnsi="Calibri" w:eastAsia="Calibri"/>
          <w:color w:val="2F5496"/>
        </w:rPr>
        <w:t>D-50 · Los tres diagramas de secuencia que faltaban, en 10.4.4</w:t>
      </w:r>
    </w:p>
    <w:p>
      <w:r>
        <w:rPr>
          <w:i/>
        </w:rPr>
        <w:t>Estado:</w:t>
      </w:r>
      <w:r>
        <w:t xml:space="preserve"> </w:t>
      </w:r>
      <w:r>
        <w:rPr>
          <w:rFonts w:ascii="Consolas" w:hAnsi="Consolas" w:eastAsia="Consolas"/>
          <w:sz w:val="21"/>
        </w:rPr>
        <w:t>aplicado</w:t>
      </w:r>
      <w:r>
        <w:t xml:space="preserve"> — 10.4.4 tiene ahora las secciones .19, .20 y .21, cada una con su figura.</w:t>
      </w:r>
    </w:p>
    <w:p>
      <w:r>
        <w:rPr>
          <w:b/>
        </w:rPr>
        <w:t>Qué faltaba.</w:t>
      </w:r>
      <w:r>
        <w:t xml:space="preserve"> Los CU-019, CU-020 y CU-021 entraron al documento con D-45 y D-46 con su ficha y sus dos flujos, pero sin diagrama de secuencia. El registro anterior decía que alcanzaba con sumarlos a </w:t>
      </w:r>
      <w:r>
        <w:rPr>
          <w:rFonts w:ascii="Consolas" w:hAnsi="Consolas" w:eastAsia="Consolas"/>
          <w:sz w:val="21"/>
        </w:rPr>
        <w:t>secuencias_por_caso</w:t>
      </w:r>
      <w:r>
        <w:t xml:space="preserve"> en </w:t>
      </w:r>
      <w:r>
        <w:rPr>
          <w:rFonts w:ascii="Consolas" w:hAnsi="Consolas" w:eastAsia="Consolas"/>
          <w:sz w:val="21"/>
        </w:rPr>
        <w:t>docs/tecnico/_diagramas-ea.py</w:t>
      </w:r>
      <w:r>
        <w:t xml:space="preserve"> y volver a correrlo. No alcanzaba: eso genera los PNG, pero nada los mete en el documento. Faltaban dos cosas más —las secciones, que no existían, y las entradas en el </w:t>
      </w:r>
      <w:r>
        <w:rPr>
          <w:rFonts w:ascii="Consolas" w:hAnsi="Consolas" w:eastAsia="Consolas"/>
          <w:sz w:val="21"/>
        </w:rPr>
        <w:t>MAPA</w:t>
      </w:r>
      <w:r>
        <w:t xml:space="preserve"> de </w:t>
      </w:r>
      <w:r>
        <w:rPr>
          <w:rFonts w:ascii="Consolas" w:hAnsi="Consolas" w:eastAsia="Consolas"/>
          <w:sz w:val="21"/>
        </w:rPr>
        <w:t>docs/tfi/_diagramas-al-documento.py</w:t>
      </w:r>
      <w:r>
        <w:t xml:space="preserve">, que llegaba hasta </w:t>
      </w:r>
      <w:r>
        <w:rPr>
          <w:rFonts w:ascii="Consolas" w:hAnsi="Consolas" w:eastAsia="Consolas"/>
          <w:sz w:val="21"/>
        </w:rPr>
        <w:t>10.4.4.13.</w:t>
      </w:r>
      <w:r>
        <w:t>—.</w:t>
      </w:r>
    </w:p>
    <w:p>
      <w:r>
        <w:rPr>
          <w:b/>
        </w:rPr>
        <w:t>La numeración salta de .13 a .19.</w:t>
      </w:r>
      <w:r>
        <w:t xml:space="preserve"> No es un error de tipeo: en 10.4.4 el número de sección sigue al del caso de uso, igual que en las fichas de 10.4.3. CU-014 a CU-018 nunca tuvieron diagrama de secuencia, y dejar el hueco lo dice; renumerar de corrido habría puesto «10.4.4.14» sobre el CU-019 y roto la correspondencia en todo el resto de la sección.</w:t>
      </w:r>
    </w:p>
    <w:p>
      <w:r>
        <w:rPr>
          <w:b/>
        </w:rPr>
        <w:t>De dónde salen los mensajes.</w:t>
      </w:r>
      <w:r>
        <w:t xml:space="preserve"> De leer </w:t>
      </w:r>
      <w:r>
        <w:rPr>
          <w:rFonts w:ascii="Consolas" w:hAnsi="Consolas" w:eastAsia="Consolas"/>
          <w:sz w:val="21"/>
        </w:rPr>
        <w:t>PlanesMantenimientoController</w:t>
      </w:r>
      <w:r>
        <w:t xml:space="preserve">, </w:t>
      </w:r>
      <w:r>
        <w:rPr>
          <w:rFonts w:ascii="Consolas" w:hAnsi="Consolas" w:eastAsia="Consolas"/>
          <w:sz w:val="21"/>
        </w:rPr>
        <w:t>MantenimientosProgramadosController</w:t>
      </w:r>
      <w:r>
        <w:t xml:space="preserve"> y </w:t>
      </w:r>
      <w:r>
        <w:rPr>
          <w:rFonts w:ascii="Consolas" w:hAnsi="Consolas" w:eastAsia="Consolas"/>
          <w:sz w:val="21"/>
        </w:rPr>
        <w:t>FacturacionController</w:t>
      </w:r>
      <w:r>
        <w:t xml:space="preserve"> con sus business, que es el criterio que ya estaba escrito en </w:t>
      </w:r>
      <w:r>
        <w:rPr>
          <w:rFonts w:ascii="Consolas" w:hAnsi="Consolas" w:eastAsia="Consolas"/>
          <w:sz w:val="21"/>
        </w:rPr>
        <w:t>_diagramas-ea.py</w:t>
      </w:r>
      <w:r>
        <w:t>: un diagrama de secuencia que no coincide con el código se le cree igual, y ahí está el problema. El de CU-021 muestra el borrador y la emisión como dos llamadas separadas, porque así está implementado: entre una y otra se cargan los ajustes.</w:t>
      </w:r>
    </w:p>
    <w:p>
      <w:r>
        <w:rPr>
          <w:b/>
        </w:rPr>
        <w:t>Lo que queda.</w:t>
      </w:r>
      <w:r>
        <w:t xml:space="preserve"> Los tres son los que genera el script, no versiones rehechas a mano: </w:t>
      </w:r>
      <w:r>
        <w:rPr>
          <w:rFonts w:ascii="Consolas" w:hAnsi="Consolas" w:eastAsia="Consolas"/>
          <w:sz w:val="21"/>
        </w:rPr>
        <w:t>EQUIVALENCIA</w:t>
      </w:r>
      <w:r>
        <w:t xml:space="preserve"> en </w:t>
      </w:r>
      <w:r>
        <w:rPr>
          <w:rFonts w:ascii="Consolas" w:hAnsi="Consolas" w:eastAsia="Consolas"/>
          <w:sz w:val="21"/>
        </w:rPr>
        <w:t>_diagramas-del-modelo.py</w:t>
      </w:r>
      <w:r>
        <w:t xml:space="preserve"> cubre CU-001 a CU-013 y el modelo que se entrega no tiene los nuevos. Son correctos pero se ven distintos. Queda anotado en </w:t>
      </w:r>
      <w:r>
        <w:rPr>
          <w:rFonts w:ascii="Consolas" w:hAnsi="Consolas" w:eastAsia="Consolas"/>
          <w:sz w:val="21"/>
        </w:rPr>
        <w:t>PENDIENTE.md</w:t>
      </w:r>
      <w:r>
        <w:t>.</w:t>
      </w:r>
    </w:p>
    <w:p>
      <w:r>
        <w:rPr>
          <w:b/>
        </w:rPr>
        <w:t>Dónde:</w:t>
      </w:r>
      <w:r>
        <w:t xml:space="preserve"> </w:t>
      </w:r>
      <w:r>
        <w:rPr>
          <w:rFonts w:ascii="Consolas" w:hAnsi="Consolas" w:eastAsia="Consolas"/>
          <w:sz w:val="21"/>
        </w:rPr>
        <w:t>docs/tfi/TFI-PredictIT.docx</w:t>
      </w:r>
      <w:r>
        <w:t xml:space="preserve"> (secciones 10.4.4.19 a .21),</w:t>
      </w:r>
    </w:p>
    <w:p>
      <w:r>
        <w:rPr>
          <w:rFonts w:ascii="Consolas" w:hAnsi="Consolas" w:eastAsia="Consolas"/>
          <w:sz w:val="21"/>
        </w:rPr>
        <w:t>docs/tfi/_diagramas-al-documento.py</w:t>
      </w:r>
      <w:r>
        <w:t xml:space="preserve"> (el </w:t>
      </w:r>
      <w:r>
        <w:rPr>
          <w:rFonts w:ascii="Consolas" w:hAnsi="Consolas" w:eastAsia="Consolas"/>
          <w:sz w:val="21"/>
        </w:rPr>
        <w:t>MAPA</w:t>
      </w:r>
      <w:r>
        <w:t xml:space="preserve">) y la función </w:t>
      </w:r>
      <w:r>
        <w:rPr>
          <w:rFonts w:ascii="Consolas" w:hAnsi="Consolas" w:eastAsia="Consolas"/>
          <w:sz w:val="21"/>
        </w:rPr>
        <w:t>secuencias_por_caso</w:t>
      </w:r>
      <w:r>
        <w:t xml:space="preserve"> de </w:t>
      </w:r>
      <w:r>
        <w:rPr>
          <w:rFonts w:ascii="Consolas" w:hAnsi="Consolas" w:eastAsia="Consolas"/>
          <w:sz w:val="21"/>
        </w:rPr>
        <w:t>docs/tecnico/_diagramas-ea.py</w:t>
      </w:r>
      <w:r>
        <w:t>.</w:t>
      </w:r>
    </w:p>
    <w:p>
      <w:pPr>
        <w:pStyle w:val="Heading2"/>
        <w:pBdr>
          <w:bottom w:val="single" w:sz="6" w:space="6" w:color="2F5496"/>
        </w:pBdr>
        <w:spacing w:before="440"/>
      </w:pPr>
      <w:r>
        <w:rPr>
          <w:rFonts w:ascii="Calibri" w:hAnsi="Calibri" w:eastAsia="Calibri"/>
          <w:color w:val="2F5496"/>
        </w:rPr>
        <w:t>D-51 · El 18/09 era la entrega, no la devolución</w:t>
      </w:r>
    </w:p>
    <w:p>
      <w:r>
        <w:rPr>
          <w:i/>
        </w:rPr>
        <w:t>Estado:</w:t>
      </w:r>
      <w:r>
        <w:t xml:space="preserve"> </w:t>
      </w:r>
      <w:r>
        <w:rPr>
          <w:rFonts w:ascii="Consolas" w:hAnsi="Consolas" w:eastAsia="Consolas"/>
          <w:sz w:val="21"/>
        </w:rPr>
        <w:t>aplicado</w:t>
      </w:r>
      <w:r>
        <w:t xml:space="preserve"> — corregido en </w:t>
      </w:r>
      <w:r>
        <w:rPr>
          <w:rFonts w:ascii="Consolas" w:hAnsi="Consolas" w:eastAsia="Consolas"/>
          <w:sz w:val="21"/>
        </w:rPr>
        <w:t>docs/PENDIENTE.md</w:t>
      </w:r>
      <w:r>
        <w:t xml:space="preserve"> y en el LEEME de la Entrega 2 de negocio.</w:t>
      </w:r>
    </w:p>
    <w:p>
      <w:r>
        <w:rPr>
          <w:b/>
        </w:rPr>
        <w:t>Qué pasó.</w:t>
      </w:r>
      <w:r>
        <w:t xml:space="preserve"> </w:t>
      </w:r>
      <w:r>
        <w:rPr>
          <w:rFonts w:ascii="Consolas" w:hAnsi="Consolas" w:eastAsia="Consolas"/>
          <w:sz w:val="21"/>
        </w:rPr>
        <w:t>PENDIENTE.md</w:t>
      </w:r>
      <w:r>
        <w:t xml:space="preserve"> llamaba al 18 de septiembre «Devolución de la Entrega 1 de negocio», y el LEEME de la Entrega 2 decía que se arma «con la devolución de la primera entrega, que es del 18 de septiembre». Las dos frases daban a entender que el 18 se </w:t>
      </w:r>
      <w:r>
        <w:rPr>
          <w:b/>
        </w:rPr>
        <w:t>recibe</w:t>
      </w:r>
      <w:r>
        <w:t xml:space="preserve"> una corrección. Es al revés: el 18 de septiembre es cuando el </w:t>
      </w:r>
      <w:r>
        <w:rPr>
          <w:b/>
        </w:rPr>
        <w:t>Grupo 2 entrega</w:t>
      </w:r>
      <w:r>
        <w:t xml:space="preserve"> la primera entrega de negocio.</w:t>
      </w:r>
    </w:p>
    <w:p>
      <w:r>
        <w:rPr>
          <w:b/>
        </w:rPr>
        <w:t>Por qué no lo agarró ningún control.</w:t>
      </w:r>
      <w:r>
        <w:t xml:space="preserve"> Las fechas sí estaban bien donde importa. La constante </w:t>
      </w:r>
      <w:r>
        <w:rPr>
          <w:rFonts w:ascii="Consolas" w:hAnsi="Consolas" w:eastAsia="Consolas"/>
          <w:sz w:val="21"/>
        </w:rPr>
        <w:t>FECHAS</w:t>
      </w:r>
      <w:r>
        <w:t xml:space="preserve"> de </w:t>
      </w:r>
      <w:r>
        <w:rPr>
          <w:rFonts w:ascii="Consolas" w:hAnsi="Consolas" w:eastAsia="Consolas"/>
          <w:sz w:val="21"/>
        </w:rPr>
        <w:t>docs/_verificar-alineacion.py</w:t>
      </w:r>
      <w:r>
        <w:t xml:space="preserve"> —que es la fuente única— dice </w:t>
      </w:r>
      <w:r>
        <w:rPr>
          <w:rFonts w:ascii="Consolas" w:hAnsi="Consolas" w:eastAsia="Consolas"/>
          <w:sz w:val="21"/>
        </w:rPr>
        <w:t>('1', '18 de septiembre', '11 de septiembre')</w:t>
      </w:r>
      <w:r>
        <w:t xml:space="preserve">, o sea Grupo 2 el 18 y Grupo 1 el 11, y las tablas de </w:t>
      </w:r>
      <w:r>
        <w:rPr>
          <w:rFonts w:ascii="Consolas" w:hAnsi="Consolas" w:eastAsia="Consolas"/>
          <w:sz w:val="21"/>
        </w:rPr>
        <w:t>docs/negocio/README.md</w:t>
      </w:r>
      <w:r>
        <w:t xml:space="preserve"> y del LEEME de la primera entrega la reproducen. El control 4 compara </w:t>
      </w:r>
      <w:r>
        <w:rPr>
          <w:b/>
        </w:rPr>
        <w:t>las fechas</w:t>
      </w:r>
      <w:r>
        <w:t>, no cómo se las nombra alrededor, así que el número correcto convivía con una etiqueta que decía otra cosa.</w:t>
      </w:r>
    </w:p>
    <w:p>
      <w:r>
        <w:t>Es la misma clase de error que D-47, pero al revés: allá el dato estaba mal y el rótulo bien; acá el dato estaba bien y el rótulo mal. Y cuesta más de encontrar, porque no hay nada que contrastar: sólo se ve leyendo la frase entera.</w:t>
      </w:r>
    </w:p>
    <w:p>
      <w:r>
        <w:rPr>
          <w:b/>
        </w:rPr>
        <w:t>Lo que confirma la corrección.</w:t>
      </w:r>
      <w:r>
        <w:t xml:space="preserve"> La cátedra alterna el orden de los grupos entre entregas, que es la regla que D-33 ya había dejado escrita. Si en la Entrega 2 el Grupo 2 abre el 16 de octubre y el Grupo 1 cierra el 23, en la Entrega 1 el orden es el inverso: Grupo 1 el 11 de septiembre y Grupo 2 el 18. La fila de la tabla decía exactamente eso desde el principio.</w:t>
      </w:r>
    </w:p>
    <w:p>
      <w:r>
        <w:rPr>
          <w:b/>
        </w:rPr>
        <w:t>Consecuencia práctica.</w:t>
      </w:r>
      <w:r>
        <w:t xml:space="preserve"> La sección 1 de </w:t>
      </w:r>
      <w:r>
        <w:rPr>
          <w:rFonts w:ascii="Consolas" w:hAnsi="Consolas" w:eastAsia="Consolas"/>
          <w:sz w:val="21"/>
        </w:rPr>
        <w:t>PENDIENTE.md</w:t>
      </w:r>
      <w:r>
        <w:t xml:space="preserve"> estaba escrita sobre la lectura equivocada —«lo que espera la devolución del 18/09»— y describía como trabajo futuro algo que en realidad hay que entregar esta semana. Reescrita: la Entrega 1 está armada y verificada, y lo que espera la corrección es la Entrega 2 del 16/10.</w:t>
      </w:r>
    </w:p>
    <w:p>
      <w:pPr>
        <w:pStyle w:val="Heading2"/>
        <w:pBdr>
          <w:bottom w:val="single" w:sz="6" w:space="6" w:color="2F5496"/>
        </w:pBdr>
        <w:spacing w:before="440"/>
      </w:pPr>
      <w:r>
        <w:rPr>
          <w:rFonts w:ascii="Calibri" w:hAnsi="Calibri" w:eastAsia="Calibri"/>
          <w:color w:val="2F5496"/>
        </w:rPr>
        <w:t>D-52 · La reasignación manual no reasignaba, y el CP-08 no lo veía</w:t>
      </w:r>
    </w:p>
    <w:p>
      <w:r>
        <w:rPr>
          <w:i/>
        </w:rPr>
        <w:t>Estado:</w:t>
      </w:r>
      <w:r>
        <w:t xml:space="preserve"> </w:t>
      </w:r>
      <w:r>
        <w:rPr>
          <w:rFonts w:ascii="Consolas" w:hAnsi="Consolas" w:eastAsia="Consolas"/>
          <w:sz w:val="21"/>
        </w:rPr>
        <w:t>aplicado</w:t>
      </w:r>
      <w:r>
        <w:t xml:space="preserve"> — el endpoint quedó en su método, con tres pruebas de integración que lo cubren.</w:t>
      </w:r>
    </w:p>
    <w:p>
      <w:r>
        <w:rPr>
          <w:b/>
        </w:rPr>
        <w:t>Qué pasó.</w:t>
      </w:r>
      <w:r>
        <w:t xml:space="preserve"> En </w:t>
      </w:r>
      <w:r>
        <w:rPr>
          <w:rFonts w:ascii="Consolas" w:hAnsi="Consolas" w:eastAsia="Consolas"/>
          <w:sz w:val="21"/>
        </w:rPr>
        <w:t>IncidenciasController</w:t>
      </w:r>
      <w:r>
        <w:t>, los atributos del CU-013 habían quedado huérfanos entre dos métodos:</w:t>
      </w:r>
    </w:p>
    <w:p>
      <w:pPr>
        <w:spacing w:line="240" w:lineRule="auto" w:after="0"/>
        <w:ind w:left="283" w:right="113"/>
        <w:jc w:val="left"/>
        <w:shd w:val="clear" w:fill="F4F6F7"/>
      </w:pPr>
      <w:r>
        <w:rPr>
          <w:rFonts w:ascii="Consolas" w:hAnsi="Consolas" w:eastAsia="Consolas"/>
          <w:sz w:val="19"/>
        </w:rPr>
        <w:t>/// &lt;summary&gt;Reasignación manual (CU-013).&lt;/summary&gt;</w:t>
      </w:r>
    </w:p>
    <w:p>
      <w:pPr>
        <w:spacing w:line="240" w:lineRule="auto" w:after="0"/>
        <w:ind w:left="283" w:right="113"/>
        <w:jc w:val="left"/>
        <w:shd w:val="clear" w:fill="F4F6F7"/>
      </w:pPr>
      <w:r>
        <w:rPr>
          <w:rFonts w:ascii="Consolas" w:hAnsi="Consolas" w:eastAsia="Consolas"/>
          <w:sz w:val="19"/>
        </w:rPr>
        <w:t>[HttpPut("{id:guid}/tecnico")]</w:t>
      </w:r>
    </w:p>
    <w:p>
      <w:pPr>
        <w:spacing w:line="240" w:lineRule="auto" w:after="0"/>
        <w:ind w:left="283" w:right="113"/>
        <w:jc w:val="left"/>
        <w:shd w:val="clear" w:fill="F4F6F7"/>
      </w:pPr>
      <w:r>
        <w:rPr>
          <w:rFonts w:ascii="Consolas" w:hAnsi="Consolas" w:eastAsia="Consolas"/>
          <w:sz w:val="19"/>
        </w:rPr>
        <w:t>[RequierePatente(IncidenciaReasignarTodas, IncidenciaReasignarPropias)]</w:t>
      </w:r>
    </w:p>
    <w:p>
      <w:pPr>
        <w:spacing w:line="240" w:lineRule="auto" w:after="0"/>
        <w:ind w:left="283" w:right="113"/>
        <w:jc w:val="left"/>
        <w:shd w:val="clear" w:fill="F4F6F7"/>
      </w:pPr>
      <w:r>
        <w:rPr>
          <w:rFonts w:ascii="Consolas" w:hAnsi="Consolas" w:eastAsia="Consolas"/>
          <w:sz w:val="19"/>
        </w:rPr>
        <w:t>/// &lt;summary&gt;Qué transiciones admite la incidencia ahora.&lt;/summary&gt;   ← otro método</w:t>
      </w:r>
    </w:p>
    <w:p>
      <w:pPr>
        <w:spacing w:line="240" w:lineRule="auto" w:after="0"/>
        <w:ind w:left="283" w:right="113"/>
        <w:jc w:val="left"/>
        <w:shd w:val="clear" w:fill="F4F6F7"/>
      </w:pPr>
      <w:r>
        <w:rPr>
          <w:rFonts w:ascii="Consolas" w:hAnsi="Consolas" w:eastAsia="Consolas"/>
          <w:sz w:val="19"/>
        </w:rPr>
        <w:t>[HttpGet("{id:guid}/transiciones")]</w:t>
      </w:r>
    </w:p>
    <w:p>
      <w:pPr>
        <w:spacing w:line="240" w:lineRule="auto" w:after="0"/>
        <w:ind w:left="283" w:right="113"/>
        <w:jc w:val="left"/>
        <w:shd w:val="clear" w:fill="F4F6F7"/>
      </w:pPr>
      <w:r>
        <w:rPr>
          <w:rFonts w:ascii="Consolas" w:hAnsi="Consolas" w:eastAsia="Consolas"/>
          <w:sz w:val="19"/>
        </w:rPr>
        <w:t>[RequierePatente(IncidenciaVerTodas, IncidenciaVerPropias)]</w:t>
      </w:r>
    </w:p>
    <w:p>
      <w:pPr>
        <w:spacing w:line="240" w:lineRule="auto" w:after="0"/>
        <w:ind w:left="283" w:right="113"/>
        <w:jc w:val="left"/>
        <w:shd w:val="clear" w:fill="F4F6F7"/>
      </w:pPr>
      <w:r>
        <w:rPr>
          <w:rFonts w:ascii="Consolas" w:hAnsi="Consolas" w:eastAsia="Consolas"/>
          <w:sz w:val="19"/>
        </w:rPr>
        <w:t>public ActionResult&lt;IReadOnlyList&lt;TransicionDto&gt;&gt; Transiciones(Guid id) =&gt; …</w:t>
      </w:r>
    </w:p>
    <w:p>
      <w:r>
        <w:t xml:space="preserve">En C# los atributos se aplican al </w:t>
      </w:r>
      <w:r>
        <w:rPr>
          <w:b/>
        </w:rPr>
        <w:t>siguiente miembro</w:t>
      </w:r>
      <w:r>
        <w:t xml:space="preserve">, y el comentario del medio no los corta. Resultado: </w:t>
      </w:r>
      <w:r>
        <w:rPr>
          <w:rFonts w:ascii="Consolas" w:hAnsi="Consolas" w:eastAsia="Consolas"/>
          <w:sz w:val="21"/>
        </w:rPr>
        <w:t>Transiciones</w:t>
      </w:r>
      <w:r>
        <w:t xml:space="preserve"> terminó con dos rutas y dos exigencias de patente, y </w:t>
      </w:r>
      <w:r>
        <w:rPr>
          <w:rFonts w:ascii="Consolas" w:hAnsi="Consolas" w:eastAsia="Consolas"/>
          <w:sz w:val="21"/>
        </w:rPr>
        <w:t>Reasignar</w:t>
      </w:r>
      <w:r>
        <w:t xml:space="preserve"> —que estaba más abajo— quedó </w:t>
      </w:r>
      <w:r>
        <w:rPr>
          <w:b/>
        </w:rPr>
        <w:t>sin ninguna ruta</w:t>
      </w:r>
      <w:r>
        <w:t>, o sea fuera de la API.</w:t>
      </w:r>
    </w:p>
    <w:p>
      <w:r>
        <w:rPr>
          <w:b/>
        </w:rPr>
        <w:t>Por qué es peor de lo que parece.</w:t>
      </w:r>
      <w:r>
        <w:t xml:space="preserve"> No devolvía 404. El frontend llamaba a </w:t>
      </w:r>
      <w:r>
        <w:rPr>
          <w:rFonts w:ascii="Consolas" w:hAnsi="Consolas" w:eastAsia="Consolas"/>
          <w:sz w:val="21"/>
        </w:rPr>
        <w:t>PUT /api/incidencias/{id}/tecnico</w:t>
      </w:r>
      <w:r>
        <w:t xml:space="preserve">, la petición caía en </w:t>
      </w:r>
      <w:r>
        <w:rPr>
          <w:rFonts w:ascii="Consolas" w:hAnsi="Consolas" w:eastAsia="Consolas"/>
          <w:sz w:val="21"/>
        </w:rPr>
        <w:t>Transiciones</w:t>
      </w:r>
      <w:r>
        <w:t xml:space="preserve">, y volvía </w:t>
      </w:r>
      <w:r>
        <w:rPr>
          <w:b/>
        </w:rPr>
        <w:t>200</w:t>
      </w:r>
      <w:r>
        <w:t xml:space="preserve"> con la lista de transiciones. La pantalla daba la reasignación por hecha y el técnico no cambiaba. Un 404 se ve; esto no.</w:t>
      </w:r>
    </w:p>
    <w:p>
      <w:r>
        <w:rPr>
          <w:b/>
        </w:rPr>
        <w:t>Por qué las pruebas no lo agarraron.</w:t>
      </w:r>
      <w:r>
        <w:t xml:space="preserve"> El CP-08 —«reasignación manual con control de permisos»— prueba la regla en la capa de negocio: </w:t>
      </w:r>
      <w:r>
        <w:rPr>
          <w:rFonts w:ascii="Consolas" w:hAnsi="Consolas" w:eastAsia="Consolas"/>
          <w:sz w:val="21"/>
        </w:rPr>
        <w:t>IncidenciaBusiness.Reasignar</w:t>
      </w:r>
      <w:r>
        <w:t xml:space="preserve"> y su verificación de patentes. Eso estaba y sigue estando bien. Lo que no había era una prueba que pasara por la API, y el defecto vivía exactamente ahí: entre el controlador y el negocio.</w:t>
      </w:r>
    </w:p>
    <w:p>
      <w:r>
        <w:rPr>
          <w:b/>
        </w:rPr>
        <w:t>Cómo apareció.</w:t>
      </w:r>
      <w:r>
        <w:t xml:space="preserve"> Al activar </w:t>
      </w:r>
      <w:r>
        <w:rPr>
          <w:rFonts w:ascii="Consolas" w:hAnsi="Consolas" w:eastAsia="Consolas"/>
          <w:sz w:val="21"/>
        </w:rPr>
        <w:t>GenerateDocumentationFile</w:t>
      </w:r>
      <w:r>
        <w:t xml:space="preserve"> para que Swagger mostrara las descripciones, el compilador avisó </w:t>
      </w:r>
      <w:r>
        <w:rPr>
          <w:rFonts w:ascii="Consolas" w:hAnsi="Consolas" w:eastAsia="Consolas"/>
          <w:sz w:val="21"/>
        </w:rPr>
        <w:t>CS1587: el comentario XML no está situado en un elemento válido</w:t>
      </w:r>
      <w:r>
        <w:t>. Un aviso por un comentario mal ubicado terminó destapando un caso de uso caído. Es el argumento más concreto a favor de prender la documentación: no sirve sólo para documentar.</w:t>
      </w:r>
    </w:p>
    <w:p>
      <w:r>
        <w:rPr>
          <w:b/>
        </w:rPr>
        <w:t>Lo que se agregó, además del arreglo:</w:t>
      </w:r>
      <w:r>
        <w:t xml:space="preserve"> tres pruebas de integración en</w:t>
      </w:r>
    </w:p>
    <w:p>
      <w:r>
        <w:rPr>
          <w:rFonts w:ascii="Consolas" w:hAnsi="Consolas" w:eastAsia="Consolas"/>
          <w:sz w:val="21"/>
        </w:rPr>
        <w:t>ReasignacionPorLaApiTests</w:t>
      </w:r>
      <w:r>
        <w:t xml:space="preserve">. La primera comprueba que el PUT devuelva 204 y que el técnico efectivamente cambie —se verificó que falla contra el código roto antes de corregirlo—; la segunda, que </w:t>
      </w:r>
      <w:r>
        <w:rPr>
          <w:rFonts w:ascii="Consolas" w:hAnsi="Consolas" w:eastAsia="Consolas"/>
          <w:sz w:val="21"/>
        </w:rPr>
        <w:t>/transiciones</w:t>
      </w:r>
      <w:r>
        <w:t xml:space="preserve"> siga respondiendo en su propia ruta; la tercera, que el solicitante reciba 403, que es la exigencia que había quedado puesta sobre el endpoint equivocado.</w:t>
      </w:r>
    </w:p>
    <w:p>
      <w:pPr>
        <w:pStyle w:val="Heading2"/>
        <w:pBdr>
          <w:bottom w:val="single" w:sz="6" w:space="6" w:color="2F5496"/>
        </w:pBdr>
        <w:spacing w:before="440"/>
      </w:pPr>
      <w:r>
        <w:rPr>
          <w:rFonts w:ascii="Calibri" w:hAnsi="Calibri" w:eastAsia="Calibri"/>
          <w:color w:val="2F5496"/>
        </w:rPr>
        <w:t>D-53 · El RNF-05 pasa a ser verificable</w:t>
      </w:r>
    </w:p>
    <w:p>
      <w:r>
        <w:rPr>
          <w:i/>
        </w:rPr>
        <w:t>Estado:</w:t>
      </w:r>
      <w:r>
        <w:t xml:space="preserve"> </w:t>
      </w:r>
      <w:r>
        <w:rPr>
          <w:rFonts w:ascii="Consolas" w:hAnsi="Consolas" w:eastAsia="Consolas"/>
          <w:sz w:val="21"/>
        </w:rPr>
        <w:t>aplicado fuera del .docx</w:t>
      </w:r>
      <w:r>
        <w:t xml:space="preserve"> — vive en el ADR 0015 y en el código; el documento no cambia de texto, cambia lo que se puede afirmar de él.</w:t>
      </w:r>
    </w:p>
    <w:p>
      <w:r>
        <w:rPr>
          <w:b/>
        </w:rPr>
        <w:t>Qué pasaba.</w:t>
      </w:r>
      <w:r>
        <w:t xml:space="preserve"> El capítulo 10.2.2 compromete diez requisitos no funcionales. Tres de los cuatro medibles tienen su medición —el percentil 95 con </w:t>
      </w:r>
      <w:r>
        <w:rPr>
          <w:rFonts w:ascii="Consolas" w:hAnsi="Consolas" w:eastAsia="Consolas"/>
          <w:sz w:val="21"/>
        </w:rPr>
        <w:t>medir-carga.py</w:t>
      </w:r>
      <w:r>
        <w:t>, la estabilidad bajo carga con el perfilado del ADR 0008, la degradación con CP-14 y CP-15—. El RNF-05, «disponibilidad del 95 % del horario laboral», no tenía ninguna: era el único requisito que el trabajo afirmaba y no podía comprobar.</w:t>
      </w:r>
    </w:p>
    <w:p>
      <w:r>
        <w:rPr>
          <w:b/>
        </w:rPr>
        <w:t>Qué se hizo.</w:t>
      </w:r>
      <w:r>
        <w:t xml:space="preserve"> El sistema expone sus métricas en formato Prometheus, en </w:t>
      </w:r>
      <w:r>
        <w:rPr>
          <w:rFonts w:ascii="Consolas" w:hAnsi="Consolas" w:eastAsia="Consolas"/>
          <w:sz w:val="21"/>
        </w:rPr>
        <w:t>GET /api/metricas</w:t>
      </w:r>
      <w:r>
        <w:t>, detrás de un token. No se incorporan Prometheus ni Grafana: la aplicación expone y la infraestructura recolecta, que además es lo que corresponde al alcance, porque el despliegue en servidor está declarado afuera.</w:t>
      </w:r>
    </w:p>
    <w:p>
      <w:r>
        <w:t>El tiempo en línea es lo que cierra el RNF-05. De paso quedan medibles de forma continua —y no puntual— la latencia por endpoint del RNF-04 y la memoria del RNF-09, y quedan observables los dos mecanismos del ADR 0009 que se pueden consultar sin instrumentar el negocio: los disyuntores abiertos y lo que rechaza el limitador.</w:t>
      </w:r>
    </w:p>
    <w:p>
      <w:r>
        <w:rPr>
          <w:b/>
        </w:rPr>
        <w:t>Lo que no resuelve, dicho para que no se lea como una promesa de más.</w:t>
      </w:r>
      <w:r>
        <w:t xml:space="preserve"> Sin recolector no hay histórico ni alertas: el sistema puede decir «el disyuntor está abierto ahora», no «se abrió ocho veces el martes». Y las métricas vuelven a cero al reiniciar el contenedor. Es consecuencia de la decisión de no incorporar el stack, y está escrito en el ADR.</w:t>
      </w:r>
    </w:p>
    <w:p>
      <w:r>
        <w:rPr>
          <w:b/>
        </w:rPr>
        <w:t>Dónde tocar el documento, si se decide.</w:t>
      </w:r>
      <w:r>
        <w:t xml:space="preserve"> El 10.2.2 podría agregar, en la columna de verificación del RNF-05, que se mide con el tiempo en línea que expone </w:t>
      </w:r>
      <w:r>
        <w:rPr>
          <w:rFonts w:ascii="Consolas" w:hAnsi="Consolas" w:eastAsia="Consolas"/>
          <w:sz w:val="21"/>
        </w:rPr>
        <w:t>/api/metricas</w:t>
      </w:r>
      <w:r>
        <w:t>. No se hizo todavía porque esa columna no existe: los RNF del documento no declaran cómo se verifica cada uno, y agregarla es un cambio de la tabla entera, no de una fila.</w:t>
      </w:r>
    </w:p>
    <w:p>
      <w:pPr>
        <w:pStyle w:val="Heading2"/>
        <w:pBdr>
          <w:bottom w:val="single" w:sz="6" w:space="6" w:color="2F5496"/>
        </w:pBdr>
        <w:spacing w:before="440"/>
      </w:pPr>
      <w:r>
        <w:rPr>
          <w:rFonts w:ascii="Calibri" w:hAnsi="Calibri" w:eastAsia="Calibri"/>
          <w:color w:val="2F5496"/>
        </w:rPr>
        <w:t>D-54 · El frontend se alinea al prototipo, y el prototipo se corrige</w:t>
      </w:r>
    </w:p>
    <w:p>
      <w:r>
        <w:rPr>
          <w:i/>
        </w:rPr>
        <w:t>Estado:</w:t>
      </w:r>
      <w:r>
        <w:t xml:space="preserve"> </w:t>
      </w:r>
      <w:r>
        <w:rPr>
          <w:rFonts w:ascii="Consolas" w:hAnsi="Consolas" w:eastAsia="Consolas"/>
          <w:sz w:val="21"/>
        </w:rPr>
        <w:t>aplicado</w:t>
      </w:r>
      <w:r>
        <w:t xml:space="preserve"> — los siete incrementos: capa de tokens, armazón de la aplicación, contadores de la navegación, tablas y formularios, el desglose del motor predictivo, los segmentos del inventario y el tablero de incidencias.</w:t>
      </w:r>
    </w:p>
    <w:p>
      <w:r>
        <w:rPr>
          <w:b/>
        </w:rPr>
        <w:t>Qué pasaba.</w:t>
      </w:r>
      <w:r>
        <w:t xml:space="preserve"> </w:t>
      </w:r>
      <w:r>
        <w:rPr>
          <w:rFonts w:ascii="Consolas" w:hAnsi="Consolas" w:eastAsia="Consolas"/>
          <w:sz w:val="21"/>
        </w:rPr>
        <w:t>docs/design/prototipo-completo.html</w:t>
      </w:r>
      <w:r>
        <w:t xml:space="preserve"> es la maqueta de la que salió el diseño, y la interfaz real se fue separando de ella: distinta tipografía, distinta escala tipográfica, distintos grises y distintos radios. No era una diferencia de criterio sino deriva: nadie decidió apartarse, se apartó solo.</w:t>
      </w:r>
    </w:p>
    <w:p>
      <w:r>
        <w:rPr>
          <w:b/>
        </w:rPr>
        <w:t>Qué se hizo.</w:t>
      </w:r>
      <w:r>
        <w:t xml:space="preserve"> La capa de tokens —</w:t>
      </w:r>
      <w:r>
        <w:rPr>
          <w:rFonts w:ascii="Consolas" w:hAnsi="Consolas" w:eastAsia="Consolas"/>
          <w:sz w:val="21"/>
        </w:rPr>
        <w:t>frontend/src/estilos/tokens.css</w:t>
      </w:r>
      <w:r>
        <w:t>— se llevó a los valores del prototipo: 66 variables, entre la escala tipográfica, los anchos de las barras, los radios y las tres paletas. La tipografía pasa de Manrope a Plus Jakarta Sans, que es la del prototipo.</w:t>
      </w:r>
    </w:p>
    <w:p>
      <w:r>
        <w:rPr>
          <w:b/>
        </w:rPr>
        <w:t>Lo que el prototipo tenía mal.</w:t>
      </w:r>
      <w:r>
        <w:t xml:space="preserve"> Al pasar sus colores por </w:t>
      </w:r>
      <w:r>
        <w:rPr>
          <w:rFonts w:ascii="Consolas" w:hAnsi="Consolas" w:eastAsia="Consolas"/>
          <w:sz w:val="21"/>
        </w:rPr>
        <w:t>docs/design/_contraste.py</w:t>
      </w:r>
      <w:r>
        <w:t xml:space="preserve"> aparecieron tres pares por debajo del piso de la WCAG AA:</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Par</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Prototipo</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Corregido</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--linea-fuerte</w:t>
            </w:r>
            <w:r>
              <w:rPr>
                <w:rFonts w:ascii="Calibri" w:hAnsi="Calibri" w:eastAsia="Calibri"/>
                <w:sz w:val="20"/>
              </w:rPr>
              <w:t xml:space="preserve"> sobre </w:t>
            </w:r>
            <w:r>
              <w:rPr>
                <w:rFonts w:ascii="Consolas" w:hAnsi="Consolas" w:eastAsia="Consolas"/>
                <w:sz w:val="19"/>
              </w:rPr>
              <w:t>--sup-2</w:t>
            </w:r>
            <w:r>
              <w:rPr>
                <w:rFonts w:ascii="Calibri" w:hAnsi="Calibri" w:eastAsia="Calibri"/>
                <w:sz w:val="20"/>
              </w:rPr>
              <w:t>, tema oscuro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#526597</w:t>
            </w:r>
            <w:r>
              <w:rPr>
                <w:rFonts w:ascii="Calibri" w:hAnsi="Calibri" w:eastAsia="Calibri"/>
                <w:sz w:val="20"/>
              </w:rPr>
              <w:t xml:space="preserve"> (2,45:1)</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#56699e</w:t>
            </w:r>
            <w:r>
              <w:rPr>
                <w:rFonts w:ascii="Calibri" w:hAnsi="Calibri" w:eastAsia="Calibri"/>
                <w:sz w:val="20"/>
              </w:rPr>
              <w:t xml:space="preserve"> (3,01:1)</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onsolas" w:hAnsi="Consolas" w:eastAsia="Consolas"/>
                <w:sz w:val="19"/>
              </w:rPr>
              <w:t>--linea-fuerte</w:t>
            </w:r>
            <w:r>
              <w:rPr>
                <w:rFonts w:ascii="Calibri" w:hAnsi="Calibri" w:eastAsia="Calibri"/>
                <w:sz w:val="20"/>
              </w:rPr>
              <w:t xml:space="preserve"> sobre </w:t>
            </w:r>
            <w:r>
              <w:rPr>
                <w:rFonts w:ascii="Consolas" w:hAnsi="Consolas" w:eastAsia="Consolas"/>
                <w:sz w:val="19"/>
              </w:rPr>
              <w:t>--lienzo</w:t>
            </w:r>
            <w:r>
              <w:rPr>
                <w:rFonts w:ascii="Calibri" w:hAnsi="Calibri" w:eastAsia="Calibri"/>
                <w:sz w:val="20"/>
              </w:rPr>
              <w:t>, tema claro</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onsolas" w:hAnsi="Consolas" w:eastAsia="Consolas"/>
                <w:sz w:val="19"/>
              </w:rPr>
              <w:t>#8492b6</w:t>
            </w:r>
            <w:r>
              <w:rPr>
                <w:rFonts w:ascii="Calibri" w:hAnsi="Calibri" w:eastAsia="Calibri"/>
                <w:sz w:val="20"/>
              </w:rPr>
              <w:t xml:space="preserve"> (2,82:1)</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onsolas" w:hAnsi="Consolas" w:eastAsia="Consolas"/>
                <w:sz w:val="19"/>
              </w:rPr>
              <w:t>#7a89b0</w:t>
            </w:r>
            <w:r>
              <w:rPr>
                <w:rFonts w:ascii="Calibri" w:hAnsi="Calibri" w:eastAsia="Calibri"/>
                <w:sz w:val="20"/>
              </w:rPr>
              <w:t xml:space="preserve"> (3,17:1)</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--acento-hover</w:t>
            </w:r>
            <w:r>
              <w:rPr>
                <w:rFonts w:ascii="Calibri" w:hAnsi="Calibri" w:eastAsia="Calibri"/>
                <w:sz w:val="20"/>
              </w:rPr>
              <w:t xml:space="preserve"> sobre blanco, tema oscuro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#5480ff</w:t>
            </w:r>
            <w:r>
              <w:rPr>
                <w:rFonts w:ascii="Calibri" w:hAnsi="Calibri" w:eastAsia="Calibri"/>
                <w:sz w:val="20"/>
              </w:rPr>
              <w:t xml:space="preserve"> (3,59:1)</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#3569ff</w:t>
            </w:r>
            <w:r>
              <w:rPr>
                <w:rFonts w:ascii="Calibri" w:hAnsi="Calibri" w:eastAsia="Calibri"/>
                <w:sz w:val="20"/>
              </w:rPr>
              <w:t xml:space="preserve"> (4,54:1)</w:t>
            </w:r>
          </w:p>
        </w:tc>
      </w:tr>
    </w:tbl>
    <w:p>
      <w:pPr>
        <w:spacing w:after="80"/>
      </w:pPr>
    </w:p>
    <w:p>
      <w:r>
        <w:t>Se movió sólo la luminosidad y se dejó el tono: la intención del prototipo es el color, lo que había que corregir era cuánto se separa del fondo. El RNF-07 —accesibilidad AA— manda sobre la maqueta, no al revés.</w:t>
      </w:r>
    </w:p>
    <w:p>
      <w:r>
        <w:rPr>
          <w:b/>
        </w:rPr>
        <w:t>Lo que no se trae del prototipo.</w:t>
      </w:r>
      <w:r>
        <w:t xml:space="preserve"> La maqueta tiene una barra superior para cambiar de rol, de tema y de densidad, que existe para poder mostrar las variantes en un HTML suelto. En el sistema el rol lo da la sesión y el tema y la densidad viven en Apariencia, así que esa barra no se implementa.</w:t>
      </w:r>
    </w:p>
    <w:p>
      <w:r>
        <w:rPr>
          <w:b/>
        </w:rPr>
        <w:t>Incremento 2: el armazón.</w:t>
      </w:r>
      <w:r>
        <w:t xml:space="preserve"> La barra lateral y el encabezado pasan a ser los del prototipo, y con eso se acomodan tres cosas que estaban repartidas:</w:t>
      </w:r>
    </w:p>
    <w:p>
      <w:pPr>
        <w:pStyle w:val="ListBullet"/>
      </w:pPr>
      <w:r>
        <w:rPr>
          <w:b/>
        </w:rPr>
        <w:t>La organización sube a la barra.</w:t>
      </w:r>
      <w:r>
        <w:t xml:space="preserve"> Era el primer renglón del encabezado de cada pantalla. No es contexto de la pantalla sino de toda la sesión, y para el perfil Partner —que salta entre clientes— tenerlo donde siempre está el menú es lo que evita el error caro. Debajo del nombre va el plan contratado.</w:t>
      </w:r>
    </w:p>
    <w:p>
      <w:pPr>
        <w:pStyle w:val="ListBullet"/>
      </w:pPr>
      <w:r>
        <w:rPr>
          <w:b/>
        </w:rPr>
        <w:t>El encabezado dice por dónde se llegó.</w:t>
      </w:r>
      <w:r>
        <w:t xml:space="preserve"> Donde estaba la organización ahora va el rastro, </w:t>
      </w:r>
      <w:r>
        <w:rPr>
          <w:rFonts w:ascii="Consolas" w:hAnsi="Consolas" w:eastAsia="Consolas"/>
          <w:sz w:val="21"/>
        </w:rPr>
        <w:t>PREDICTIT / CONFIGURACIÓN</w:t>
      </w:r>
      <w:r>
        <w:t>, con la sección como enlace. Eso hizo desaparecer un enlace que la ficha del equipo y el detalle de la incidencia venían dibujando cada una por su cuenta, en el renglón de contexto, para poder volver al listado.</w:t>
      </w:r>
    </w:p>
    <w:p>
      <w:pPr>
        <w:pStyle w:val="ListBullet"/>
      </w:pPr>
      <w:r>
        <w:rPr>
          <w:b/>
        </w:rPr>
        <w:t>La barra sigue el tema.</w:t>
      </w:r>
      <w:r>
        <w:t xml:space="preserve"> Era una losa oscura fija en los dos temas, porque los tokens </w:t>
      </w:r>
      <w:r>
        <w:rPr>
          <w:rFonts w:ascii="Consolas" w:hAnsi="Consolas" w:eastAsia="Consolas"/>
          <w:sz w:val="21"/>
        </w:rPr>
        <w:t>--nav-*</w:t>
      </w:r>
      <w:r>
        <w:t xml:space="preserve"> tenían su propia paleta; ahora es la misma superficie que las tarjetas. El borde derecho, que se había sacado cuando la barra era oscura siempre, vuelve: en el tema claro sin borde no había límite entre la barra y el contenido.</w:t>
      </w:r>
    </w:p>
    <w:p>
      <w:r>
        <w:t>Y dos cambios de pieza: el submenú de Configuración se hunde un escalón —fondo secundario, con el ítem activo en barra de color a la izquierda, que es lo que distingue un segundo nivel de navegación de una segunda barra del mismo rango—, y las tarjetas de indicador toman el rótulo en versalitas, la cifra en la tipografía monoespaciada y una barra de color a la izquierda en lugar del ícono teñido. La barra se lee de reojo, que es para lo que sirve un tablero.</w:t>
      </w:r>
    </w:p>
    <w:p>
      <w:r>
        <w:rPr>
          <w:b/>
        </w:rPr>
        <w:t>Incremento 3: los contadores.</w:t>
      </w:r>
      <w:r>
        <w:t xml:space="preserve"> Las insignias del prototipo son datos del servidor, así que traen endpoint propio: </w:t>
      </w:r>
      <w:r>
        <w:rPr>
          <w:rFonts w:ascii="Consolas" w:hAnsi="Consolas" w:eastAsia="Consolas"/>
          <w:sz w:val="21"/>
        </w:rPr>
        <w:t>GET /api/organizacion/resumen</w:t>
      </w:r>
      <w:r>
        <w:t xml:space="preserve"> devuelve equipos, incidencias abiertas y mantenimientos vencidos.</w:t>
      </w:r>
    </w:p>
    <w:p>
      <w:r>
        <w:rPr>
          <w:b/>
        </w:rPr>
        <w:t>El endpoint no lleva patente, y esa es la decisión.</w:t>
      </w:r>
      <w:r>
        <w:t xml:space="preserve"> Cada contador viaja en nulo si el usuario no puede verlo, y quién decide eso es la capa de negocio. Exigir una patente en el controlador hubiera dejado afuera al solicitante, que tiene su propio contador de pedidos. Y viajan en </w:t>
      </w:r>
      <w:r>
        <w:rPr>
          <w:b/>
        </w:rPr>
        <w:t>nulo y no en cero</w:t>
      </w:r>
      <w:r>
        <w:t>: cero es un dato —«no hay incidencias abiertas»— y la falta de permiso no lo es; con cero, el solicitante vería un «0» al lado de Activos afirmando que el parque está vacío.</w:t>
      </w:r>
    </w:p>
    <w:p>
      <w:r>
        <w:rPr>
          <w:rFonts w:ascii="Consolas" w:hAnsi="Consolas" w:eastAsia="Consolas"/>
          <w:sz w:val="21"/>
        </w:rPr>
        <w:t>incidenciasAbiertas</w:t>
      </w:r>
      <w:r>
        <w:t xml:space="preserve"> es el mismo campo con dos significados según el perfil: las de toda la organización para quien las atiende, las propias para quien las reporta. Es la misma distinción que ya hacía el menú, y la prueba que la sostiene compara el contador contra el listado que </w:t>
      </w:r>
      <w:r>
        <w:rPr>
          <w:b/>
        </w:rPr>
        <w:t>esa misma persona</w:t>
      </w:r>
      <w:r>
        <w:t xml:space="preserve"> ve, no el de un usuario contra el de otro: así depende del recorte y no de cuántas incidencias tenga el seed en ese momento.</w:t>
      </w:r>
    </w:p>
    <w:p>
      <w:r>
        <w:rPr>
          <w:b/>
        </w:rPr>
        <w:t>Dos cosas se apartan del prototipo, a propósito.</w:t>
      </w:r>
      <w:r>
        <w:t xml:space="preserve"> La maqueta pone los vencidos al lado de «Mantenimientos»; acá van al lado de «Agenda», que es la pantalla donde efectivamente están. Y la tarjeta de la organización muestra los equipos administrados contra los incluidos —«52/15 eq.»—, en ámbar cuando se pasa: es el número que explica el excedente que se factura, y tenerlo ahí evita la sorpresa de fin de mes.</w:t>
      </w:r>
    </w:p>
    <w:p>
      <w:r>
        <w:t>Se vuelve a pedir en cada cambio de pantalla y no una sola vez al entrar: una insignia dice cuánto hay ahora, y un número congelado en el del inicio de sesión es peor que no tener número, porque se lo cree. Si la consulta falla no se muestra nada ni se avisa: son insignias, no contenido.</w:t>
      </w:r>
    </w:p>
    <w:p>
      <w:r>
        <w:rPr>
          <w:b/>
        </w:rPr>
        <w:t>Incremento 4: las tablas y los formularios.</w:t>
      </w:r>
    </w:p>
    <w:p>
      <w:pPr>
        <w:pStyle w:val="ListBullet"/>
      </w:pPr>
      <w:r>
        <w:rPr>
          <w:b/>
        </w:rPr>
        <w:t>La tipografía monoespaciada era la equivocada.</w:t>
      </w:r>
      <w:r>
        <w:t xml:space="preserve"> El </w:t>
      </w:r>
      <w:r>
        <w:rPr>
          <w:rFonts w:ascii="Consolas" w:hAnsi="Consolas" w:eastAsia="Consolas"/>
          <w:sz w:val="21"/>
        </w:rPr>
        <w:t>index.html</w:t>
      </w:r>
      <w:r>
        <w:t xml:space="preserve"> descargaba IBM Plex Mono —la del prototipo— y el token </w:t>
      </w:r>
      <w:r>
        <w:rPr>
          <w:rFonts w:ascii="Consolas" w:hAnsi="Consolas" w:eastAsia="Consolas"/>
          <w:sz w:val="21"/>
        </w:rPr>
        <w:t>--fuente-mono</w:t>
      </w:r>
      <w:r>
        <w:t xml:space="preserve"> apuntaba a Cascadia Mono. La fuente se bajaba en cada carga y el navegador dibujaba con otra: todos los códigos, todas las cifras y todos los identificadores del sistema salían en una tipografía que nadie había elegido.</w:t>
      </w:r>
    </w:p>
    <w:p>
      <w:pPr>
        <w:pStyle w:val="ListBullet"/>
      </w:pPr>
      <w:r>
        <w:rPr>
          <w:b/>
        </w:rPr>
        <w:t>El buscador y su tabla pasan a ser un solo objeto.</w:t>
      </w:r>
      <w:r>
        <w:t xml:space="preserve"> Eran dos tarjetas apiladas con un hueco en el medio. Un filtro que flota aparte se lee como un panel más, y lo que hace es gobernar lo de abajo.</w:t>
      </w:r>
    </w:p>
    <w:p>
      <w:pPr>
        <w:pStyle w:val="ListBullet"/>
      </w:pPr>
      <w:r>
        <w:rPr>
          <w:b/>
        </w:rPr>
        <w:t>El contenido de la tabla va al contraste pleno.</w:t>
      </w:r>
      <w:r>
        <w:t xml:space="preserve"> Estaba en el color secundario, que es el de lo que acompaña: una tabla entera en gris hace que todo parezca una nota al pie. Y el código de cada fila —el identificador— va en negrita y en el color del acento, así la vista salta de identificador en identificador sin leer el resto.</w:t>
      </w:r>
    </w:p>
    <w:p>
      <w:pPr>
        <w:pStyle w:val="ListBullet"/>
      </w:pPr>
      <w:r>
        <w:rPr>
          <w:b/>
        </w:rPr>
        <w:t>Los campos se hunden un tono.</w:t>
      </w:r>
      <w:r>
        <w:t xml:space="preserve"> Con el mismo fondo que la tarjeta, un campo vacío es un rectángulo con borde y hay que mirarlo dos veces para saber si se puede escribir ahí.</w:t>
      </w:r>
    </w:p>
    <w:p>
      <w:r>
        <w:rPr>
          <w:b/>
        </w:rPr>
        <w:t>Y una corrección de accesibilidad que no viene del prototipo.</w:t>
      </w:r>
      <w:r>
        <w:t xml:space="preserve"> El repaso con la base de reglas de UX —ver E-11 en </w:t>
      </w:r>
      <w:r>
        <w:rPr>
          <w:rFonts w:ascii="Consolas" w:hAnsi="Consolas" w:eastAsia="Consolas"/>
          <w:sz w:val="21"/>
        </w:rPr>
        <w:t>docs/trazabilidad/AI-USAGE-LOG.md</w:t>
      </w:r>
      <w:r>
        <w:t xml:space="preserve">— encontró que </w:t>
      </w:r>
      <w:r>
        <w:rPr>
          <w:b/>
        </w:rPr>
        <w:t>el campo rechazado por el servidor no estaba enlazado con el mensaje que lo explica</w:t>
      </w:r>
      <w:r>
        <w:t>. En pantalla se veía el borde rojo y el texto debajo; lo que faltaba —</w:t>
      </w:r>
      <w:r>
        <w:rPr>
          <w:rFonts w:ascii="Consolas" w:hAnsi="Consolas" w:eastAsia="Consolas"/>
          <w:sz w:val="21"/>
        </w:rPr>
        <w:t>aria-invalid</w:t>
      </w:r>
      <w:r>
        <w:t xml:space="preserve"> y </w:t>
      </w:r>
      <w:r>
        <w:rPr>
          <w:rFonts w:ascii="Consolas" w:hAnsi="Consolas" w:eastAsia="Consolas"/>
          <w:sz w:val="21"/>
        </w:rPr>
        <w:t>aria-describedby</w:t>
      </w:r>
      <w:r>
        <w:t>— no se ve. El RNF-07 compromete accesibilidad AA, y un motivo de error que sólo existe visualmente no la cumple.</w:t>
      </w:r>
    </w:p>
    <w:p>
      <w:r>
        <w:t xml:space="preserve">Se resolvió con dos piezas en </w:t>
      </w:r>
      <w:r>
        <w:rPr>
          <w:rFonts w:ascii="Consolas" w:hAnsi="Consolas" w:eastAsia="Consolas"/>
          <w:sz w:val="21"/>
        </w:rPr>
        <w:t>Estados.tsx</w:t>
      </w:r>
      <w:r>
        <w:t xml:space="preserve">: </w:t>
      </w:r>
      <w:r>
        <w:rPr>
          <w:rFonts w:ascii="Consolas" w:hAnsi="Consolas" w:eastAsia="Consolas"/>
          <w:sz w:val="21"/>
        </w:rPr>
        <w:t>ErrorDeFormulario</w:t>
      </w:r>
      <w:r>
        <w:t xml:space="preserve">, que pone el aviso arriba del formulario y le da el foco al aparecer —cuando el motivo está al final, quien envía un formulario largo aprieta «Guardar», no pasa nada visible, y la explicación quedó tres pantallas más abajo—, y </w:t>
      </w:r>
      <w:r>
        <w:rPr>
          <w:rFonts w:ascii="Consolas" w:hAnsi="Consolas" w:eastAsia="Consolas"/>
          <w:sz w:val="21"/>
        </w:rPr>
        <w:t>marcaDeError</w:t>
      </w:r>
      <w:r>
        <w:t>, que enlaza el campo con su mensaje. Dos pruebas lo sostienen, comprobadas en rojo antes de darlas por buenas.</w:t>
      </w:r>
    </w:p>
    <w:p>
      <w:r>
        <w:rPr>
          <w:b/>
        </w:rPr>
        <w:t>Incremento 5: el desglose del motor, y una tarjeta que se aplastaba.</w:t>
      </w:r>
    </w:p>
    <w:p>
      <w:r>
        <w:t xml:space="preserve">El prototipo pone el desglose del riesgo como una banda de ancho completo debajo del encabezado de la ficha: una tarjeta por regla, con lo que aportó sobre lo que podía aportar y el motivo escrito. En el sistema vivía en la columna angosta de la derecha, como una tabla de dos columnas apretada y debajo de todo lo demás. </w:t>
      </w:r>
      <w:r>
        <w:rPr>
          <w:b/>
        </w:rPr>
        <w:t>El motor predictivo es el centro del trabajo y estaba dibujado como un dato al margen.</w:t>
      </w:r>
    </w:p>
    <w:p>
      <w:r>
        <w:t xml:space="preserve">De paso cambia lo que cada regla dice de sí misma. Antes mostraba el porcentaje que aportaba sobre el total, y ese número se movía solo: si una regla dejaba de aplicar al equipo, las otras «subían» sin que hubiera cambiado nada. Ahora dice </w:t>
      </w:r>
      <w:r>
        <w:rPr>
          <w:rFonts w:ascii="Consolas" w:hAnsi="Consolas" w:eastAsia="Consolas"/>
          <w:sz w:val="21"/>
        </w:rPr>
        <w:t>20 / 30 pts</w:t>
      </w:r>
      <w:r>
        <w:t>, que es lo que aportó sobre su propio techo y no depende de las demás.</w:t>
      </w:r>
    </w:p>
    <w:p>
      <w:r>
        <w:rPr>
          <w:b/>
        </w:rPr>
        <w:t>Y apareció un defecto de layout que no se veía como defecto.</w:t>
      </w:r>
      <w:r>
        <w:t xml:space="preserve"> </w:t>
      </w:r>
      <w:r>
        <w:rPr>
          <w:rFonts w:ascii="Consolas" w:hAnsi="Consolas" w:eastAsia="Consolas"/>
          <w:sz w:val="21"/>
        </w:rPr>
        <w:t>.cuerpo</w:t>
      </w:r>
      <w:r>
        <w:t xml:space="preserve"> es un flex en columna: cuando el contenido no entra en la pantalla, reparte el faltante encogiendo a sus hijos. Una tarjeta lleva </w:t>
      </w:r>
      <w:r>
        <w:rPr>
          <w:rFonts w:ascii="Consolas" w:hAnsi="Consolas" w:eastAsia="Consolas"/>
          <w:sz w:val="21"/>
        </w:rPr>
        <w:t>overflow: hidden</w:t>
      </w:r>
      <w:r>
        <w:t xml:space="preserve"> para recortar sus esquinas redondeadas, y eso le da </w:t>
      </w:r>
      <w:r>
        <w:rPr>
          <w:b/>
        </w:rPr>
        <w:t>mínimo automático cero</w:t>
      </w:r>
      <w:r>
        <w:t>: se aplastaba a la altura de sus bordes. El desglose quedó con 2 px de alto y 400 px adentro, y las tablas de Activos e Incidencias venían recortadas al llegar al pie de la pantalla desde antes.</w:t>
      </w:r>
    </w:p>
    <w:p>
      <w:r>
        <w:t xml:space="preserve">Lo que lo hace difícil de ver es que </w:t>
      </w:r>
      <w:r>
        <w:rPr>
          <w:b/>
        </w:rPr>
        <w:t>la captura no se ve rota</w:t>
      </w:r>
      <w:r>
        <w:t>: se ve una tarjeta vacía con su título, y entra al documento igual. Así que la guarda va donde único se puede: el script de capturas ahora mide, después de cada pantalla, si alguna tarjeta es más baja que su contenido, y termina en rojo si la hay. Se comprobó provocando el colapso a propósito: lo levantó en tres pantallas.</w:t>
      </w:r>
    </w:p>
    <w:p>
      <w:r>
        <w:rPr>
          <w:rFonts w:ascii="Consolas" w:hAnsi="Consolas" w:eastAsia="Consolas"/>
          <w:sz w:val="21"/>
        </w:rPr>
        <w:t>.filtros</w:t>
      </w:r>
      <w:r>
        <w:t xml:space="preserve"> ya traía su propio </w:t>
      </w:r>
      <w:r>
        <w:rPr>
          <w:rFonts w:ascii="Consolas" w:hAnsi="Consolas" w:eastAsia="Consolas"/>
          <w:sz w:val="21"/>
        </w:rPr>
        <w:t>flex: none</w:t>
      </w:r>
      <w:r>
        <w:t xml:space="preserve"> por esta misma razón. Se resolvió para todos los hijos del cuerpo en vez de seguir tapando el agujero de a una pieza.</w:t>
      </w:r>
    </w:p>
    <w:p>
      <w:r>
        <w:rPr>
          <w:b/>
        </w:rPr>
        <w:t>Incremento 6: los segmentos del inventario.</w:t>
      </w:r>
      <w:r>
        <w:t xml:space="preserve"> El prototipo pone cuatro píldoras arriba de la tabla de activos. No son un filtro más por columna —de ésos ya hay cuatro— sino las tres preguntas que alguien se hace parado frente al parque: </w:t>
      </w:r>
      <w:r>
        <w:rPr>
          <w:b/>
        </w:rPr>
        <w:t>qué está por romperse, a qué le debo el preventivo, y qué ya no tiene garantía</w:t>
      </w:r>
      <w:r>
        <w:t>, con su número al lado.</w:t>
      </w:r>
    </w:p>
    <w:p>
      <w:r>
        <w:t>Es lo que trae el motor predictivo al inventario. Hasta ahora, para saber qué equipo estaba en riesgo había que ir a otra pantalla.</w:t>
      </w:r>
    </w:p>
    <w:p>
      <w:r>
        <w:rPr>
          <w:rFonts w:ascii="Consolas" w:hAnsi="Consolas" w:eastAsia="Consolas"/>
          <w:sz w:val="21"/>
        </w:rPr>
        <w:t>GET /api/equipos/segmentos</w:t>
      </w:r>
      <w:r>
        <w:t xml:space="preserve"> devuelve los cuatro recuentos y el listado acepta </w:t>
      </w:r>
      <w:r>
        <w:rPr>
          <w:rFonts w:ascii="Consolas" w:hAnsi="Consolas" w:eastAsia="Consolas"/>
          <w:sz w:val="21"/>
        </w:rPr>
        <w:t>segmento</w:t>
      </w:r>
      <w:r>
        <w:t>. Dos decisiones que no son obvias:</w:t>
      </w:r>
    </w:p>
    <w:p>
      <w:pPr>
        <w:pStyle w:val="ListBullet"/>
      </w:pPr>
      <w:r>
        <w:rPr>
          <w:b/>
        </w:rPr>
        <w:t>Los recuentos se recalculan con los demás filtros puestos</w:t>
      </w:r>
      <w:r>
        <w:t>, y no son totales fijos del parque. El número al lado de la píldora es una promesa: si dice tres, al pulsarla tienen que aparecer tres. Con un total fijo, al filtrar por ubicación la píldora seguiría diciendo un número que no existe. La prueba que lo sostiene compara el recuento contra el total del listado del mismo segmento, que es donde las dos consultas se separan.</w:t>
      </w:r>
    </w:p>
    <w:p>
      <w:pPr>
        <w:pStyle w:val="ListBullet"/>
      </w:pPr>
      <w:r>
        <w:rPr>
          <w:b/>
        </w:rPr>
        <w:t>Un segmento desconocido se ignora en vez de rechazarse.</w:t>
      </w:r>
      <w:r>
        <w:t xml:space="preserve"> Llega por la dirección, así que puede venir de un enlace viejo; un 400 dejaría la pantalla sin inventario por un nombre mal escrito.</w:t>
      </w:r>
    </w:p>
    <w:p>
      <w:r>
        <w:t xml:space="preserve">El estado activo va en </w:t>
      </w:r>
      <w:r>
        <w:rPr>
          <w:rFonts w:ascii="Consolas" w:hAnsi="Consolas" w:eastAsia="Consolas"/>
          <w:sz w:val="21"/>
        </w:rPr>
        <w:t>aria-pressed</w:t>
      </w:r>
      <w:r>
        <w:t xml:space="preserve"> y no sólo en el color, que es la misma regla del RNF-07 que ya aplica al resto de la interfaz.</w:t>
      </w:r>
    </w:p>
    <w:p>
      <w:r>
        <w:rPr>
          <w:b/>
        </w:rPr>
        <w:t>Nota sobre el SQL.</w:t>
      </w:r>
      <w:r>
        <w:t xml:space="preserve"> La primera versión contaba con </w:t>
      </w:r>
      <w:r>
        <w:rPr>
          <w:rFonts w:ascii="Consolas" w:hAnsi="Consolas" w:eastAsia="Consolas"/>
          <w:sz w:val="21"/>
        </w:rPr>
        <w:t>SUM(CASE WHEN EXISTS (...))</w:t>
      </w:r>
      <w:r>
        <w:t xml:space="preserve">, que se lee bien y SQL Server no admite: no se puede agregar sobre una expresión que contiene una subconsulta. Las marcas se calculan por equipo en un </w:t>
      </w:r>
      <w:r>
        <w:rPr>
          <w:rFonts w:ascii="Consolas" w:hAnsi="Consolas" w:eastAsia="Consolas"/>
          <w:sz w:val="21"/>
        </w:rPr>
        <w:t>CROSS APPLY</w:t>
      </w:r>
      <w:r>
        <w:t xml:space="preserve"> y recién después se suman. Lo levantaron las pruebas del endpoint, no la compilación.</w:t>
      </w:r>
    </w:p>
    <w:p>
      <w:pPr>
        <w:pStyle w:val="Heading2"/>
        <w:pBdr>
          <w:bottom w:val="single" w:sz="6" w:space="6" w:color="2F5496"/>
        </w:pBdr>
        <w:spacing w:before="440"/>
      </w:pPr>
      <w:r>
        <w:rPr>
          <w:rFonts w:ascii="Calibri" w:hAnsi="Calibri" w:eastAsia="Calibri"/>
          <w:color w:val="2F5496"/>
        </w:rPr>
        <w:t>D-55 · Las figuras pierden el epígrafe y ganan texto alternativo</w:t>
      </w:r>
    </w:p>
    <w:p>
      <w:r>
        <w:rPr>
          <w:i/>
        </w:rPr>
        <w:t>Estado:</w:t>
      </w:r>
      <w:r>
        <w:t xml:space="preserve"> </w:t>
      </w:r>
      <w:r>
        <w:rPr>
          <w:rFonts w:ascii="Consolas" w:hAnsi="Consolas" w:eastAsia="Consolas"/>
          <w:sz w:val="21"/>
        </w:rPr>
        <w:t>aplicado</w:t>
      </w:r>
      <w:r>
        <w:t xml:space="preserve"> — vive en </w:t>
      </w:r>
      <w:r>
        <w:rPr>
          <w:rFonts w:ascii="Consolas" w:hAnsi="Consolas" w:eastAsia="Consolas"/>
          <w:sz w:val="21"/>
        </w:rPr>
        <w:t>docs/_md_a_docx.py</w:t>
      </w:r>
      <w:r>
        <w:t>, así que alcanza a todos los documentos generados.</w:t>
      </w:r>
    </w:p>
    <w:p>
      <w:r>
        <w:rPr>
          <w:b/>
        </w:rPr>
        <w:t>Qué pasaba.</w:t>
      </w:r>
      <w:r>
        <w:t xml:space="preserve"> Cada figura llevaba debajo un epígrafe numerado —«Figura 12. Diagrama de despliegue»— y cada figura va, por construcción, debajo del título que la explica. El epígrafe repetía ese título con un número adelante.</w:t>
      </w:r>
    </w:p>
    <w:p>
      <w:r>
        <w:rPr>
          <w:b/>
        </w:rPr>
        <w:t>Qué se hizo.</w:t>
      </w:r>
      <w:r>
        <w:t xml:space="preserve"> Se sacó el epígrafe de las figuras. Los de las tablas quedan: una tabla no siempre está debajo de su título y su rótulo sí identifica qué contiene.</w:t>
      </w:r>
    </w:p>
    <w:p>
      <w:r>
        <w:rPr>
          <w:b/>
        </w:rPr>
        <w:t>Por qué no rompe nada.</w:t>
      </w:r>
      <w:r>
        <w:t xml:space="preserve"> Ningún texto del documento referencia una figura por su número —se verificó antes de tocarlo—, así que no quedan menciones a una «Figura 12» que ya no se numera.</w:t>
      </w:r>
    </w:p>
    <w:p>
      <w:r>
        <w:rPr>
          <w:b/>
        </w:rPr>
        <w:t>Lo que se ganó de paso.</w:t>
      </w:r>
      <w:r>
        <w:t xml:space="preserve"> El epígrafe no desaparece del documento: pasa al </w:t>
      </w:r>
      <w:r>
        <w:rPr>
          <w:b/>
        </w:rPr>
        <w:t>texto alternativo</w:t>
      </w:r>
      <w:r>
        <w:t xml:space="preserve"> de la imagen, que es lo que lee un lector de pantalla. Antes la descripción estaba en la hoja y la imagen no tenía ninguna; ahora la imagen la tiene. Sacarlo de la vista no tenía por qué sacarlo del archivo.</w:t>
      </w:r>
    </w:p>
    <w:p>
      <w:pPr>
        <w:pStyle w:val="Heading2"/>
        <w:pBdr>
          <w:bottom w:val="single" w:sz="6" w:space="6" w:color="2F5496"/>
        </w:pBdr>
        <w:spacing w:before="440"/>
      </w:pPr>
      <w:r>
        <w:rPr>
          <w:rFonts w:ascii="Calibri" w:hAnsi="Calibri" w:eastAsia="Calibri"/>
          <w:color w:val="2F5496"/>
        </w:rPr>
        <w:t>D-56 · Los vínculos de los DER dejan de cruzar por encima de las tablas</w:t>
      </w:r>
    </w:p>
    <w:p>
      <w:r>
        <w:rPr>
          <w:i/>
        </w:rPr>
        <w:t>Estado:</w:t>
      </w:r>
      <w:r>
        <w:t xml:space="preserve"> </w:t>
      </w:r>
      <w:r>
        <w:rPr>
          <w:rFonts w:ascii="Consolas" w:hAnsi="Consolas" w:eastAsia="Consolas"/>
          <w:sz w:val="21"/>
        </w:rPr>
        <w:t>aplicado</w:t>
      </w:r>
      <w:r>
        <w:t xml:space="preserve"> — vive en </w:t>
      </w:r>
      <w:r>
        <w:rPr>
          <w:rFonts w:ascii="Consolas" w:hAnsi="Consolas" w:eastAsia="Consolas"/>
          <w:sz w:val="21"/>
        </w:rPr>
        <w:t>docs/tecnico/_diagramas-ea.py</w:t>
      </w:r>
      <w:r>
        <w:t>.</w:t>
      </w:r>
    </w:p>
    <w:p>
      <w:r>
        <w:rPr>
          <w:b/>
        </w:rPr>
        <w:t>Qué pasaba.</w:t>
      </w:r>
      <w:r>
        <w:t xml:space="preserve"> Enterprise Architect dibuja los vínculos, por omisión, como una línea recta entre los centros de las dos cajas. En un DER de veinte tablas eso son diagonales que atraviesan todo lo que quede en el medio: en el diagrama de equipos, las relaciones de las tablas de catálogo del pie cruzaban por encima del texto de </w:t>
      </w:r>
      <w:r>
        <w:rPr>
          <w:rFonts w:ascii="Consolas" w:hAnsi="Consolas" w:eastAsia="Consolas"/>
          <w:sz w:val="21"/>
        </w:rPr>
        <w:t>Equipo</w:t>
      </w:r>
      <w:r>
        <w:t xml:space="preserve">, </w:t>
      </w:r>
      <w:r>
        <w:rPr>
          <w:rFonts w:ascii="Consolas" w:hAnsi="Consolas" w:eastAsia="Consolas"/>
          <w:sz w:val="21"/>
        </w:rPr>
        <w:t>PlanMantenimiento</w:t>
      </w:r>
      <w:r>
        <w:t xml:space="preserve"> y </w:t>
      </w:r>
      <w:r>
        <w:rPr>
          <w:rFonts w:ascii="Consolas" w:hAnsi="Consolas" w:eastAsia="Consolas"/>
          <w:sz w:val="21"/>
        </w:rPr>
        <w:t>AlertaPredictiva</w:t>
      </w:r>
      <w:r>
        <w:t>.</w:t>
      </w:r>
    </w:p>
    <w:p>
      <w:r>
        <w:rPr>
          <w:b/>
        </w:rPr>
        <w:t>Qué se hizo.</w:t>
      </w:r>
      <w:r>
        <w:t xml:space="preserve"> Los vínculos de los cuatro DER pasan a </w:t>
      </w:r>
      <w:r>
        <w:rPr>
          <w:b/>
        </w:rPr>
        <w:t>ruteo ortogonal</w:t>
      </w:r>
      <w:r>
        <w:t xml:space="preserve"> (</w:t>
      </w:r>
      <w:r>
        <w:rPr>
          <w:rFonts w:ascii="Consolas" w:hAnsi="Consolas" w:eastAsia="Consolas"/>
          <w:sz w:val="21"/>
        </w:rPr>
        <w:t>DiagramLink.LineStyle</w:t>
      </w:r>
      <w:r>
        <w:t>): los tramos son horizontales y verticales, salen por el borde de la caja y corren por los pasillos entre columnas. Y la separación entre tablas sube de 45 a 60 px, para que esos pasillos existan.</w:t>
      </w:r>
    </w:p>
    <w:p>
      <w:r>
        <w:rPr>
          <w:b/>
        </w:rPr>
        <w:t>Lo que se probó primero y no era.</w:t>
      </w:r>
      <w:r>
        <w:t xml:space="preserve"> </w:t>
      </w:r>
      <w:r>
        <w:rPr>
          <w:rFonts w:ascii="Consolas" w:hAnsi="Consolas" w:eastAsia="Consolas"/>
          <w:sz w:val="21"/>
        </w:rPr>
        <w:t>LayoutDiagramEx</w:t>
      </w:r>
      <w:r>
        <w:t xml:space="preserve">, el reacomodado automático de EA. No funcionaba por dos motivos, y el segundo importa: se lo llamaba </w:t>
      </w:r>
      <w:r>
        <w:rPr>
          <w:b/>
        </w:rPr>
        <w:t>antes</w:t>
      </w:r>
      <w:r>
        <w:t xml:space="preserve"> de </w:t>
      </w:r>
      <w:r>
        <w:rPr>
          <w:rFonts w:ascii="Consolas" w:hAnsi="Consolas" w:eastAsia="Consolas"/>
          <w:sz w:val="21"/>
        </w:rPr>
        <w:t>SaveDiagram</w:t>
      </w:r>
      <w:r>
        <w:t>, que escribe los objetos que están en memoria —con las posiciones viejas— encima de lo recién calculado. Corregido el orden, tampoco convenía: reescribe dónde va cada caja, y esas posiciones están calculadas para que la figura entre en la caja de texto de la hoja a un tamaño en que el texto se lee, que es lo único que decide si el diagrama sirve impreso.</w:t>
      </w:r>
    </w:p>
    <w:p>
      <w:r>
        <w:rPr>
          <w:b/>
        </w:rPr>
        <w:t>Lo que no resuelve, dicho para que no se lea como una promesa de más.</w:t>
      </w:r>
      <w:r>
        <w:t xml:space="preserve"> EA no rutea esquivando obstáculos: ningún ajuste de estilo hace que un vínculo rodee una tabla. Quedan tramos verticales que pasan por encima de alguna caja. Para sacarlos habría que partir los DER en áreas más chicas, que es la misma decisión que ya se tomó una vez —el DER de negocio está partido en tres— y que tiene su costo: cuantas más áreas, más relaciones quedan cortadas por el borde.</w:t>
      </w:r>
    </w:p>
    <w:p>
      <w:r>
        <w:rPr>
          <w:b/>
        </w:rPr>
        <w:t>Un defecto del generador, de paso.</w:t>
      </w:r>
      <w:r>
        <w:t xml:space="preserve"> Si algo fallaba después de abrir EA por COM, la instancia quedaba huérfana —sin ventana, reteniendo el </w:t>
      </w:r>
      <w:r>
        <w:rPr>
          <w:rFonts w:ascii="Consolas" w:hAnsi="Consolas" w:eastAsia="Consolas"/>
          <w:sz w:val="21"/>
        </w:rPr>
        <w:t>.ldb</w:t>
      </w:r>
      <w:r>
        <w:t xml:space="preserve"> del modelo— y la corrida siguiente no podía borrar la carpeta de salida y moría en </w:t>
      </w:r>
      <w:r>
        <w:rPr>
          <w:rFonts w:ascii="Consolas" w:hAnsi="Consolas" w:eastAsia="Consolas"/>
          <w:sz w:val="21"/>
        </w:rPr>
        <w:t>os.makedirs</w:t>
      </w:r>
      <w:r>
        <w:t>. Se llegaron a acumular tres. Ahora la carpeta se prepara antes de abrir EA y su creación tolera que ya exista.</w:t>
      </w:r>
    </w:p>
    <w:p>
      <w:pPr>
        <w:pStyle w:val="Heading2"/>
        <w:pBdr>
          <w:bottom w:val="single" w:sz="6" w:space="6" w:color="2F5496"/>
        </w:pBdr>
        <w:spacing w:before="440"/>
      </w:pPr>
      <w:r>
        <w:rPr>
          <w:rFonts w:ascii="Calibri" w:hAnsi="Calibri" w:eastAsia="Calibri"/>
          <w:color w:val="2F5496"/>
        </w:rPr>
        <w:t>D-57 · El documento del TFI también pierde los epígrafes de figura</w:t>
      </w:r>
    </w:p>
    <w:p>
      <w:r>
        <w:rPr>
          <w:i/>
        </w:rPr>
        <w:t>Estado:</w:t>
      </w:r>
      <w:r>
        <w:t xml:space="preserve"> </w:t>
      </w:r>
      <w:r>
        <w:rPr>
          <w:rFonts w:ascii="Consolas" w:hAnsi="Consolas" w:eastAsia="Consolas"/>
          <w:sz w:val="21"/>
        </w:rPr>
        <w:t>aplicado</w:t>
      </w:r>
      <w:r>
        <w:t xml:space="preserve"> — sobre </w:t>
      </w:r>
      <w:r>
        <w:rPr>
          <w:rFonts w:ascii="Consolas" w:hAnsi="Consolas" w:eastAsia="Consolas"/>
          <w:sz w:val="21"/>
        </w:rPr>
        <w:t>docs/tfi/TFI-PredictIT.docx</w:t>
      </w:r>
      <w:r>
        <w:t>, que se mantiene a mano.</w:t>
      </w:r>
    </w:p>
    <w:p>
      <w:r>
        <w:rPr>
          <w:b/>
        </w:rPr>
        <w:t>Por qué hace falta un delta aparte del D-55.</w:t>
      </w:r>
      <w:r>
        <w:t xml:space="preserve"> El D-55 sacó los epígrafes de los documentos </w:t>
      </w:r>
      <w:r>
        <w:rPr>
          <w:b/>
        </w:rPr>
        <w:t>generados</w:t>
      </w:r>
      <w:r>
        <w:t xml:space="preserve">, tocando </w:t>
      </w:r>
      <w:r>
        <w:rPr>
          <w:rFonts w:ascii="Consolas" w:hAnsi="Consolas" w:eastAsia="Consolas"/>
          <w:sz w:val="21"/>
        </w:rPr>
        <w:t>_md_a_docx.py</w:t>
      </w:r>
      <w:r>
        <w:t>. El documento del Trabajo Final no sale de ahí: se mantiene a mano desde el 7 de septiembre, así que sus 73 epígrafes de figura seguían puestos.</w:t>
      </w:r>
    </w:p>
    <w:p>
      <w:r>
        <w:t xml:space="preserve">Y no se habían detectado antes porque el control que se hizo buscaba el texto «Figura 12» y no lo encontraba: Word numera los epígrafes con un </w:t>
      </w:r>
      <w:r>
        <w:rPr>
          <w:b/>
        </w:rPr>
        <w:t>campo `SEQ`</w:t>
      </w:r>
      <w:r>
        <w:t>, así que el número no está como texto en el XML. La verificación dio cero y la conclusión fue la equivocada. La comprobación buena es contar los campos, no el texto.</w:t>
      </w:r>
    </w:p>
    <w:p>
      <w:r>
        <w:rPr>
          <w:b/>
        </w:rPr>
        <w:t>Qué se hizo.</w:t>
      </w:r>
      <w:r>
        <w:t xml:space="preserve"> Fuera los 73 epígrafes de figura, y fuera el </w:t>
      </w:r>
      <w:r>
        <w:rPr>
          <w:b/>
        </w:rPr>
        <w:t>índice de figuras</w:t>
      </w:r>
      <w:r>
        <w:t>, que sin epígrafes no tiene de dónde sacar las entradas: un índice vacío en el documento entregado es peor que no tenerlo.</w:t>
      </w:r>
    </w:p>
    <w:p>
      <w:r>
        <w:rPr>
          <w:b/>
        </w:rPr>
        <w:t>Qué se conserva.</w:t>
      </w:r>
      <w:r>
        <w:t xml:space="preserve"> Los 98 epígrafes de tabla y su índice. Una tabla no siempre está debajo del título que la explica, y su rótulo sí identifica qué contiene.</w:t>
      </w:r>
    </w:p>
    <w:p>
      <w:r>
        <w:rPr>
          <w:b/>
        </w:rPr>
        <w:t>Por qué no rompe nada.</w:t>
      </w:r>
      <w:r>
        <w:t xml:space="preserve"> El documento no tiene una sola referencia cruzada a una figura —ni campos </w:t>
      </w:r>
      <w:r>
        <w:rPr>
          <w:rFonts w:ascii="Consolas" w:hAnsi="Consolas" w:eastAsia="Consolas"/>
          <w:sz w:val="21"/>
        </w:rPr>
        <w:t>REF</w:t>
      </w:r>
      <w:r>
        <w:t>, ni «ver la figura N» en la prosa—, así que no quedan menciones a una numeración que ya no existe.</w:t>
      </w:r>
    </w:p>
    <w:p>
      <w:pPr>
        <w:pStyle w:val="Heading2"/>
        <w:pBdr>
          <w:bottom w:val="single" w:sz="6" w:space="6" w:color="2F5496"/>
        </w:pBdr>
        <w:spacing w:before="440"/>
      </w:pPr>
      <w:r>
        <w:rPr>
          <w:rFonts w:ascii="Calibri" w:hAnsi="Calibri" w:eastAsia="Calibri"/>
          <w:color w:val="2F5496"/>
        </w:rPr>
        <w:t>D-58 · Los diagramas del documento estaban cuatro versiones atrás</w:t>
      </w:r>
    </w:p>
    <w:p>
      <w:r>
        <w:rPr>
          <w:i/>
        </w:rPr>
        <w:t>Estado:</w:t>
      </w:r>
      <w:r>
        <w:t xml:space="preserve"> </w:t>
      </w:r>
      <w:r>
        <w:rPr>
          <w:rFonts w:ascii="Consolas" w:hAnsi="Consolas" w:eastAsia="Consolas"/>
          <w:sz w:val="21"/>
        </w:rPr>
        <w:t>aplicado</w:t>
      </w:r>
      <w:r>
        <w:t xml:space="preserve"> — sobre el mapa de </w:t>
      </w:r>
      <w:r>
        <w:rPr>
          <w:rFonts w:ascii="Consolas" w:hAnsi="Consolas" w:eastAsia="Consolas"/>
          <w:sz w:val="21"/>
        </w:rPr>
        <w:t>docs/tfi/_diagramas-al-documento.py</w:t>
      </w:r>
      <w:r>
        <w:t>.</w:t>
      </w:r>
    </w:p>
    <w:p>
      <w:r>
        <w:rPr>
          <w:b/>
        </w:rPr>
        <w:t>Qué pasaba.</w:t>
      </w:r>
      <w:r>
        <w:t xml:space="preserve"> El script que mete los diagramas de Enterprise Architect en el documento trabaja con un mapa de sección a archivos. La sección 10.4.8 declaraba </w:t>
      </w:r>
      <w:r>
        <w:rPr>
          <w:b/>
        </w:rPr>
        <w:t>tres</w:t>
      </w:r>
      <w:r>
        <w:t xml:space="preserve"> DER y la sección tiene </w:t>
      </w:r>
      <w:r>
        <w:rPr>
          <w:b/>
        </w:rPr>
        <w:t>cuatro</w:t>
      </w:r>
      <w:r>
        <w:t>: el de facturación se sumó con el módulo (D-46) y nunca se agregó al mapa.</w:t>
      </w:r>
    </w:p>
    <w:p>
      <w:r>
        <w:t>Ante esa discrepancia el script no adivina: saltea la sección entera. Así que los cuatro DER del documento eran los de antes del rediseño —con las diagonales que cruzaban por encima de las tablas— mientras los archivos en disco ya estaban corregidos.</w:t>
      </w:r>
    </w:p>
    <w:p>
      <w:r>
        <w:rPr>
          <w:b/>
        </w:rPr>
        <w:t>Qué se hizo.</w:t>
      </w:r>
      <w:r>
        <w:t xml:space="preserve"> El DER de facturación entra al mapa, en la posición en la que efectivamente está en la sección: equipos, incidencias, facturación, servicio. Con eso los 47 diagramas del documento quedan en la versión actual.</w:t>
      </w:r>
    </w:p>
    <w:p>
      <w:r>
        <w:rPr>
          <w:b/>
        </w:rPr>
        <w:t>Lo que esto vuelve a mostrar.</w:t>
      </w:r>
      <w:r>
        <w:t xml:space="preserve"> Es la segunda vez que un mapa escrito a mano se queda atrás de lo que el sistema produce —la primera fueron las imágenes de los manuales—. El script avisa cuando el recuento no coincide, y ese aviso estaba saliendo en cada corrida: «la seccion tiene 4 imagenes y el mapa da 3».</w:t>
      </w:r>
    </w:p>
    <w:p>
      <w:r>
        <w:rPr>
          <w:b/>
        </w:rPr>
        <w:t>Incremento 7: el tablero de incidencias.</w:t>
      </w:r>
      <w:r>
        <w:t xml:space="preserve"> El prototipo ofrece dos vistas de la bandeja —lista y tablero— y hasta ahora sólo estaba la lista. El tablero es lo que contesta «dónde está parado el trabajo» sin leer una tabla de nueve columnas.</w:t>
      </w:r>
    </w:p>
    <w:p>
      <w:r>
        <w:rPr>
          <w:b/>
        </w:rPr>
        <w:t>Las columnas salen del catálogo, no de una lista escrita en la pantalla.</w:t>
      </w:r>
      <w:r>
        <w:t xml:space="preserve"> Los estados los define la base, vienen en el orden del ciclo, y </w:t>
      </w:r>
      <w:r>
        <w:rPr>
          <w:rFonts w:ascii="Consolas" w:hAnsi="Consolas" w:eastAsia="Consolas"/>
          <w:sz w:val="21"/>
        </w:rPr>
        <w:t>esFinal</w:t>
      </w:r>
      <w:r>
        <w:t xml:space="preserve"> es un dato del dominio —está así desde el principio, con el comentario «se guarda como dato y no se deduce del nombre: la organización puede renombrar sus estados»—. El catálogo no lo exponía, así que se agregó </w:t>
      </w:r>
      <w:r>
        <w:rPr>
          <w:rFonts w:ascii="Consolas" w:hAnsi="Consolas" w:eastAsia="Consolas"/>
          <w:sz w:val="21"/>
        </w:rPr>
        <w:t>EstadoIncidenciaDto</w:t>
      </w:r>
      <w:r>
        <w:t>: si alguien escribiera las columnas a mano, una organización que agregue un estado tendría incidencias que no aparecen en ninguna, y eso no se ve porque el tablero se sigue dibujando bien.</w:t>
      </w:r>
    </w:p>
    <w:p>
      <w:r>
        <w:t>Las tres terminales —resuelta, cerrada, anulada— se juntan en una columna: un tablero muestra dónde está el trabajo, y lo terminado no tiene tres lugares distintos donde estar.</w:t>
      </w:r>
    </w:p>
    <w:p>
      <w:r>
        <w:rPr>
          <w:b/>
        </w:rPr>
        <w:t>Es de sólo lectura y no se arrastra, a propósito.</w:t>
      </w:r>
      <w:r>
        <w:t xml:space="preserve"> Dos razones, y la primera es de diseño: el ciclo de vida lo valida la capa de negocio (ADR 0012) y no toda transición está permitida desde todo estado; arrastrar sugiere que cualquier movimiento vale y lo desmiente recién al soltar. La segunda es de accesibilidad: la WCAG exige una alternativa por teclado para toda acción de arrastre, y acá cada tarjeta ya es un enlace, que es accesible sin agregar nada.</w:t>
      </w:r>
    </w:p>
    <w:p>
      <w:r>
        <w:rPr>
          <w:b/>
        </w:rPr>
        <w:t>Dos decisiones sobre cuánto mostrar.</w:t>
      </w:r>
      <w:r>
        <w:t xml:space="preserve"> El tablero pide 200 y no 20: un tablero paginado esconde justo lo que se vino a mirar. Y si aun así se recorta, lo dice, porque un recorte silencioso hace parecer que hay menos trabajo del que hay. La columna de terminadas, en cambio, se corta en seis y avisa cuántas quedan: crece sin techo, nadie actúa sobre ella desde el tablero, y con veinte tarjetas aplastaba a las columnas que importan. El recuento del encabezado sigue siendo el real —veinte, no seis—, porque si dijera seis la columna estaría mintiendo sobre cuánto se cerró.</w:t>
      </w:r>
    </w:p>
    <w:p>
      <w:pPr>
        <w:pStyle w:val="Heading2"/>
        <w:pBdr>
          <w:bottom w:val="single" w:sz="6" w:space="6" w:color="2F5496"/>
        </w:pBdr>
        <w:spacing w:before="440"/>
      </w:pPr>
      <w:r>
        <w:rPr>
          <w:rFonts w:ascii="Calibri" w:hAnsi="Calibri" w:eastAsia="Calibri"/>
          <w:color w:val="2F5496"/>
        </w:rPr>
        <w:t>D-59 · La barra de color al costado de la tarjeta se va</w:t>
      </w:r>
    </w:p>
    <w:p>
      <w:r>
        <w:rPr>
          <w:i/>
        </w:rPr>
        <w:t>Estado:</w:t>
      </w:r>
      <w:r>
        <w:t xml:space="preserve"> </w:t>
      </w:r>
      <w:r>
        <w:rPr>
          <w:rFonts w:ascii="Consolas" w:hAnsi="Consolas" w:eastAsia="Consolas"/>
          <w:sz w:val="21"/>
        </w:rPr>
        <w:t>aplicado</w:t>
      </w:r>
    </w:p>
    <w:p>
      <w:r>
        <w:rPr>
          <w:b/>
        </w:rPr>
        <w:t>De dónde sale.</w:t>
      </w:r>
      <w:r>
        <w:t xml:space="preserve"> Se pasó </w:t>
      </w:r>
      <w:r>
        <w:rPr>
          <w:rFonts w:ascii="Consolas" w:hAnsi="Consolas" w:eastAsia="Consolas"/>
          <w:sz w:val="21"/>
        </w:rPr>
        <w:t>impeccable</w:t>
      </w:r>
      <w:r>
        <w:t xml:space="preserve"> —Apache-2.0, detector de antipatrones visuales— sobre el frontend. Encontró </w:t>
      </w:r>
      <w:r>
        <w:rPr>
          <w:b/>
        </w:rPr>
        <w:t>cinco hallazgos, y los cinco son el mismo</w:t>
      </w:r>
      <w:r>
        <w:t xml:space="preserve">: </w:t>
      </w:r>
      <w:r>
        <w:rPr>
          <w:rFonts w:ascii="Consolas" w:hAnsi="Consolas" w:eastAsia="Consolas"/>
          <w:sz w:val="21"/>
        </w:rPr>
        <w:t>border-left: 3px solid</w:t>
      </w:r>
      <w:r>
        <w:t xml:space="preserve"> sobre una tarjeta, que su regla describe como </w:t>
      </w:r>
      <w:r>
        <w:rPr>
          <w:i/>
        </w:rPr>
        <w:t>el tell más reconocible de una interfaz generada por IA</w:t>
      </w:r>
      <w:r>
        <w:t>.</w:t>
      </w:r>
    </w:p>
    <w:p>
      <w:r>
        <w:t>Estaban en las tarjetas de indicador del tablero, en el desglose del motor predictivo y en la primera celda del historial. Los tres venían del prototipo.</w:t>
      </w:r>
    </w:p>
    <w:p>
      <w:r>
        <w:rPr>
          <w:b/>
        </w:rPr>
        <w:t>Qué se hizo.</w:t>
      </w:r>
    </w:p>
    <w:p>
      <w:pPr>
        <w:pStyle w:val="ListBullet"/>
      </w:pPr>
      <w:r>
        <w:rPr>
          <w:b/>
        </w:rPr>
        <w:t>Indicadores:</w:t>
      </w:r>
      <w:r>
        <w:t xml:space="preserve"> el tono pasa a un punto de color al lado del rótulo. La barra no aportaba nada que la cifra teñida no dijera ya, y la cifra es lo que se mira.</w:t>
      </w:r>
    </w:p>
    <w:p>
      <w:pPr>
        <w:pStyle w:val="ListBullet"/>
      </w:pPr>
      <w:r>
        <w:rPr>
          <w:b/>
        </w:rPr>
        <w:t>Desglose del motor:</w:t>
      </w:r>
      <w:r>
        <w:t xml:space="preserve"> la regla que llegó a su techo se distingue por el borde completo de la tarjeta —no por una franja a un lado— y por el color de su cifra.</w:t>
      </w:r>
    </w:p>
    <w:p>
      <w:pPr>
        <w:pStyle w:val="ListBullet"/>
      </w:pPr>
      <w:r>
        <w:rPr>
          <w:b/>
        </w:rPr>
        <w:t>Historial:</w:t>
      </w:r>
      <w:r>
        <w:t xml:space="preserve"> la franja de la primera celda se elimina sin reemplazo. No codificaba nada: era del mismo color para todas las filas.</w:t>
      </w:r>
    </w:p>
    <w:p>
      <w:r>
        <w:rPr>
          <w:b/>
        </w:rPr>
        <w:t>Lo que se conserva y por qué.</w:t>
      </w:r>
      <w:r>
        <w:t xml:space="preserve"> El </w:t>
      </w:r>
      <w:r>
        <w:rPr>
          <w:rFonts w:ascii="Consolas" w:hAnsi="Consolas" w:eastAsia="Consolas"/>
          <w:sz w:val="21"/>
        </w:rPr>
        <w:t>border-left</w:t>
      </w:r>
      <w:r>
        <w:t xml:space="preserve"> del aviso de error se queda. Usa </w:t>
      </w:r>
      <w:r>
        <w:rPr>
          <w:rFonts w:ascii="Consolas" w:hAnsi="Consolas" w:eastAsia="Consolas"/>
          <w:sz w:val="21"/>
        </w:rPr>
        <w:t>currentColor</w:t>
      </w:r>
      <w:r>
        <w:t xml:space="preserve"> y no un acento decorativo, y una regla vertical al costado de un mensaje de alerta es una convención tipográfica anterior a las interfaces, no un adorno. El detector tampoco lo marca.</w:t>
      </w:r>
    </w:p>
    <w:p>
      <w:r>
        <w:rPr>
          <w:b/>
        </w:rPr>
        <w:t>El resultado.</w:t>
      </w:r>
      <w:r>
        <w:t xml:space="preserve"> El detector pasa sin hallazgos. Las tres correcciones mantienen el contraste AA: el script lo verifica y sigue en verde.</w:t>
      </w:r>
    </w:p>
    <w:p>
      <w:pPr>
        <w:pStyle w:val="Heading2"/>
        <w:pBdr>
          <w:bottom w:val="single" w:sz="6" w:space="6" w:color="2F5496"/>
        </w:pBdr>
        <w:spacing w:before="440"/>
      </w:pPr>
      <w:r>
        <w:rPr>
          <w:rFonts w:ascii="Calibri" w:hAnsi="Calibri" w:eastAsia="Calibri"/>
          <w:color w:val="2F5496"/>
        </w:rPr>
        <w:t>D-60 · Dos defectos del tablero, encontrados revisando lo recién escrito</w:t>
      </w:r>
    </w:p>
    <w:p>
      <w:r>
        <w:rPr>
          <w:i/>
        </w:rPr>
        <w:t>Estado:</w:t>
      </w:r>
      <w:r>
        <w:t xml:space="preserve"> </w:t>
      </w:r>
      <w:r>
        <w:rPr>
          <w:rFonts w:ascii="Consolas" w:hAnsi="Consolas" w:eastAsia="Consolas"/>
          <w:sz w:val="21"/>
        </w:rPr>
        <w:t>aplicado</w:t>
      </w:r>
    </w:p>
    <w:p>
      <w:r>
        <w:t>Una revisión del código del día encontró dos, encadenados, en la vista de tablero:</w:t>
      </w:r>
    </w:p>
    <w:p>
      <w:r>
        <w:rPr>
          <w:b/>
        </w:rPr>
        <w:t>Limpiar los filtros achicaba el tablero.</w:t>
      </w:r>
      <w:r>
        <w:t xml:space="preserve"> </w:t>
      </w:r>
      <w:r>
        <w:rPr>
          <w:rFonts w:ascii="Consolas" w:hAnsi="Consolas" w:eastAsia="Consolas"/>
          <w:sz w:val="21"/>
        </w:rPr>
        <w:t>limpiar()</w:t>
      </w:r>
      <w:r>
        <w:t xml:space="preserve"> reescribía el filtro entero con el tamaño de página de la lista, sin mirar qué vista estaba activa. Estando en el tablero, la vista seguía marcada como tablero y la consulta pasaba a pedir veinte en vez de doscientas: las incidencias que no entraban desaparecían de las columnas sin que nada lo explicara.</w:t>
      </w:r>
    </w:p>
    <w:p>
      <w:r>
        <w:rPr>
          <w:b/>
        </w:rPr>
        <w:t>Y el aviso de recorte declaraba un número que no era.</w:t>
      </w:r>
      <w:r>
        <w:t xml:space="preserve"> El texto interpolaba la constante </w:t>
      </w:r>
      <w:r>
        <w:rPr>
          <w:rFonts w:ascii="Consolas" w:hAnsi="Consolas" w:eastAsia="Consolas"/>
          <w:sz w:val="21"/>
        </w:rPr>
        <w:t>POR_TABLERO</w:t>
      </w:r>
      <w:r>
        <w:t xml:space="preserve"> en vez de cuántas trajo la respuesta. Encadenado con lo anterior, el pie decía «el tablero muestra las 200 más recientes de 27»: un número mayor que el total y distinto de lo que había en pantalla.</w:t>
      </w:r>
    </w:p>
    <w:p>
      <w:r>
        <w:t>Los dos están cubiertos por pruebas comprobadas en rojo antes de darlas por buenas. La prueba que ya existía sobre el aviso estaba escrita contra el comportamiento equivocado —esperaba el «200»— y se corrigió: ahora afirma que el número es el de las tarjetas efectivamente dibujadas.</w:t>
      </w:r>
    </w:p>
    <w:p>
      <w:pPr>
        <w:pStyle w:val="Heading2"/>
        <w:pBdr>
          <w:bottom w:val="single" w:sz="6" w:space="6" w:color="2F5496"/>
        </w:pBdr>
        <w:spacing w:before="440"/>
      </w:pPr>
      <w:r>
        <w:rPr>
          <w:rFonts w:ascii="Calibri" w:hAnsi="Calibri" w:eastAsia="Calibri"/>
          <w:color w:val="2F5496"/>
        </w:rPr>
        <w:t>D-61 · Todo el paquete toma el formato del trabajo de 3.º año</w:t>
      </w:r>
    </w:p>
    <w:p>
      <w:r>
        <w:rPr>
          <w:i/>
        </w:rPr>
        <w:t>Estado:</w:t>
      </w:r>
      <w:r>
        <w:t xml:space="preserve"> </w:t>
      </w:r>
      <w:r>
        <w:rPr>
          <w:rFonts w:ascii="Consolas" w:hAnsi="Consolas" w:eastAsia="Consolas"/>
          <w:sz w:val="21"/>
        </w:rPr>
        <w:t>aplicado</w:t>
      </w:r>
      <w:r>
        <w:t xml:space="preserve"> — en </w:t>
      </w:r>
      <w:r>
        <w:rPr>
          <w:rFonts w:ascii="Consolas" w:hAnsi="Consolas" w:eastAsia="Consolas"/>
          <w:sz w:val="21"/>
        </w:rPr>
        <w:t>docs/_md_a_docx.py</w:t>
      </w:r>
      <w:r>
        <w:t xml:space="preserve"> para los generados, y sobre el </w:t>
      </w:r>
      <w:r>
        <w:rPr>
          <w:rFonts w:ascii="Consolas" w:hAnsi="Consolas" w:eastAsia="Consolas"/>
          <w:sz w:val="21"/>
        </w:rPr>
        <w:t>.docx</w:t>
      </w:r>
      <w:r>
        <w:t xml:space="preserve"> del TFI, que se mantiene a mano.</w:t>
      </w:r>
    </w:p>
    <w:p>
      <w:r>
        <w:rPr>
          <w:b/>
        </w:rPr>
        <w:t>De dónde sale el formato.</w:t>
      </w:r>
      <w:r>
        <w:t xml:space="preserve"> De leer los estilos de </w:t>
      </w:r>
      <w:r>
        <w:rPr>
          <w:rFonts w:ascii="Consolas" w:hAnsi="Consolas" w:eastAsia="Consolas"/>
          <w:sz w:val="21"/>
        </w:rPr>
        <w:t>Documentacion Trabajo de diploma - Pettini Patricio.docx</w:t>
      </w:r>
      <w:r>
        <w:t>, el trabajo que la cátedra ya evaluó, y no de mirarlo a ojo. Lo que se tomó:</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Valor</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Página</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Carta, 21,59 × 27,94 cm</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Márgenes</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2,54 cm los cuatro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Cuerpo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Calibri 12</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Títulos</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 xml:space="preserve">Calibri Light, azul </w:t>
            </w:r>
            <w:r>
              <w:rPr>
                <w:rFonts w:ascii="Consolas" w:hAnsi="Consolas" w:eastAsia="Consolas"/>
                <w:sz w:val="19"/>
              </w:rPr>
              <w:t>#2F5496</w:t>
            </w:r>
            <w:r>
              <w:rPr>
                <w:rFonts w:ascii="Calibri" w:hAnsi="Calibri" w:eastAsia="Calibri"/>
                <w:sz w:val="20"/>
              </w:rPr>
              <w:t xml:space="preserve"> — 20 pt el nivel 1, 16 pt el 2</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Subtítulo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14 pt, </w:t>
            </w:r>
            <w:r>
              <w:rPr>
                <w:rFonts w:ascii="Consolas" w:hAnsi="Consolas" w:eastAsia="Consolas"/>
                <w:sz w:val="19"/>
              </w:rPr>
              <w:t>#595959</w:t>
            </w:r>
          </w:p>
        </w:tc>
      </w:tr>
    </w:tbl>
    <w:p>
      <w:pPr>
        <w:spacing w:after="80"/>
      </w:pPr>
    </w:p>
    <w:p>
      <w:r>
        <w:rPr>
          <w:b/>
        </w:rPr>
        <w:t>Una corrección de lectura, porque casi entra mal.</w:t>
      </w:r>
      <w:r>
        <w:t xml:space="preserve"> El documento declara un estilo </w:t>
      </w:r>
      <w:r>
        <w:rPr>
          <w:rFonts w:ascii="Consolas" w:hAnsi="Consolas" w:eastAsia="Consolas"/>
          <w:sz w:val="21"/>
        </w:rPr>
        <w:t>Body Text</w:t>
      </w:r>
      <w:r>
        <w:t xml:space="preserve"> en Times New Roman 12 y era lo primero que aparecía al listar los estilos. Pero lo usan </w:t>
      </w:r>
      <w:r>
        <w:rPr>
          <w:b/>
        </w:rPr>
        <w:t>seis</w:t>
      </w:r>
      <w:r>
        <w:t xml:space="preserve"> párrafos: el cuerpo real son 12.610 caracteres en Calibri 12. Contar el uso y no leer la tabla de estilos es lo que lo evitó.</w:t>
      </w:r>
    </w:p>
    <w:p>
      <w:r>
        <w:rPr>
          <w:b/>
        </w:rPr>
        <w:t>Qué cambió de lo que había.</w:t>
      </w:r>
      <w:r>
        <w:t xml:space="preserve"> El acento de los títulos era un verde petróleo elegido para este trabajo; pasa al azul de 3.º. Los márgenes bajan de 3 cm a 2,54, así que la caja de texto crece 1,5 cm de ancho. Y el documento del TFI pasa de A4 a Carta.</w:t>
      </w:r>
    </w:p>
    <w:p>
      <w:r>
        <w:rPr>
          <w:b/>
        </w:rPr>
        <w:t>Se comprobó antes de cambiar la hoja.</w:t>
      </w:r>
      <w:r>
        <w:t xml:space="preserve"> La caja de Carta con esos márgenes da 22,86 × 16,51 cm; la imagen más alta del documento mide 18,80 y la más ancha 15,01. Ninguna de las 74 se recorta. El documento crece algunas páginas porque la hoja es 1,84 cm más corta, y nada más.</w:t>
      </w:r>
    </w:p>
    <w:p>
      <w:r>
        <w:rPr>
          <w:b/>
        </w:rPr>
        <w:t>Y el azul no alcanzaba con declararlo.</w:t>
      </w:r>
      <w:r>
        <w:t xml:space="preserve"> Los títulos del TFI y los del trabajo de 3.º heredaban el color del tema de Word, y les tocaba un tema distinto: </w:t>
      </w:r>
      <w:r>
        <w:rPr>
          <w:rFonts w:ascii="Consolas" w:hAnsi="Consolas" w:eastAsia="Consolas"/>
          <w:sz w:val="21"/>
        </w:rPr>
        <w:t>0F4761</w:t>
      </w:r>
      <w:r>
        <w:t xml:space="preserve"> contra </w:t>
      </w:r>
      <w:r>
        <w:rPr>
          <w:rFonts w:ascii="Consolas" w:hAnsi="Consolas" w:eastAsia="Consolas"/>
          <w:sz w:val="21"/>
        </w:rPr>
        <w:t>2F5496</w:t>
      </w:r>
      <w:r>
        <w:t>. Se fija explícito en el estilo, para que no dependa de qué tema traiga el archivo.</w:t>
      </w:r>
    </w:p>
    <w:p>
      <w:r>
        <w:rPr>
          <w:b/>
        </w:rPr>
        <w:t>Alcance.</w:t>
      </w:r>
      <w:r>
        <w:t xml:space="preserve"> Los 33 documentos de </w:t>
      </w:r>
      <w:r>
        <w:rPr>
          <w:rFonts w:ascii="Consolas" w:hAnsi="Consolas" w:eastAsia="Consolas"/>
          <w:sz w:val="21"/>
        </w:rPr>
        <w:t>ENTREGABLES</w:t>
      </w:r>
      <w:r>
        <w:t xml:space="preserve"> y </w:t>
      </w:r>
      <w:r>
        <w:rPr>
          <w:rFonts w:ascii="Consolas" w:hAnsi="Consolas" w:eastAsia="Consolas"/>
          <w:sz w:val="21"/>
        </w:rPr>
        <w:t>docs</w:t>
      </w:r>
      <w:r>
        <w:t xml:space="preserve">, verificado uno por uno contra los estilos de la referencia. </w:t>
      </w:r>
      <w:r>
        <w:rPr>
          <w:rFonts w:ascii="Consolas" w:hAnsi="Consolas" w:eastAsia="Consolas"/>
          <w:sz w:val="21"/>
        </w:rPr>
        <w:t>ENTREGA FINAL</w:t>
      </w:r>
      <w:r>
        <w:t xml:space="preserve"> no es una carpeta aparte sino una copia, así que se rehace con las otras dos.</w:t>
      </w:r>
    </w:p>
    <w:p>
      <w:pPr>
        <w:pStyle w:val="Heading2"/>
        <w:pBdr>
          <w:bottom w:val="single" w:sz="6" w:space="6" w:color="2F5496"/>
        </w:pBdr>
        <w:spacing w:before="440"/>
      </w:pPr>
      <w:r>
        <w:rPr>
          <w:rFonts w:ascii="Calibri" w:hAnsi="Calibri" w:eastAsia="Calibri"/>
          <w:color w:val="2F5496"/>
        </w:rPr>
        <w:t>D-62 · Fuera también los epígrafes de tabla</w:t>
      </w:r>
    </w:p>
    <w:p>
      <w:r>
        <w:rPr>
          <w:i/>
        </w:rPr>
        <w:t>Estado:</w:t>
      </w:r>
      <w:r>
        <w:t xml:space="preserve"> </w:t>
      </w:r>
      <w:r>
        <w:rPr>
          <w:rFonts w:ascii="Consolas" w:hAnsi="Consolas" w:eastAsia="Consolas"/>
          <w:sz w:val="21"/>
        </w:rPr>
        <w:t>aplicado</w:t>
      </w:r>
    </w:p>
    <w:p>
      <w:r>
        <w:t xml:space="preserve">El D-57 sacó los 73 epígrafes de figura del documento del TFI y dejó los de tabla, con el argumento de que una tabla no siempre está debajo del título que la explica. El criterio cambió: se van los </w:t>
      </w:r>
      <w:r>
        <w:rPr>
          <w:b/>
        </w:rPr>
        <w:t>98</w:t>
      </w:r>
      <w:r>
        <w:t xml:space="preserve"> y su índice, igual que con las figuras.</w:t>
      </w:r>
    </w:p>
    <w:p>
      <w:r>
        <w:t xml:space="preserve">Los 33 documentos entregables quedan sin un solo epígrafe, verificado contando los campos </w:t>
      </w:r>
      <w:r>
        <w:rPr>
          <w:rFonts w:ascii="Consolas" w:hAnsi="Consolas" w:eastAsia="Consolas"/>
          <w:sz w:val="21"/>
        </w:rPr>
        <w:t>SEQ</w:t>
      </w:r>
      <w:r>
        <w:t xml:space="preserve"> y no el texto — que es el error que hizo fallar la primera comprobación del D-57.</w:t>
      </w:r>
    </w:p>
    <w:p>
      <w:pPr>
        <w:pStyle w:val="Heading2"/>
        <w:pBdr>
          <w:bottom w:val="single" w:sz="6" w:space="6" w:color="2F5496"/>
        </w:pBdr>
        <w:spacing w:before="440"/>
      </w:pPr>
      <w:r>
        <w:rPr>
          <w:rFonts w:ascii="Calibri" w:hAnsi="Calibri" w:eastAsia="Calibri"/>
          <w:color w:val="2F5496"/>
        </w:rPr>
        <w:t>D-63 · Las referencias pasan de APA 6 a APA 7</w:t>
      </w:r>
    </w:p>
    <w:p>
      <w:r>
        <w:rPr>
          <w:i/>
        </w:rPr>
        <w:t>Estado:</w:t>
      </w:r>
      <w:r>
        <w:t xml:space="preserve"> </w:t>
      </w:r>
      <w:r>
        <w:rPr>
          <w:rFonts w:ascii="Consolas" w:hAnsi="Consolas" w:eastAsia="Consolas"/>
          <w:sz w:val="21"/>
        </w:rPr>
        <w:t>aplicado</w:t>
      </w:r>
    </w:p>
    <w:p>
      <w:r>
        <w:t>El paquete decía «normas APA» y estaba escrito en la 6.ª edición, que es lo que circula en los apuntes. La 7.ª es la vigente desde 2020 y se separa de la anterior en tres marcas literales, que es justamente lo que hace que un jurado lo note leyendo una línea:</w:t>
      </w:r>
    </w:p>
    <w:p>
      <w:pPr>
        <w:pStyle w:val="ListBullet"/>
      </w:pPr>
      <w:r>
        <w:rPr>
          <w:b/>
        </w:rPr>
        <w:t>«Recuperado de» / «Disponible en» delante de la URL.</w:t>
      </w:r>
      <w:r>
        <w:t xml:space="preserve"> La 7.ª los sacó: la URL va sola. «Recuperado el ⟨fecha⟩ de» sobrevive sólo para fuentes que cambian sin dejar versión archivada, y ninguna de las 23 lo es. Había 14.</w:t>
      </w:r>
    </w:p>
    <w:p>
      <w:pPr>
        <w:pStyle w:val="ListBullet"/>
      </w:pPr>
      <w:r>
        <w:rPr>
          <w:b/>
        </w:rPr>
        <w:t>El punto que cierra el elemento autor.</w:t>
      </w:r>
      <w:r>
        <w:t xml:space="preserve"> </w:t>
      </w:r>
      <w:r>
        <w:rPr>
          <w:rFonts w:ascii="Consolas" w:hAnsi="Consolas" w:eastAsia="Consolas"/>
          <w:sz w:val="21"/>
        </w:rPr>
        <w:t>Anthropic (2025)</w:t>
      </w:r>
      <w:r>
        <w:t xml:space="preserve"> pasa a </w:t>
      </w:r>
      <w:r>
        <w:rPr>
          <w:rFonts w:ascii="Consolas" w:hAnsi="Consolas" w:eastAsia="Consolas"/>
          <w:sz w:val="21"/>
        </w:rPr>
        <w:t>Anthropic. (2025)</w:t>
      </w:r>
      <w:r>
        <w:t>. Afectaba a los diez autores institucionales.</w:t>
      </w:r>
    </w:p>
    <w:p>
      <w:pPr>
        <w:pStyle w:val="ListBullet"/>
      </w:pPr>
      <w:r>
        <w:rPr>
          <w:b/>
        </w:rPr>
        <w:t>Mayúscula de oración en los títulos</w:t>
      </w:r>
      <w:r>
        <w:t xml:space="preserve">, no mayúscula en cada palabra. Los nombres de publicaciones periódicas la conservan, por eso </w:t>
      </w:r>
      <w:r>
        <w:rPr>
          <w:i/>
        </w:rPr>
        <w:t>IEEE Software</w:t>
      </w:r>
      <w:r>
        <w:t xml:space="preserve"> no cambia.</w:t>
      </w:r>
    </w:p>
    <w:p>
      <w:r>
        <w:t>En el capítulo «Fuentes» del documento principal, además, la lista estaba numerada y en orden de aparición. Una lista de referencias no se numera ni se viñetea: va con sangría francesa y ordenada alfabéticamente por autor, que es como ya salían las de los documentos satélites.</w:t>
      </w:r>
    </w:p>
    <w:p>
      <w:r>
        <w:rPr>
          <w:b/>
        </w:rPr>
        <w:t>Alcance.</w:t>
      </w:r>
      <w:r>
        <w:t xml:space="preserve"> Es la decisión de aplicar APA </w:t>
      </w:r>
      <w:r>
        <w:rPr>
          <w:b/>
        </w:rPr>
        <w:t>sólo a las citas y las fuentes</w:t>
      </w:r>
      <w:r>
        <w:t>, no al cuerpo: el formato del texto sigue siendo el del trabajo de 3.º año del D-61.</w:t>
      </w:r>
    </w:p>
    <w:p>
      <w:r>
        <w:t xml:space="preserve">El control «Referencias en APA 7» de </w:t>
      </w:r>
      <w:r>
        <w:rPr>
          <w:rFonts w:ascii="Consolas" w:hAnsi="Consolas" w:eastAsia="Consolas"/>
          <w:sz w:val="21"/>
        </w:rPr>
        <w:t>_verificar-alineacion.py</w:t>
      </w:r>
      <w:r>
        <w:t xml:space="preserve"> mide las tres marcas y el orden alfabético. Se probó en rojo antes de darlo por bueno.</w:t>
      </w:r>
    </w:p>
    <w:p>
      <w:pPr>
        <w:pStyle w:val="Heading2"/>
        <w:pBdr>
          <w:bottom w:val="single" w:sz="6" w:space="6" w:color="2F5496"/>
        </w:pBdr>
        <w:spacing w:before="440"/>
      </w:pPr>
      <w:r>
        <w:rPr>
          <w:rFonts w:ascii="Calibri" w:hAnsi="Calibri" w:eastAsia="Calibri"/>
          <w:color w:val="2F5496"/>
        </w:rPr>
        <w:t>D-64 · La línea del encabezado se cortaba justo arriba del escudo</w:t>
      </w:r>
    </w:p>
    <w:p>
      <w:r>
        <w:rPr>
          <w:i/>
        </w:rPr>
        <w:t>Estado:</w:t>
      </w:r>
      <w:r>
        <w:t xml:space="preserve"> </w:t>
      </w:r>
      <w:r>
        <w:rPr>
          <w:rFonts w:ascii="Consolas" w:hAnsi="Consolas" w:eastAsia="Consolas"/>
          <w:sz w:val="21"/>
        </w:rPr>
        <w:t>aplicado</w:t>
      </w:r>
    </w:p>
    <w:p>
      <w:r>
        <w:t>En el PDF, la línea que separa «UNIVERSIDAD ABIERTA INTERAMERICANA» de la fila de abajo aparecía cortada sobre la columna del escudo, y sólo ahí. En el Word se veía entera.</w:t>
      </w:r>
    </w:p>
    <w:p>
      <w:r>
        <w:t xml:space="preserve">No era el PDF ni el visor. Los bordes de esa tabla estaban en </w:t>
      </w:r>
      <w:r>
        <w:rPr>
          <w:rFonts w:ascii="Consolas" w:hAnsi="Consolas" w:eastAsia="Consolas"/>
          <w:sz w:val="21"/>
        </w:rPr>
        <w:t>w:sz="4"</w:t>
      </w:r>
      <w:r>
        <w:t xml:space="preserve">, que son cuatro octavos de punto: </w:t>
      </w:r>
      <w:r>
        <w:rPr>
          <w:b/>
        </w:rPr>
        <w:t>media línea de 0,5 pt</w:t>
      </w:r>
      <w:r>
        <w:t>. Word exporta cada tramo de borde como un rectángulo relleno independiente, uno por celda, así que el tramo de la columna del escudo tiene sus propios límites verticales; cuando el visor redondea a píxeles enteros, ese tramo puede quedarse en cero mientras los de al lado sobreviven.</w:t>
      </w:r>
    </w:p>
    <w:p>
      <w:r>
        <w:rPr>
          <w:b/>
        </w:rPr>
        <w:t>Medido sobre el PDF:</w:t>
      </w:r>
      <w:r>
        <w:t xml:space="preserve"> al 150 % desaparecían 86 pt de línea, entre los 42,0 y</w:t>
      </w:r>
    </w:p>
    <w:p>
      <w:r>
        <w:t>los 128,0 pt de la página, y la columna del escudo va de 36,5 a 142,3. Al 100 % y al 200 % se veía entera, que es lo que hacía parecer que el problema era del visor.</w:t>
      </w:r>
    </w:p>
    <w:p>
      <w:r>
        <w:t xml:space="preserve">El resto de las tablas del documento usa </w:t>
      </w:r>
      <w:r>
        <w:rPr>
          <w:rFonts w:ascii="Consolas" w:hAnsi="Consolas" w:eastAsia="Consolas"/>
          <w:sz w:val="21"/>
        </w:rPr>
        <w:t>w:sz="8"</w:t>
      </w:r>
      <w:r>
        <w:t xml:space="preserve"> —1 pt— y por eso ninguna hace esto. El encabezado pasa al mismo grosor: 0,96 pt en el PDF y cero píxeles faltantes al 100, 125, 150, 175 y 200 %.</w:t>
      </w:r>
    </w:p>
    <w:p>
      <w:pPr>
        <w:pStyle w:val="Heading2"/>
        <w:pBdr>
          <w:bottom w:val="single" w:sz="6" w:space="6" w:color="2F5496"/>
        </w:pBdr>
        <w:spacing w:before="440"/>
      </w:pPr>
      <w:r>
        <w:rPr>
          <w:rFonts w:ascii="Calibri" w:hAnsi="Calibri" w:eastAsia="Calibri"/>
          <w:color w:val="2F5496"/>
        </w:rPr>
        <w:t>D-65 · Las 24 capturas del 10.5 eran anteriores al rediseño del frontend</w:t>
      </w:r>
    </w:p>
    <w:p>
      <w:r>
        <w:rPr>
          <w:i/>
        </w:rPr>
        <w:t>Estado:</w:t>
      </w:r>
      <w:r>
        <w:t xml:space="preserve"> </w:t>
      </w:r>
      <w:r>
        <w:rPr>
          <w:rFonts w:ascii="Consolas" w:hAnsi="Consolas" w:eastAsia="Consolas"/>
          <w:sz w:val="21"/>
        </w:rPr>
        <w:t>aplicado</w:t>
      </w:r>
    </w:p>
    <w:p>
      <w:r>
        <w:t xml:space="preserve">Comparadas byte por byte contra </w:t>
      </w:r>
      <w:r>
        <w:rPr>
          <w:rFonts w:ascii="Consolas" w:hAnsi="Consolas" w:eastAsia="Consolas"/>
          <w:sz w:val="21"/>
        </w:rPr>
        <w:t>docs/capturas/</w:t>
      </w:r>
      <w:r>
        <w:t xml:space="preserve">, </w:t>
      </w:r>
      <w:r>
        <w:rPr>
          <w:b/>
        </w:rPr>
        <w:t>ninguna de las 24 coincidía</w:t>
      </w:r>
      <w:r>
        <w:t>. El capítulo de pantallas mostraba el frontend previo al D-54: sin la marca en la barra lateral, sin la tarjeta de organización con el plan y el consumo, sin las insignias de la navegación y sin el panel de riesgo del tablero. Los 50 diagramas de Enterprise Architect, en cambio, estaban todos al día.</w:t>
      </w:r>
    </w:p>
    <w:p>
      <w:r>
        <w:t xml:space="preserve">Lo natural habría sido correr </w:t>
      </w:r>
      <w:r>
        <w:rPr>
          <w:rFonts w:ascii="Consolas" w:hAnsi="Consolas" w:eastAsia="Consolas"/>
          <w:sz w:val="21"/>
        </w:rPr>
        <w:t>_formato-y-capturas.py</w:t>
      </w:r>
      <w:r>
        <w:t>, que es de donde sale el mapeo de apartado a captura. No se puede: ese guion además cambia los diagramas por los que genera el guion viejo y vuelve a numerar figuras y tablas, y las dos cosas desharían el trabajo del D-56 y devolverían los epígrafes del D-57 y el D-62. Por eso está fuera de la lista del armado.</w:t>
      </w:r>
    </w:p>
    <w:p>
      <w:r>
        <w:rPr>
          <w:rFonts w:ascii="Consolas" w:hAnsi="Consolas" w:eastAsia="Consolas"/>
          <w:sz w:val="21"/>
        </w:rPr>
        <w:t>docs/tfi/_capturas-al-dia.py</w:t>
      </w:r>
      <w:r>
        <w:t xml:space="preserve"> reemplaza </w:t>
      </w:r>
      <w:r>
        <w:rPr>
          <w:b/>
        </w:rPr>
        <w:t>sólo los bytes</w:t>
      </w:r>
      <w:r>
        <w:t xml:space="preserve"> de cada imagen y deja en su lugar el anclaje, el tamaño dibujado, el texto alternativo y el párrafo. Es idempotente y entró a la lista del armado.</w:t>
      </w:r>
    </w:p>
    <w:p>
      <w:r>
        <w:rPr>
          <w:b/>
        </w:rPr>
        <w:t>Por qué nadie se enteró.</w:t>
      </w:r>
      <w:r>
        <w:t xml:space="preserve"> El archivo estaba ahí, con su nombre de siempre, y el documento abría igual: no había ninguna señal. El control «Figuras de los documentos al día» la crea, comparando por contenido y no por nombre ni por fecha: si un </w:t>
      </w:r>
      <w:r>
        <w:rPr>
          <w:rFonts w:ascii="Consolas" w:hAnsi="Consolas" w:eastAsia="Consolas"/>
          <w:sz w:val="21"/>
        </w:rPr>
        <w:t>.png</w:t>
      </w:r>
      <w:r>
        <w:t xml:space="preserve"> de </w:t>
      </w:r>
      <w:r>
        <w:rPr>
          <w:rFonts w:ascii="Consolas" w:hAnsi="Consolas" w:eastAsia="Consolas"/>
          <w:sz w:val="21"/>
        </w:rPr>
        <w:t>capturas/</w:t>
      </w:r>
      <w:r>
        <w:t xml:space="preserve"> o de </w:t>
      </w:r>
      <w:r>
        <w:rPr>
          <w:rFonts w:ascii="Consolas" w:hAnsi="Consolas" w:eastAsia="Consolas"/>
          <w:sz w:val="21"/>
        </w:rPr>
        <w:t>diagramas-ea/</w:t>
      </w:r>
      <w:r>
        <w:t xml:space="preserve"> no está dentro de ningún documento, es que el documento que lo mostraba se quedó con la versión anterior.</w:t>
      </w:r>
    </w:p>
    <w:p>
      <w:pPr>
        <w:pStyle w:val="Heading2"/>
        <w:pBdr>
          <w:bottom w:val="single" w:sz="6" w:space="6" w:color="2F5496"/>
        </w:pBdr>
        <w:spacing w:before="440"/>
      </w:pPr>
      <w:r>
        <w:rPr>
          <w:rFonts w:ascii="Calibri" w:hAnsi="Calibri" w:eastAsia="Calibri"/>
          <w:color w:val="2F5496"/>
        </w:rPr>
        <w:t>D-66 · El diagrama general de casos de uso, rehecho</w:t>
      </w:r>
    </w:p>
    <w:p>
      <w:r>
        <w:rPr>
          <w:i/>
        </w:rPr>
        <w:t>Estado:</w:t>
      </w:r>
      <w:r>
        <w:t xml:space="preserve"> </w:t>
      </w:r>
      <w:r>
        <w:rPr>
          <w:rFonts w:ascii="Consolas" w:hAnsi="Consolas" w:eastAsia="Consolas"/>
          <w:sz w:val="21"/>
        </w:rPr>
        <w:t>aplicado</w:t>
      </w:r>
    </w:p>
    <w:p>
      <w:r>
        <w:t>La figura de 10.4.3 tenía dos problemas, y sólo el segundo se veía.</w:t>
      </w:r>
    </w:p>
    <w:p>
      <w:r>
        <w:rPr>
          <w:b/>
        </w:rPr>
        <w:t>Estaba atrasada.</w:t>
      </w:r>
      <w:r>
        <w:t xml:space="preserve"> Mostraba una versión que no coincidía con ninguna de las dos que el proyecto genera: ni con el modelo hecho a mano —trece casos y un actor «Sistema»— ni con los dieciocho diagramas individuales de 10.4.3.x, que usan los cuatro perfiles reales. Era una imagen huérfana, pegada en su momento y nunca vuelta a tocar, y por eso ninguna comprobación la alcanzaba: no era igual a ningún archivo del repositorio.</w:t>
      </w:r>
    </w:p>
    <w:p>
      <w:r>
        <w:rPr>
          <w:b/>
        </w:rPr>
        <w:t>Y era ilegible.</w:t>
      </w:r>
      <w:r>
        <w:t xml:space="preserve"> Los dieciocho casos se ubicaban por número, sin relación con quién los ejecuta, así que las cuarenta y tantas asociaciones cruzaban la figura entera y pasaban por encima de las elipses.</w:t>
      </w:r>
    </w:p>
    <w:p>
      <w:r>
        <w:t xml:space="preserve">La versión nueva pone </w:t>
      </w:r>
      <w:r>
        <w:rPr>
          <w:b/>
        </w:rPr>
        <w:t>los actores en el centro y los casos a los dos lados</w:t>
      </w:r>
      <w:r>
        <w:t>, agrupados por perfil: los exclusivos a la altura de su actor y los compartidos entre los dos que los comparten. Los dos pasillos que quedan —entre cada columna de casos y la columna de actores— son por donde corren todos los vínculos, y por eso ninguno pasa por encima de un texto. Se cruzan entre sí, que con seis casos compartidos por dos perfiles es inevitable.</w:t>
      </w:r>
    </w:p>
    <w:p>
      <w:r>
        <w:rPr>
          <w:b/>
        </w:rPr>
        <w:t>De paso apareció una divergencia real.</w:t>
      </w:r>
      <w:r>
        <w:t xml:space="preserve"> Los actores de cada caso estaban escritos dos veces —en el diagrama general y en los individuales— y ya habían empezado a diferir: el general daba CU-004 a dos perfiles y el individual a tres. Ahora los dos salen de la misma tabla. Y el perfil pasa a llamarse </w:t>
      </w:r>
      <w:r>
        <w:rPr>
          <w:b/>
        </w:rPr>
        <w:t>Usuario Solicitante</w:t>
      </w:r>
      <w:r>
        <w:t xml:space="preserve"> en los diecinueve diagramas, que es como lo nombra la prosa del documento.</w:t>
      </w:r>
    </w:p>
    <w:p>
      <w:r>
        <w:t xml:space="preserve">El diagrama se rehace dentro del modelo que se entrega, no en el script: el </w:t>
      </w:r>
      <w:r>
        <w:rPr>
          <w:rFonts w:ascii="Consolas" w:hAnsi="Consolas" w:eastAsia="Consolas"/>
          <w:sz w:val="21"/>
        </w:rPr>
        <w:t>.eap</w:t>
      </w:r>
      <w:r>
        <w:t xml:space="preserve"> es el artefacto, y un diagrama que sólo existe en la imagen exportada no se puede abrir en la defensa.</w:t>
      </w:r>
    </w:p>
    <w:p>
      <w:pPr>
        <w:pStyle w:val="Heading2"/>
        <w:pBdr>
          <w:bottom w:val="single" w:sz="6" w:space="6" w:color="2F5496"/>
        </w:pBdr>
        <w:spacing w:before="440"/>
      </w:pPr>
      <w:r>
        <w:rPr>
          <w:rFonts w:ascii="Calibri" w:hAnsi="Calibri" w:eastAsia="Calibri"/>
          <w:color w:val="2F5496"/>
        </w:rPr>
        <w:t>D-67 · El paquete deja de tener figuras chicas y tablas mal cortadas</w:t>
      </w:r>
    </w:p>
    <w:p>
      <w:r>
        <w:rPr>
          <w:i/>
        </w:rPr>
        <w:t>Estado:</w:t>
      </w:r>
      <w:r>
        <w:t xml:space="preserve"> </w:t>
      </w:r>
      <w:r>
        <w:rPr>
          <w:rFonts w:ascii="Consolas" w:hAnsi="Consolas" w:eastAsia="Consolas"/>
          <w:sz w:val="21"/>
        </w:rPr>
        <w:t>aplicado</w:t>
      </w:r>
    </w:p>
    <w:p>
      <w:r>
        <w:t>Dos defectos de presentación, los dos medidos antes de tocar nada.</w:t>
      </w:r>
    </w:p>
    <w:p>
      <w:r>
        <w:rPr>
          <w:b/>
        </w:rPr>
        <w:t>Un tercio de cada diagrama era papel en blanco.</w:t>
      </w:r>
      <w:r>
        <w:t xml:space="preserve"> Enterprise Architect no exporta el dibujo: exporta la </w:t>
      </w:r>
      <w:r>
        <w:rPr>
          <w:b/>
        </w:rPr>
        <w:t>hoja</w:t>
      </w:r>
      <w:r>
        <w:t>, y la hoja tiene un tamaño mínimo propio. Un caso de uso con dos actores ocupa 614 px de ancho y salía en un lienzo de 871, o de 1053. Treinta y uno de los cincuenta diagramas tenían entre el 30 % y el 46 % de margen derecho vacío.</w:t>
      </w:r>
    </w:p>
    <w:p>
      <w:r>
        <w:t>Eso no es estético: la figura entra al documento con un ancho fijo, así que ese margen se llevaba la mitad del ancho útil y el dibujo se imprimía a la mitad del tamaño que podía. El recorte respeta el marco de EA en lugar de sacarlo —se reubica la tira de píxeles del borde, así que el rectángulo no queda abierto de dos lados— y el tamaño con que cada figura está dibujada en el documento se recalcula conservando el ancho, que es lo que hace que el recorte se traduzca en dibujo más grande y no en figura más chica.</w:t>
      </w:r>
    </w:p>
    <w:p>
      <w:r>
        <w:rPr>
          <w:b/>
        </w:rPr>
        <w:t>Y ninguna tabla deja ya una sola fila de un lado del salto de página.</w:t>
      </w:r>
      <w:r>
        <w:t xml:space="preserve"> Partida por la mitad está bien; una fila huérfana, no. Word no trae esa regla: sabe repetir el encabezado y sabe no partir una fila, pero deja sin problema el encabezado solo al pie de una hoja o la última fila sola arriba de la siguiente. Se resuelve con tres marcas —</w:t>
      </w:r>
      <w:r>
        <w:rPr>
          <w:rFonts w:ascii="Consolas" w:hAnsi="Consolas" w:eastAsia="Consolas"/>
          <w:sz w:val="21"/>
        </w:rPr>
        <w:t>cantSplit</w:t>
      </w:r>
      <w:r>
        <w:t xml:space="preserve"> en cada fila, </w:t>
      </w:r>
      <w:r>
        <w:rPr>
          <w:rFonts w:ascii="Consolas" w:hAnsi="Consolas" w:eastAsia="Consolas"/>
          <w:sz w:val="21"/>
        </w:rPr>
        <w:t>tblHeader</w:t>
      </w:r>
      <w:r>
        <w:t xml:space="preserve"> en la de encabezado, y «conservar con la siguiente» en la primera y en la anteúltima—, aplicadas a las 98 tablas del documento principal y, desde el generador, a las del resto del paquete.</w:t>
      </w:r>
    </w:p>
    <w:p>
      <w:r>
        <w:rPr>
          <w:b/>
        </w:rPr>
        <w:t>Lo que esto destapó.</w:t>
      </w:r>
      <w:r>
        <w:t xml:space="preserve"> Tres imágenes del documento no coincidían con su archivo aunque fueran la misma figura: Word las había vuelto a comprimir al guardar. Por eso la correspondencia entre imagen y diagrama ya no se deduce del contenido sino que está escrita en </w:t>
      </w:r>
      <w:r>
        <w:rPr>
          <w:rFonts w:ascii="Consolas" w:hAnsi="Consolas" w:eastAsia="Consolas"/>
          <w:sz w:val="21"/>
        </w:rPr>
        <w:t>docs/tfi/diagramas-del-documento.json</w:t>
      </w:r>
      <w:r>
        <w:t>, y el guion avisa si una entrada deja de existir.</w:t>
      </w:r>
    </w:p>
    <w:p>
      <w:pPr>
        <w:pStyle w:val="Heading2"/>
        <w:pBdr>
          <w:bottom w:val="single" w:sz="6" w:space="6" w:color="2F5496"/>
        </w:pBdr>
        <w:spacing w:before="440"/>
      </w:pPr>
      <w:r>
        <w:rPr>
          <w:rFonts w:ascii="Calibri" w:hAnsi="Calibri" w:eastAsia="Calibri"/>
          <w:color w:val="2F5496"/>
        </w:rPr>
        <w:t>D-68 · Ningún vínculo pasa ya por encima de una entidad</w:t>
      </w:r>
    </w:p>
    <w:p>
      <w:r>
        <w:rPr>
          <w:i/>
        </w:rPr>
        <w:t>Estado:</w:t>
      </w:r>
      <w:r>
        <w:t xml:space="preserve"> </w:t>
      </w:r>
      <w:r>
        <w:rPr>
          <w:rFonts w:ascii="Consolas" w:hAnsi="Consolas" w:eastAsia="Consolas"/>
          <w:sz w:val="21"/>
        </w:rPr>
        <w:t>aplicado</w:t>
      </w:r>
    </w:p>
    <w:p>
      <w:r>
        <w:t xml:space="preserve">El modelo de dominio tenía una asociación que atravesaba </w:t>
      </w:r>
      <w:r>
        <w:rPr>
          <w:rFonts w:ascii="Consolas" w:hAnsi="Consolas" w:eastAsia="Consolas"/>
          <w:sz w:val="21"/>
        </w:rPr>
        <w:t>Incidencia</w:t>
      </w:r>
      <w:r>
        <w:t xml:space="preserve"> de punta a punta: </w:t>
      </w:r>
      <w:r>
        <w:rPr>
          <w:rFonts w:ascii="Consolas" w:hAnsi="Consolas" w:eastAsia="Consolas"/>
          <w:sz w:val="21"/>
        </w:rPr>
        <w:t>Equipo</w:t>
      </w:r>
      <w:r>
        <w:t xml:space="preserve"> estaba arriba, </w:t>
      </w:r>
      <w:r>
        <w:rPr>
          <w:rFonts w:ascii="Consolas" w:hAnsi="Consolas" w:eastAsia="Consolas"/>
          <w:sz w:val="21"/>
        </w:rPr>
        <w:t>AlertaPredictiva</w:t>
      </w:r>
      <w:r>
        <w:t xml:space="preserve"> abajo, y las tres filas apiladas en tres columnas dejaban a </w:t>
      </w:r>
      <w:r>
        <w:rPr>
          <w:rFonts w:ascii="Consolas" w:hAnsi="Consolas" w:eastAsia="Consolas"/>
          <w:sz w:val="21"/>
        </w:rPr>
        <w:t>Incidencia</w:t>
      </w:r>
      <w:r>
        <w:t xml:space="preserve"> justo en el medio.</w:t>
      </w:r>
    </w:p>
    <w:p>
      <w:r>
        <w:t xml:space="preserve">El defecto se corrigió, pero lo que importa es cómo se buscaron los demás. </w:t>
      </w:r>
      <w:r>
        <w:rPr>
          <w:b/>
        </w:rPr>
        <w:t>No se miraron las imágenes: se midió sobre el modelo.</w:t>
      </w:r>
      <w:r>
        <w:t xml:space="preserve"> Cada objeto de cada diagrama tiene su rectángulo y cada vínculo sus dos extremos, así que alcanza con preguntar si el segmento que une los dos centros corta el rectángulo de un tercero —recorte de Cohen-Sutherland—, con dos refinamientos: de un caso de uso se mide la </w:t>
      </w:r>
      <w:r>
        <w:rPr>
          <w:b/>
        </w:rPr>
        <w:t>elipse inscripta</w:t>
      </w:r>
      <w:r>
        <w:t xml:space="preserve"> y no su caja, que es bastante más grande, y de un actor sólo el tercio central, que es lo que ocupa el monigote.</w:t>
      </w:r>
    </w:p>
    <w:p>
      <w:r>
        <w:t>Sobre 53 diagramas medidos aparecieron 81 vínculos por encima de una caja ajena.</w:t>
      </w:r>
    </w:p>
    <w:p>
      <w:r>
        <w:rPr>
          <w:b/>
        </w:rPr>
        <w:t>Lo que se corrigió moviendo cajas:</w:t>
      </w:r>
    </w:p>
    <w:p>
      <w:pPr>
        <w:pStyle w:val="ListBullet"/>
      </w:pPr>
      <w:r>
        <w:rPr>
          <w:i/>
        </w:rPr>
        <w:t>Modelo de dominio</w:t>
      </w:r>
      <w:r>
        <w:t xml:space="preserve">: los cuatro hijos de </w:t>
      </w:r>
      <w:r>
        <w:rPr>
          <w:rFonts w:ascii="Consolas" w:hAnsi="Consolas" w:eastAsia="Consolas"/>
          <w:sz w:val="21"/>
        </w:rPr>
        <w:t>Equipo</w:t>
      </w:r>
      <w:r>
        <w:t xml:space="preserve"> pasan a una sola fila debajo de él, con </w:t>
      </w:r>
      <w:r>
        <w:rPr>
          <w:rFonts w:ascii="Consolas" w:hAnsi="Consolas" w:eastAsia="Consolas"/>
          <w:sz w:val="21"/>
        </w:rPr>
        <w:t>Equipo</w:t>
      </w:r>
      <w:r>
        <w:t xml:space="preserve"> centrado encima. Cada vínculo es una diagonal corta.</w:t>
      </w:r>
    </w:p>
    <w:p>
      <w:pPr>
        <w:pStyle w:val="ListBullet"/>
      </w:pPr>
      <w:r>
        <w:rPr>
          <w:i/>
        </w:rPr>
        <w:t>Paquetes y dependencias</w:t>
      </w:r>
      <w:r>
        <w:t xml:space="preserve">: </w:t>
      </w:r>
      <w:r>
        <w:rPr>
          <w:rFonts w:ascii="Consolas" w:hAnsi="Consolas" w:eastAsia="Consolas"/>
          <w:sz w:val="21"/>
        </w:rPr>
        <w:t>PredictIT.Service</w:t>
      </w:r>
      <w:r>
        <w:t xml:space="preserve"> sube a la altura de la BLL, a su derecha. La dependencia de la Api hacia Service pasaba justo por encima de la BLL, que es la capa que el diagrama tiene que mostrar en el medio.</w:t>
      </w:r>
    </w:p>
    <w:p>
      <w:pPr>
        <w:pStyle w:val="ListBullet"/>
      </w:pPr>
      <w:r>
        <w:rPr>
          <w:i/>
        </w:rPr>
        <w:t>Ciclo de vida de la incidencia</w:t>
      </w:r>
      <w:r>
        <w:t xml:space="preserve">: </w:t>
      </w:r>
      <w:r>
        <w:rPr>
          <w:rFonts w:ascii="Consolas" w:hAnsi="Consolas" w:eastAsia="Consolas"/>
          <w:sz w:val="21"/>
        </w:rPr>
        <w:t>Anulada</w:t>
      </w:r>
      <w:r>
        <w:t xml:space="preserve"> sube a la altura de </w:t>
      </w:r>
      <w:r>
        <w:rPr>
          <w:rFonts w:ascii="Consolas" w:hAnsi="Consolas" w:eastAsia="Consolas"/>
          <w:sz w:val="21"/>
        </w:rPr>
        <w:t>Asignada</w:t>
      </w:r>
      <w:r>
        <w:t xml:space="preserve">. Las transiciones que venían de </w:t>
      </w:r>
      <w:r>
        <w:rPr>
          <w:rFonts w:ascii="Consolas" w:hAnsi="Consolas" w:eastAsia="Consolas"/>
          <w:sz w:val="21"/>
        </w:rPr>
        <w:t>Pendiente</w:t>
      </w:r>
      <w:r>
        <w:t xml:space="preserve"> y de </w:t>
      </w:r>
      <w:r>
        <w:rPr>
          <w:rFonts w:ascii="Consolas" w:hAnsi="Consolas" w:eastAsia="Consolas"/>
          <w:sz w:val="21"/>
        </w:rPr>
        <w:t>Asignada</w:t>
      </w:r>
      <w:r>
        <w:t xml:space="preserve"> cruzaban </w:t>
      </w:r>
      <w:r>
        <w:rPr>
          <w:rFonts w:ascii="Consolas" w:hAnsi="Consolas" w:eastAsia="Consolas"/>
          <w:sz w:val="21"/>
        </w:rPr>
        <w:t>Espera de repuesto</w:t>
      </w:r>
      <w:r>
        <w:t>.</w:t>
      </w:r>
    </w:p>
    <w:p>
      <w:pPr>
        <w:pStyle w:val="ListBullet"/>
      </w:pPr>
      <w:r>
        <w:rPr>
          <w:i/>
        </w:rPr>
        <w:t>Casos de uso por perfil</w:t>
      </w:r>
      <w:r>
        <w:t>: las dos columnas de casos pasan a zigzag y CU-001 —el único que usan los cuatro perfiles— se corre al lado de la columna de actores.</w:t>
      </w:r>
    </w:p>
    <w:p>
      <w:r>
        <w:rPr>
          <w:b/>
        </w:rPr>
        <w:t>Lo que se corrigió con ruteo ortogonal:</w:t>
      </w:r>
      <w:r>
        <w:t xml:space="preserve"> los tres DER hechos a mano y los tres</w:t>
      </w:r>
    </w:p>
    <w:p>
      <w:r>
        <w:t>diagramas de clases del modelo. El D-56 había puesto ortogonal en los generados y en los hechos a mano habían quedado vínculos en línea directa. Es la misma decisión, aplicada donde faltaba.</w:t>
      </w:r>
    </w:p>
    <w:p>
      <w:r>
        <w:rPr>
          <w:b/>
        </w:rPr>
        <w:t>Y lo que no se pudo corregir, dicho como es.</w:t>
      </w:r>
      <w:r>
        <w:t xml:space="preserve"> En el diagrama general de casos de uso quedan cuatro vínculos que rozan una elipse. No es descuido: con dieciocho casos, cuatro actores y seis casos compartidos por dos perfiles, un actor que conecta con el primero y con el último de una columna pasa por encima de lo que quede en el medio, y </w:t>
      </w:r>
      <w:r>
        <w:rPr>
          <w:b/>
        </w:rPr>
        <w:t>no existe ubicación que lo evite</w:t>
      </w:r>
      <w:r>
        <w:t xml:space="preserve"> con líneas rectas. Se probó ruteo ortogonal y quedó peor: EA hace correr los tramos verticales justo por encima de la columna de elipses. Los cuatro que quedan rozan el borde, no el texto.</w:t>
      </w:r>
    </w:p>
    <w:p>
      <w:r>
        <w:t xml:space="preserve">El guion </w:t>
      </w:r>
      <w:r>
        <w:rPr>
          <w:rFonts w:ascii="Consolas" w:hAnsi="Consolas" w:eastAsia="Consolas"/>
          <w:sz w:val="21"/>
        </w:rPr>
        <w:t>docs/tecnico/_verificar-diagramas.py</w:t>
      </w:r>
      <w:r>
        <w:t xml:space="preserve"> deja la medición corriendo, y declara aparte lo que </w:t>
      </w:r>
      <w:r>
        <w:rPr>
          <w:b/>
        </w:rPr>
        <w:t>no</w:t>
      </w:r>
      <w:r>
        <w:t xml:space="preserve"> mide —los diagramas de secuencia, donde los mensajes no van de centro a centro, y los vínculos en ruteo ortogonal, donde el recorrido lo calcula EA— en lugar de contarlos como aprobados.</w:t>
      </w:r>
    </w:p>
    <w:p>
      <w:pPr>
        <w:pStyle w:val="Heading2"/>
        <w:pBdr>
          <w:bottom w:val="single" w:sz="6" w:space="6" w:color="2F5496"/>
        </w:pBdr>
        <w:spacing w:before="440"/>
      </w:pPr>
      <w:r>
        <w:rPr>
          <w:rFonts w:ascii="Calibri" w:hAnsi="Calibri" w:eastAsia="Calibri"/>
          <w:color w:val="2F5496"/>
        </w:rPr>
        <w:t xml:space="preserve">D-69 · Qué archivo es el último, después de un </w:t>
      </w:r>
      <w:r>
        <w:rPr>
          <w:rFonts w:ascii="Calibri" w:hAnsi="Calibri" w:eastAsia="Calibri"/>
          <w:color w:val="2F5496"/>
          <w:sz w:val="21"/>
        </w:rPr>
        <w:t>git clone</w:t>
      </w:r>
    </w:p>
    <w:p>
      <w:r>
        <w:rPr>
          <w:i/>
        </w:rPr>
        <w:t>Estado:</w:t>
      </w:r>
      <w:r>
        <w:t xml:space="preserve"> </w:t>
      </w:r>
      <w:r>
        <w:rPr>
          <w:rFonts w:ascii="Consolas" w:hAnsi="Consolas" w:eastAsia="Consolas"/>
          <w:sz w:val="21"/>
        </w:rPr>
        <w:t>aplicado</w:t>
      </w:r>
    </w:p>
    <w:p>
      <w:r>
        <w:t xml:space="preserve">El repositorio tiene los documentos dos veces: la fuente en </w:t>
      </w:r>
      <w:r>
        <w:rPr>
          <w:rFonts w:ascii="Consolas" w:hAnsi="Consolas" w:eastAsia="Consolas"/>
          <w:sz w:val="21"/>
        </w:rPr>
        <w:t>docs/</w:t>
      </w:r>
      <w:r>
        <w:t xml:space="preserve"> y la copia que se entrega en </w:t>
      </w:r>
      <w:r>
        <w:rPr>
          <w:rFonts w:ascii="Consolas" w:hAnsi="Consolas" w:eastAsia="Consolas"/>
          <w:sz w:val="21"/>
        </w:rPr>
        <w:t>ENTREGABLES/</w:t>
      </w:r>
      <w:r>
        <w:t xml:space="preserve">. Después de clonar no había forma de saber cuál mirar, ni si el que se abrió era el de la última corrida o quedó de una anterior. Las fechas de archivo no ayudan: </w:t>
      </w:r>
      <w:r>
        <w:rPr>
          <w:rFonts w:ascii="Consolas" w:hAnsi="Consolas" w:eastAsia="Consolas"/>
          <w:sz w:val="21"/>
        </w:rPr>
        <w:t>git clone</w:t>
      </w:r>
      <w:r>
        <w:t xml:space="preserve"> le pone a todo la fecha en que se clonó.</w:t>
      </w:r>
    </w:p>
    <w:p>
      <w:r>
        <w:rPr>
          <w:rFonts w:ascii="Consolas" w:hAnsi="Consolas" w:eastAsia="Consolas"/>
          <w:sz w:val="21"/>
        </w:rPr>
        <w:t>ENTREGABLES/VERSIONES.md</w:t>
      </w:r>
      <w:r>
        <w:t xml:space="preserve"> se genera con el armado y lista los 58 archivos con su </w:t>
      </w:r>
      <w:r>
        <w:rPr>
          <w:b/>
        </w:rPr>
        <w:t>sha-256</w:t>
      </w:r>
      <w:r>
        <w:t xml:space="preserve"> y el commit del que salieron. El sha es lo único que sobrevive a un clon y a una copia: dos archivos con el mismo sha son el mismo archivo, y si difiere del que figura ahí, el archivo no es el de esa versión. El README lo dice arriba de todo, con el enlace.</w:t>
      </w:r>
    </w:p>
    <w:p>
      <w:pPr>
        <w:pStyle w:val="Heading2"/>
        <w:pBdr>
          <w:bottom w:val="single" w:sz="6" w:space="6" w:color="2F5496"/>
        </w:pBdr>
        <w:spacing w:before="440"/>
      </w:pPr>
      <w:r>
        <w:rPr>
          <w:rFonts w:ascii="Calibri" w:hAnsi="Calibri" w:eastAsia="Calibri"/>
          <w:color w:val="2F5496"/>
        </w:rPr>
        <w:t>D-70 · El sistema pasa a estar desplegado y accesible</w:t>
      </w:r>
    </w:p>
    <w:p>
      <w:r>
        <w:rPr>
          <w:i/>
        </w:rPr>
        <w:t>Estado:</w:t>
      </w:r>
      <w:r>
        <w:t xml:space="preserve"> </w:t>
      </w:r>
      <w:r>
        <w:rPr>
          <w:rFonts w:ascii="Consolas" w:hAnsi="Consolas" w:eastAsia="Consolas"/>
          <w:sz w:val="21"/>
        </w:rPr>
        <w:t>aplicado</w:t>
      </w:r>
    </w:p>
    <w:p>
      <w:r>
        <w:t xml:space="preserve">El documento describe el entorno de ejecución como una instalación propia. Ahora el sistema además </w:t>
      </w:r>
      <w:r>
        <w:rPr>
          <w:b/>
        </w:rPr>
        <w:t>corre en https://predictit-web.fly.dev</w:t>
      </w:r>
      <w:r>
        <w:t>, para que se pueda probar sin instalarlo.</w:t>
      </w:r>
    </w:p>
    <w:p>
      <w:r>
        <w:rPr>
          <w:b/>
        </w:rPr>
        <w:t>Por qué Fly y no Vercel ni Netlify.</w:t>
      </w:r>
      <w:r>
        <w:t xml:space="preserve"> Los dos sirven archivos estáticos y funciones sin estado: no corren un proceso ASP.NET Core de larga vida —el motor predictivo es un servicio alojado que se despierta cada 24 horas, ADR 0011— ni alojan SQL Server. Servirían para el frontend y nada más. Fly corre los contenedores que el proyecto ya tenía, así que el sistema subió </w:t>
      </w:r>
      <w:r>
        <w:rPr>
          <w:b/>
        </w:rPr>
        <w:t>sin cambiar una línea de código de la aplicación</w:t>
      </w:r>
      <w:r>
        <w:t>.</w:t>
      </w:r>
    </w:p>
    <w:p>
      <w:r>
        <w:rPr>
          <w:b/>
        </w:rPr>
        <w:t>Lo único que se tocó</w:t>
      </w:r>
      <w:r>
        <w:t xml:space="preserve"> fue el destino del proxy de nginx, que estaba escrito a mano como </w:t>
      </w:r>
      <w:r>
        <w:rPr>
          <w:rFonts w:ascii="Consolas" w:hAnsi="Consolas" w:eastAsia="Consolas"/>
          <w:sz w:val="21"/>
        </w:rPr>
        <w:t>api:8080</w:t>
      </w:r>
      <w:r>
        <w:t xml:space="preserve"> —el nombre del servicio en Docker Compose—. Pasa a salir de una variable de entorno, con ese mismo valor por omisión: la misma imagen sirve para las dos cosas.</w:t>
      </w:r>
    </w:p>
    <w:p>
      <w:r>
        <w:rPr>
          <w:b/>
        </w:rPr>
        <w:t>Una sola superficie expuesta.</w:t>
      </w:r>
      <w:r>
        <w:t xml:space="preserve"> De las tres aplicaciones, sólo el frontend tiene dirección pública; la API y la base viven en la red privada de Fly, sobre WireGuard, y no tienen IP. Swagger sale por el mismo proxy, así que la documentación de la API queda disponible para quien evalúa sin abrir el backend.</w:t>
      </w:r>
    </w:p>
    <w:p>
      <w:r>
        <w:rPr>
          <w:b/>
        </w:rPr>
        <w:t>SQL Server Express y no Developer.</w:t>
      </w:r>
      <w:r>
        <w:t xml:space="preserve"> El contenedor de desarrollo usa Developer, que es gratis pero cuya licencia permite sólo desarrollo y prueba. Un sistema al que entra cualquiera desde internet no es ninguna de las dos, así que en producción va Express, que sí está licenciada para uso productivo. El límite —10 GB por base— sobra, y lo único que Express no trae y podría importar, el Agente de SQL Server, no se usa: el motor se dispara desde la aplicación.</w:t>
      </w:r>
    </w:p>
    <w:p>
      <w:r>
        <w:rPr>
          <w:b/>
        </w:rPr>
        <w:t>Los secretos</w:t>
      </w:r>
      <w:r>
        <w:t xml:space="preserve"> son otros que los de desarrollo, a propósito: si el </w:t>
      </w:r>
      <w:r>
        <w:rPr>
          <w:rFonts w:ascii="Consolas" w:hAnsi="Consolas" w:eastAsia="Consolas"/>
          <w:sz w:val="21"/>
        </w:rPr>
        <w:t>.env</w:t>
      </w:r>
      <w:r>
        <w:t xml:space="preserve"> local se filtra, no abre lo que está publicado. Viven en </w:t>
      </w:r>
      <w:r>
        <w:rPr>
          <w:rFonts w:ascii="Consolas" w:hAnsi="Consolas" w:eastAsia="Consolas"/>
          <w:sz w:val="21"/>
        </w:rPr>
        <w:t>fly secrets</w:t>
      </w:r>
      <w:r>
        <w:t>, cifrados, y ninguno está en el repositorio.</w:t>
      </w:r>
    </w:p>
    <w:p>
      <w:r>
        <w:t xml:space="preserve">El detalle del despliegue, con lo que hay que saber para rehacerlo, está en </w:t>
      </w:r>
      <w:r>
        <w:rPr>
          <w:rFonts w:ascii="Consolas" w:hAnsi="Consolas" w:eastAsia="Consolas"/>
          <w:sz w:val="21"/>
        </w:rPr>
        <w:t>fly/LEEME.md</w:t>
      </w:r>
      <w:r>
        <w:t>.</w:t>
      </w:r>
    </w:p>
    <w:p>
      <w:pPr>
        <w:pStyle w:val="Heading2"/>
        <w:pBdr>
          <w:bottom w:val="single" w:sz="6" w:space="6" w:color="2F5496"/>
        </w:pBdr>
        <w:spacing w:before="440"/>
      </w:pPr>
      <w:r>
        <w:rPr>
          <w:rFonts w:ascii="Calibri" w:hAnsi="Calibri" w:eastAsia="Calibri"/>
          <w:color w:val="2F5496"/>
        </w:rPr>
        <w:t>D-71 · El entorno de demostración no es la infraestructura prevista</w:t>
      </w:r>
    </w:p>
    <w:p>
      <w:r>
        <w:rPr>
          <w:i/>
        </w:rPr>
        <w:t>Estado:</w:t>
      </w:r>
      <w:r>
        <w:t xml:space="preserve"> </w:t>
      </w:r>
      <w:r>
        <w:rPr>
          <w:rFonts w:ascii="Consolas" w:hAnsi="Consolas" w:eastAsia="Consolas"/>
          <w:sz w:val="21"/>
        </w:rPr>
        <w:t>aplicado</w:t>
      </w:r>
    </w:p>
    <w:p>
      <w:r>
        <w:t xml:space="preserve">El D-70 dejó el sistema corriendo en Fly.io, y el capítulo 10.2.5 dice «Contenedores Docker; </w:t>
      </w:r>
      <w:r>
        <w:rPr>
          <w:b/>
        </w:rPr>
        <w:t>despliegue previsto</w:t>
      </w:r>
      <w:r>
        <w:t xml:space="preserve"> sobre Microsoft Azure». Las dos cosas conviven, pero hay que decirlo o la pregunta aparece sola apenas alguien abre la dirección.</w:t>
      </w:r>
    </w:p>
    <w:p>
      <w:r>
        <w:rPr>
          <w:b/>
        </w:rPr>
        <w:t>No son lo mismo y el documento no se contradice.</w:t>
      </w:r>
      <w:r>
        <w:t xml:space="preserve"> «Previsto» es un plan de infraestructura para el servicio productivo, no una afirmación de que el sistema ya esté alojado ahí. Lo que hay hoy es un </w:t>
      </w:r>
      <w:r>
        <w:rPr>
          <w:b/>
        </w:rPr>
        <w:t>entorno de demostración</w:t>
      </w:r>
      <w:r>
        <w:t>, que existe para que se pueda probar el sistema sin instalarlo.</w:t>
      </w:r>
    </w:p>
    <w:p>
      <w:r>
        <w:t xml:space="preserve">Lo que </w:t>
      </w:r>
      <w:r>
        <w:rPr>
          <w:b/>
        </w:rPr>
        <w:t>no</w:t>
      </w:r>
      <w:r>
        <w:t xml:space="preserve"> cambia, y por eso el plan de negocio queda intacto: la infraestructura prevista para producción sigue siendo Microsoft Azure. De ahí salen el costo de infraestructura por cliente del Plan Inicial, el criterio de localización —«priorizando la latencia y la disponibilidad para usuarios ubicados en Argentina»— y la responsabilidad del CTO sobre esa infraestructura. Mover la demostración a otro proveedor no toca ninguna de las tres.</w:t>
      </w:r>
    </w:p>
    <w:p>
      <w:r>
        <w:rPr>
          <w:b/>
        </w:rPr>
        <w:t>Por qué se puede cambiar de proveedor sin cambiar el sistema.</w:t>
      </w:r>
      <w:r>
        <w:t xml:space="preserve"> Es la consecuencia de una decisión que ya estaba tomada: el sistema se empaqueta en contenedores y toda su configuración —cadenas de conexión, claves, orígenes permitidos— entra por variables de entorno. Subirlo a Fly no necesitó una sola línea de código de la aplicación; lo único que se agregó fue que el destino del proxy de nginx saliera de una variable, porque estaba escrito a mano.</w:t>
      </w:r>
    </w:p>
    <w:p>
      <w:r>
        <w:rPr>
          <w:b/>
        </w:rPr>
        <w:t>Qué haría falta para que la demostración corra en Azure.</w:t>
      </w:r>
      <w:r>
        <w:t xml:space="preserve"> Una máquina virtual chica con </w:t>
      </w:r>
      <w:r>
        <w:rPr>
          <w:rFonts w:ascii="Consolas" w:hAnsi="Consolas" w:eastAsia="Consolas"/>
          <w:sz w:val="21"/>
        </w:rPr>
        <w:t>docker compose up</w:t>
      </w:r>
      <w:r>
        <w:t xml:space="preserve">, que es exactamente lo que el entorno técnico describe. </w:t>
      </w:r>
      <w:r>
        <w:rPr>
          <w:b/>
        </w:rPr>
        <w:t>No</w:t>
      </w:r>
      <w:r>
        <w:t xml:space="preserve"> sirve Azure SQL Database: el servicio de respaldos hace </w:t>
      </w:r>
      <w:r>
        <w:rPr>
          <w:rFonts w:ascii="Consolas" w:hAnsi="Consolas" w:eastAsia="Consolas"/>
          <w:sz w:val="21"/>
        </w:rPr>
        <w:t>BACKUP</w:t>
      </w:r>
      <w:r>
        <w:t xml:space="preserve"> y </w:t>
      </w:r>
      <w:r>
        <w:rPr>
          <w:rFonts w:ascii="Consolas" w:hAnsi="Consolas" w:eastAsia="Consolas"/>
          <w:sz w:val="21"/>
        </w:rPr>
        <w:t>RESTORE DATABASE</w:t>
      </w:r>
      <w:r>
        <w:t xml:space="preserve"> —CU-017 y Req. Arq. 003— y ese servicio gestionado no lo permite, porque los respaldos son automáticos y no los controla la aplicación. Montarlo ahí costaría un caso de uso ya entregado y probado.</w:t>
      </w:r>
    </w:p>
    <w:p>
      <w:r>
        <w:rPr>
          <w:b/>
        </w:rPr>
        <w:t>Sobre la suscripción de Azure.</w:t>
      </w:r>
      <w:r>
        <w:t xml:space="preserve"> Se activó Azure for Students con la cuenta institucional: USD 100 de crédito, vigentes hasta el 16/09/2027. El primer intento por línea de comandos parecía indicar que el convenio de la universidad no la habilitaba —el portal de la oferta devolvía a la página de presentación—, pero era el flujo del portal y no una restricción: entrando por «Education → Azure for Students» desde el portal, la suscripción se creó.</w:t>
      </w:r>
    </w:p>
    <w:p>
      <w:r>
        <w:t>Queda entonces la posibilidad de mover el entorno de demostración a la infraestructura que el documento prevé. Lo que no cambia es el motivo por el que se puede: contenedores y configuración por variables de entorno.</w:t>
      </w:r>
    </w:p>
    <w:p>
      <w:pPr>
        <w:pStyle w:val="Heading2"/>
        <w:pBdr>
          <w:bottom w:val="single" w:sz="6" w:space="6" w:color="2F5496"/>
        </w:pBdr>
        <w:spacing w:before="440"/>
      </w:pPr>
      <w:r>
        <w:rPr>
          <w:rFonts w:ascii="Calibri" w:hAnsi="Calibri" w:eastAsia="Calibri"/>
          <w:color w:val="2F5496"/>
        </w:rPr>
        <w:t>D-72 · El entorno de demostración pasa a Microsoft Azure</w:t>
      </w:r>
    </w:p>
    <w:p>
      <w:r>
        <w:rPr>
          <w:i/>
        </w:rPr>
        <w:t>Estado:</w:t>
      </w:r>
      <w:r>
        <w:t xml:space="preserve"> </w:t>
      </w:r>
      <w:r>
        <w:rPr>
          <w:rFonts w:ascii="Consolas" w:hAnsi="Consolas" w:eastAsia="Consolas"/>
          <w:sz w:val="21"/>
        </w:rPr>
        <w:t>aplicado</w:t>
      </w:r>
    </w:p>
    <w:p>
      <w:r>
        <w:t xml:space="preserve">El D-70 lo había puesto en Fly.io y el D-71 registró que eso era el entorno de demostración y no la infraestructura prevista. Activada la suscripción de estudiante, se movió a </w:t>
      </w:r>
      <w:r>
        <w:rPr>
          <w:b/>
        </w:rPr>
        <w:t>Microsoft Azure</w:t>
      </w:r>
      <w:r>
        <w:t>, que es lo que el capítulo 10.2.5 declara: «Contenedores Docker; despliegue previsto sobre Microsoft Azure». Las aplicaciones de Fly se eliminaron.</w:t>
      </w:r>
    </w:p>
    <w:p>
      <w:r>
        <w:rPr>
          <w:b/>
        </w:rPr>
        <w:t>https://predictit-uai.mexicocentral.cloudapp.azure.com</w:t>
      </w:r>
      <w:r>
        <w:t xml:space="preserve">, sobre una máquina </w:t>
      </w:r>
      <w:r>
        <w:rPr>
          <w:rFonts w:ascii="Consolas" w:hAnsi="Consolas" w:eastAsia="Consolas"/>
          <w:sz w:val="21"/>
        </w:rPr>
        <w:t>Standard_B2ls_v2</w:t>
      </w:r>
      <w:r>
        <w:t xml:space="preserve"> con </w:t>
      </w:r>
      <w:r>
        <w:rPr>
          <w:rFonts w:ascii="Consolas" w:hAnsi="Consolas" w:eastAsia="Consolas"/>
          <w:sz w:val="21"/>
        </w:rPr>
        <w:t>docker compose</w:t>
      </w:r>
      <w:r>
        <w:t xml:space="preserve">. El sistema subió </w:t>
      </w:r>
      <w:r>
        <w:rPr>
          <w:b/>
        </w:rPr>
        <w:t>sin cambiar una línea de código</w:t>
      </w:r>
      <w:r>
        <w:t>: es el mismo stack que se levanta en cualquier máquina con Docker.</w:t>
      </w:r>
    </w:p>
    <w:p>
      <w:r>
        <w:rPr>
          <w:b/>
        </w:rPr>
        <w:t>La región es lo único que no sale como el documento lo pide, y conviene decirlo antes de que lo pregunten.</w:t>
      </w:r>
      <w:r>
        <w:t xml:space="preserve"> El documento fija que la localización «debe seleccionarse priorizando la latencia y la disponibilidad para usuarios ubicados en Argentina», y para eso la región correcta es Brazil South. La suscripción de estudiante tiene una directiva —«Allowed resource deployment regions»— que sólo habilita cinco regiones, ninguna en Sudamérica. Se eligió la más cercana de las disponibles, Mexico Central.</w:t>
      </w:r>
    </w:p>
    <w:p>
      <w:r>
        <w:t xml:space="preserve">Medido desde Buenos Aires: </w:t>
      </w:r>
      <w:r>
        <w:rPr>
          <w:b/>
        </w:rPr>
        <w:t>231 ms</w:t>
      </w:r>
      <w:r>
        <w:t xml:space="preserve"> para establecer la conexión, contra 403 ms de North Central US y 413 ms de Canada Central. El criterio se aplicó sobre las opciones que había. Para referencia, el despliegue anterior en São Paulo daba 96 ms: la limitación es de la suscripción, no del diseño, y en producción con una suscripción sin esa restricción se usaría Brazil South.</w:t>
      </w:r>
    </w:p>
    <w:p>
      <w:r>
        <w:rPr>
          <w:b/>
        </w:rPr>
        <w:t>Lo que se estrenó.</w:t>
      </w:r>
      <w:r>
        <w:t xml:space="preserve"> </w:t>
      </w:r>
      <w:r>
        <w:rPr>
          <w:rFonts w:ascii="Consolas" w:hAnsi="Consolas" w:eastAsia="Consolas"/>
          <w:sz w:val="21"/>
        </w:rPr>
        <w:t>frontend/nginx-tls.conf</w:t>
      </w:r>
      <w:r>
        <w:t xml:space="preserve"> estaba escrito desde hacía semanas y nunca se había usado. Decía de sí mismo que existía «para que poner el sistema detrás de TLS sea montar dos archivos y cambiar una línea, y no un trabajo de investigación el día del despliegue». Fue exactamente eso: el certificado de Let's Encrypt entró montando ese archivo y los dos del certificado.</w:t>
      </w:r>
    </w:p>
    <w:p>
      <w:r>
        <w:rPr>
          <w:b/>
        </w:rPr>
        <w:t>Lo que hubo que corregirle al sistema.</w:t>
      </w:r>
      <w:r>
        <w:t xml:space="preserve"> Una sola cosa, y la encontró el despliegue: el primer certificado se pide </w:t>
      </w:r>
      <w:r>
        <w:rPr>
          <w:b/>
        </w:rPr>
        <w:t>sin</w:t>
      </w:r>
      <w:r>
        <w:t xml:space="preserve"> TLS, así que quien responde el desafío de validación es </w:t>
      </w:r>
      <w:r>
        <w:rPr>
          <w:rFonts w:ascii="Consolas" w:hAnsi="Consolas" w:eastAsia="Consolas"/>
          <w:sz w:val="21"/>
        </w:rPr>
        <w:t>nginx.conf.template</w:t>
      </w:r>
      <w:r>
        <w:t xml:space="preserve">, que no tenía la ubicación </w:t>
      </w:r>
      <w:r>
        <w:rPr>
          <w:rFonts w:ascii="Consolas" w:hAnsi="Consolas" w:eastAsia="Consolas"/>
          <w:sz w:val="21"/>
        </w:rPr>
        <w:t>/.well-known/acme-challenge/</w:t>
      </w:r>
      <w:r>
        <w:t>. La SPA se comía la petición y la autoridad certificadora recibía el HTML de la aplicación en lugar del testigo. Se le agregó, y ahora las dos configuraciones —con y sin TLS— pueden renovar.</w:t>
      </w:r>
    </w:p>
    <w:p>
      <w:r>
        <w:t xml:space="preserve">El detalle operativo está en </w:t>
      </w:r>
      <w:r>
        <w:rPr>
          <w:rFonts w:ascii="Consolas" w:hAnsi="Consolas" w:eastAsia="Consolas"/>
          <w:sz w:val="21"/>
        </w:rPr>
        <w:t>despliegue/LEEME.md</w:t>
      </w:r>
      <w:r>
        <w:t>.</w:t>
      </w:r>
    </w:p>
    <w:p>
      <w:r>
        <w:br w:type="page"/>
      </w:r>
    </w:p>
    <w:p>
      <w:pPr>
        <w:pStyle w:val="Heading1"/>
        <w:pBdr>
          <w:bottom w:val="single" w:sz="6" w:space="6" w:color="2F5496"/>
        </w:pBdr>
      </w:pPr>
      <w:r>
        <w:rPr>
          <w:rFonts w:ascii="Calibri" w:hAnsi="Calibri" w:eastAsia="Calibri"/>
        </w:rPr>
        <w:t>Fuentes</w:t>
      </w:r>
    </w:p>
    <w:p>
      <w:pPr>
        <w:spacing w:after="160"/>
        <w:ind w:left="709" w:hanging="709"/>
        <w:jc w:val="left"/>
      </w:pPr>
      <w:r>
        <w:t xml:space="preserve">ISO/IEC. (2011). </w:t>
      </w:r>
      <w:r>
        <w:rPr>
          <w:i/>
        </w:rPr>
        <w:t>Systems and software engineering. Systems and software Quality Requirements and Evaluation (SQuaRE). System and software quality models</w:t>
      </w:r>
      <w:r>
        <w:t xml:space="preserve"> (ISO/IEC 25010:2011).</w:t>
      </w:r>
    </w:p>
    <w:p>
      <w:pPr>
        <w:spacing w:after="160"/>
        <w:ind w:left="709" w:hanging="709"/>
        <w:jc w:val="left"/>
      </w:pPr>
      <w:r>
        <w:t xml:space="preserve">Schwaber, K. y Sutherland, J. (2020). </w:t>
      </w:r>
      <w:r>
        <w:rPr>
          <w:i/>
        </w:rPr>
        <w:t>La guía de Scrum</w:t>
      </w:r>
      <w:r>
        <w:t>. https://scrumguides.org</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Calibri"/>
        <w:color w:val="666666"/>
        <w:sz w:val="18"/>
      </w:rPr>
      <w:t xml:space="preserve">Página </w:t>
    </w:r>
    <w:r>
      <w:rPr>
        <w:rFonts w:ascii="Calibri" w:hAnsi="Calibri" w:eastAsia="Calibri"/>
        <w:color w:val="666666"/>
        <w:sz w:val="18"/>
      </w:rPr>
      <w:fldChar w:fldCharType="begin"/>
      <w:instrText xml:space="preserve">PAGE</w:instrText>
      <w:fldChar w:fldCharType="separate"/>
      <w:fldChar w:fldCharType="end"/>
    </w:r>
    <w:r>
      <w:rPr>
        <w:rFonts w:ascii="Calibri" w:hAnsi="Calibri" w:eastAsia="Calibri"/>
        <w:color w:val="666666"/>
        <w:sz w:val="18"/>
      </w:rPr>
      <w:t xml:space="preserve"> de </w:t>
    </w:r>
    <w:r>
      <w:rPr>
        <w:rFonts w:ascii="Calibri" w:hAnsi="Calibri" w:eastAsia="Calibri"/>
        <w:color w:val="666666"/>
        <w:sz w:val="18"/>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4" w:space="2" w:color="CCCCCC"/>
      </w:pBdr>
    </w:pPr>
    <w:r>
      <w:rPr>
        <w:rFonts w:ascii="Calibri" w:hAnsi="Calibri" w:eastAsia="Calibri"/>
        <w:color w:val="666666"/>
        <w:sz w:val="18"/>
      </w:rPr>
      <w:t>PredictIT · Gestión del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both"/>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jc w:val="left"/>
      <w:outlineLvl w:val="0"/>
    </w:pPr>
    <w:rPr>
      <w:rFonts w:asciiTheme="majorHAnsi" w:eastAsiaTheme="majorEastAsia" w:hAnsiTheme="majorHAnsi" w:cstheme="majorBidi" w:ascii="Calibri Light" w:hAnsi="Calibri Light" w:eastAsia="Calibri Light"/>
      <w:b w:val="0"/>
      <w:bCs/>
      <w:i w:val="0"/>
      <w:color w:val="2F5496"/>
      <w:sz w:val="40"/>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Light" w:hAnsi="Calibri Light" w:eastAsia="Calibri Light"/>
      <w:b w:val="0"/>
      <w:bCs/>
      <w:i w:val="0"/>
      <w:color w:val="2F5496"/>
      <w:sz w:val="32"/>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Calibri Light" w:hAnsi="Calibri Light" w:eastAsia="Calibri Light"/>
      <w:b/>
      <w:bCs/>
      <w:i w:val="0"/>
      <w:color w:val="2F5496"/>
      <w:sz w:val="26"/>
    </w:rPr>
  </w:style>
  <w:style w:type="paragraph" w:styleId="Heading4">
    <w:name w:val="heading 4"/>
    <w:basedOn w:val="Normal"/>
    <w:next w:val="Normal"/>
    <w:link w:val="Heading4Char"/>
    <w:uiPriority w:val="9"/>
    <w:semiHidden/>
    <w:unhideWhenUsed/>
    <w:qFormat/>
    <w:rsid w:val="00FC693F"/>
    <w:pPr>
      <w:keepNext/>
      <w:keepLines/>
      <w:spacing w:before="240" w:after="120"/>
      <w:jc w:val="left"/>
      <w:outlineLvl w:val="3"/>
    </w:pPr>
    <w:rPr>
      <w:rFonts w:asciiTheme="majorHAnsi" w:eastAsiaTheme="majorEastAsia" w:hAnsiTheme="majorHAnsi" w:cstheme="majorBidi" w:ascii="Calibri Light" w:hAnsi="Calibri Light" w:eastAsia="Calibri Light"/>
      <w:b/>
      <w:bCs/>
      <w:i w:val="0"/>
      <w:iCs/>
      <w:color w:val="2F5496"/>
      <w:sz w:val="24"/>
    </w:rPr>
  </w:style>
  <w:style w:type="paragraph" w:styleId="Heading5">
    <w:name w:val="heading 5"/>
    <w:basedOn w:val="Normal"/>
    <w:next w:val="Normal"/>
    <w:link w:val="Heading5Char"/>
    <w:uiPriority w:val="9"/>
    <w:semiHidden/>
    <w:unhideWhenUsed/>
    <w:qFormat/>
    <w:rsid w:val="00FC693F"/>
    <w:pPr>
      <w:keepNext/>
      <w:keepLines/>
      <w:spacing w:before="240" w:after="120"/>
      <w:jc w:val="left"/>
      <w:outlineLvl w:val="4"/>
    </w:pPr>
    <w:rPr>
      <w:rFonts w:asciiTheme="majorHAnsi" w:eastAsiaTheme="majorEastAsia" w:hAnsiTheme="majorHAnsi" w:cstheme="majorBidi" w:ascii="Calibri Light" w:hAnsi="Calibri Light" w:eastAsia="Calibri Light"/>
      <w:b/>
      <w:i w:val="0"/>
      <w:color w:val="2F5496"/>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320"/>
      <w:contextualSpacing/>
      <w:jc w:val="left"/>
    </w:pPr>
    <w:rPr>
      <w:rFonts w:asciiTheme="majorHAnsi" w:eastAsiaTheme="majorEastAsia" w:hAnsiTheme="majorHAnsi" w:cstheme="majorBidi" w:ascii="Calibri Light" w:hAnsi="Calibri Light" w:eastAsia="Calibri Light"/>
      <w:color w:val="2F549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