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823451" cy="792000"/>
            <wp:docPr id="1" name="Picture 1"/>
            <wp:cNvGraphicFramePr>
              <a:graphicFrameLocks noChangeAspect="1"/>
            </wp:cNvGraphicFramePr>
            <a:graphic>
              <a:graphicData uri="http://schemas.openxmlformats.org/drawingml/2006/picture">
                <pic:pic>
                  <pic:nvPicPr>
                    <pic:cNvPr id="0" name="escudo-uai.jpeg"/>
                    <pic:cNvPicPr/>
                  </pic:nvPicPr>
                  <pic:blipFill>
                    <a:blip r:embed="rId11"/>
                    <a:stretch>
                      <a:fillRect/>
                    </a:stretch>
                  </pic:blipFill>
                  <pic:spPr>
                    <a:xfrm>
                      <a:off x="0" y="0"/>
                      <a:ext cx="823451" cy="792000"/>
                    </a:xfrm>
                    <a:prstGeom prst="rect"/>
                  </pic:spPr>
                </pic:pic>
              </a:graphicData>
            </a:graphic>
          </wp:inline>
        </w:drawing>
      </w:r>
    </w:p>
    <w:p>
      <w:pPr>
        <w:spacing w:after="40" w:line="240" w:lineRule="auto"/>
        <w:jc w:val="center"/>
      </w:pPr>
      <w:r>
        <w:rPr>
          <w:rFonts w:ascii="Calibri" w:hAnsi="Calibri" w:eastAsia="Calibri"/>
          <w:b/>
          <w:sz w:val="28"/>
        </w:rPr>
        <w:t>Universidad Abierta Interamericana</w:t>
      </w:r>
    </w:p>
    <w:p>
      <w:pPr>
        <w:spacing w:after="40" w:line="240" w:lineRule="auto"/>
        <w:jc w:val="center"/>
      </w:pPr>
      <w:r>
        <w:rPr>
          <w:rFonts w:ascii="Calibri" w:hAnsi="Calibri" w:eastAsia="Calibri"/>
          <w:b w:val="0"/>
          <w:sz w:val="24"/>
        </w:rPr>
        <w:t>Facultad de Tecnología Informática</w:t>
      </w:r>
    </w:p>
    <w:p>
      <w:pPr>
        <w:spacing w:after="520" w:line="240" w:lineRule="auto"/>
        <w:jc w:val="center"/>
      </w:pPr>
      <w:r>
        <w:rPr>
          <w:rFonts w:ascii="Calibri" w:hAnsi="Calibri" w:eastAsia="Calibri"/>
          <w:b w:val="0"/>
          <w:sz w:val="24"/>
        </w:rPr>
        <w:t>Ingeniería en Sistemas Informáticos</w:t>
      </w:r>
    </w:p>
    <w:p>
      <w:pPr>
        <w:spacing w:after="920" w:line="240" w:lineRule="auto"/>
        <w:jc w:val="center"/>
        <w:pBdr>
          <w:bottom w:val="single" w:sz="10" w:space="0" w:color="2F5496"/>
        </w:pBdr>
      </w:pPr>
    </w:p>
    <w:p>
      <w:pPr>
        <w:spacing w:after="280" w:line="240" w:lineRule="auto"/>
        <w:jc w:val="center"/>
      </w:pPr>
      <w:r>
        <w:rPr>
          <w:rFonts w:ascii="Calibri" w:hAnsi="Calibri" w:eastAsia="Calibri"/>
          <w:b w:val="0"/>
          <w:color w:val="444444"/>
          <w:sz w:val="22"/>
        </w:rPr>
        <w:t>TRABAJO FINAL DE INGENIERÍA</w:t>
      </w:r>
    </w:p>
    <w:p>
      <w:pPr>
        <w:spacing w:after="160" w:line="240" w:lineRule="auto"/>
        <w:jc w:val="center"/>
      </w:pPr>
      <w:r>
        <w:rPr>
          <w:rFonts w:ascii="Calibri" w:hAnsi="Calibri" w:eastAsia="Calibri"/>
          <w:b/>
          <w:color w:val="2F5496"/>
          <w:sz w:val="44"/>
        </w:rPr>
        <w:t>Patrones de diseño y principios SOLID</w:t>
      </w:r>
    </w:p>
    <w:p>
      <w:pPr>
        <w:spacing w:after="1520" w:line="240" w:lineRule="auto"/>
        <w:jc w:val="center"/>
      </w:pPr>
      <w:r>
        <w:rPr>
          <w:rFonts w:ascii="Calibri" w:hAnsi="Calibri" w:eastAsia="Calibri"/>
          <w:b w:val="0"/>
          <w:color w:val="444444"/>
          <w:sz w:val="26"/>
        </w:rPr>
        <w:t>Dónde está aplicado cada uno, con su archivo</w:t>
      </w:r>
    </w:p>
    <w:p>
      <w:pPr>
        <w:spacing w:after="60" w:line="240" w:lineRule="auto"/>
        <w:jc w:val="center"/>
      </w:pPr>
      <w:r>
        <w:rPr>
          <w:rFonts w:ascii="Calibri" w:hAnsi="Calibri" w:eastAsia="Calibri"/>
          <w:color w:val="444444"/>
          <w:sz w:val="22"/>
        </w:rPr>
        <w:t xml:space="preserve">Alumno: </w:t>
      </w:r>
      <w:r>
        <w:rPr>
          <w:rFonts w:ascii="Calibri" w:hAnsi="Calibri" w:eastAsia="Calibri"/>
          <w:sz w:val="22"/>
        </w:rPr>
        <w:t>Pettini, Patricio Ezequiel</w:t>
      </w:r>
    </w:p>
    <w:p>
      <w:pPr>
        <w:spacing w:after="60" w:line="240" w:lineRule="auto"/>
        <w:jc w:val="center"/>
      </w:pPr>
      <w:r>
        <w:rPr>
          <w:rFonts w:ascii="Calibri" w:hAnsi="Calibri" w:eastAsia="Calibri"/>
          <w:color w:val="444444"/>
          <w:sz w:val="22"/>
        </w:rPr>
        <w:t xml:space="preserve">Legajo: </w:t>
      </w:r>
      <w:r>
        <w:rPr>
          <w:rFonts w:ascii="Calibri" w:hAnsi="Calibri" w:eastAsia="Calibri"/>
          <w:sz w:val="22"/>
        </w:rPr>
        <w:t>B00072710-T1</w:t>
      </w:r>
    </w:p>
    <w:p>
      <w:pPr>
        <w:spacing w:after="60" w:line="240" w:lineRule="auto"/>
        <w:jc w:val="center"/>
      </w:pPr>
      <w:r>
        <w:rPr>
          <w:rFonts w:ascii="Calibri" w:hAnsi="Calibri" w:eastAsia="Calibri"/>
          <w:color w:val="444444"/>
          <w:sz w:val="22"/>
        </w:rPr>
        <w:t xml:space="preserve">Sede: </w:t>
      </w:r>
      <w:r>
        <w:rPr>
          <w:rFonts w:ascii="Calibri" w:hAnsi="Calibri" w:eastAsia="Calibri"/>
          <w:sz w:val="22"/>
        </w:rPr>
        <w:t>Sede Norte — Boulogne</w:t>
      </w:r>
    </w:p>
    <w:p>
      <w:pPr>
        <w:spacing w:after="60" w:line="240" w:lineRule="auto"/>
        <w:jc w:val="center"/>
      </w:pPr>
      <w:r>
        <w:rPr>
          <w:rFonts w:ascii="Calibri" w:hAnsi="Calibri" w:eastAsia="Calibri"/>
          <w:color w:val="444444"/>
          <w:sz w:val="22"/>
        </w:rPr>
        <w:t xml:space="preserve">Docentes: </w:t>
      </w:r>
      <w:r>
        <w:rPr>
          <w:rFonts w:ascii="Calibri" w:hAnsi="Calibri" w:eastAsia="Calibri"/>
          <w:sz w:val="22"/>
        </w:rPr>
        <w:t>Romero, Martín Miguel · Weingand, Gastón Matías</w:t>
      </w:r>
    </w:p>
    <w:p>
      <w:pPr>
        <w:spacing w:after="1280"/>
      </w:pPr>
    </w:p>
    <w:p>
      <w:pPr>
        <w:spacing w:after="0" w:line="240" w:lineRule="auto"/>
        <w:jc w:val="center"/>
      </w:pPr>
      <w:r>
        <w:rPr>
          <w:rFonts w:ascii="Calibri" w:hAnsi="Calibri" w:eastAsia="Calibri"/>
          <w:b w:val="0"/>
          <w:color w:val="666666"/>
          <w:sz w:val="20"/>
        </w:rPr>
        <w:t>Versión 1.0 · 16/09/2026</w:t>
      </w:r>
    </w:p>
    <w:p>
      <w:r>
        <w:br w:type="page"/>
      </w:r>
    </w:p>
    <w:p>
      <w:pPr>
        <w:spacing w:after="200"/>
        <w:jc w:val="left"/>
        <w:pBdr>
          <w:bottom w:val="single" w:sz="6" w:space="6" w:color="2F5496"/>
        </w:pBdr>
      </w:pPr>
      <w:r>
        <w:rPr>
          <w:rFonts w:ascii="Calibri" w:hAnsi="Calibri" w:eastAsia="Calibri"/>
          <w:b/>
          <w:color w:val="2F5496"/>
          <w:sz w:val="32"/>
        </w:rPr>
        <w:t>Índice</w:t>
      </w:r>
    </w:p>
    <w:p>
      <w:r>
        <w:fldChar w:fldCharType="begin"/>
        <w:instrText xml:space="preserve">TOC \o "1-3" \h \z \u</w:instrText>
        <w:fldChar w:fldCharType="separate"/>
        <w:fldChar w:fldCharType="end"/>
      </w:r>
    </w:p>
    <w:p>
      <w:r>
        <w:br w:type="page"/>
      </w:r>
    </w:p>
    <w:p>
      <w:r>
        <w:t xml:space="preserve">Verificación al </w:t>
      </w:r>
      <w:r>
        <w:rPr>
          <w:b/>
        </w:rPr>
        <w:t>09/09/2026</w:t>
      </w:r>
      <w:r>
        <w:t xml:space="preserve"> contra el código, no contra la memoria. Cada fila apunta al archivo donde vive, para que en la defensa la respuesta a «¿dónde está el patrón X?» sea abrir un archivo y no explicar una intención.</w:t>
      </w:r>
    </w:p>
    <w:p>
      <w:r>
        <w:t>Lo que no está aplicado figura igual, marcado. Una tabla donde todo da verde no es una verificación.</w:t>
      </w:r>
    </w:p>
    <w:p>
      <w:pPr>
        <w:pStyle w:val="Heading2"/>
        <w:pBdr>
          <w:bottom w:val="single" w:sz="6" w:space="6" w:color="2F5496"/>
        </w:pBdr>
        <w:spacing w:before="440"/>
      </w:pPr>
      <w:r>
        <w:rPr>
          <w:rFonts w:ascii="Calibri" w:hAnsi="Calibri" w:eastAsia="Calibri"/>
          <w:color w:val="2F5496"/>
        </w:rPr>
        <w:t>1 · Patrones de diseño</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Patrón</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Dónde</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problema resuelve acá</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DAO genérico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PredictIT.DAO/Contracts/Contratos.cs:14</w:t>
            </w:r>
            <w:r>
              <w:rPr>
                <w:rFonts w:ascii="Calibri" w:hAnsi="Calibri" w:eastAsia="Calibri"/>
                <w:sz w:val="20"/>
              </w:rPr>
              <w:t xml:space="preserve"> — </w:t>
            </w:r>
            <w:r>
              <w:rPr>
                <w:rFonts w:ascii="Consolas" w:hAnsi="Consolas" w:eastAsia="Consolas"/>
                <w:sz w:val="19"/>
              </w:rPr>
              <w:t>IGenericDao&lt;T&gt;</w:t>
            </w:r>
            <w:r>
              <w:rPr>
                <w:rFonts w:ascii="Calibri" w:hAnsi="Calibri" w:eastAsia="Calibri"/>
                <w:sz w:val="20"/>
              </w:rPr>
              <w:t xml:space="preserve">, heredado por </w:t>
            </w:r>
            <w:r>
              <w:rPr>
                <w:rFonts w:ascii="Consolas" w:hAnsi="Consolas" w:eastAsia="Consolas"/>
                <w:sz w:val="19"/>
              </w:rPr>
              <w:t>IEquipoDao</w:t>
            </w:r>
            <w:r>
              <w:rPr>
                <w:rFonts w:ascii="Calibri" w:hAnsi="Calibri" w:eastAsia="Calibri"/>
                <w:sz w:val="20"/>
              </w:rPr>
              <w:t xml:space="preserve">, </w:t>
            </w:r>
            <w:r>
              <w:rPr>
                <w:rFonts w:ascii="Consolas" w:hAnsi="Consolas" w:eastAsia="Consolas"/>
                <w:sz w:val="19"/>
              </w:rPr>
              <w:t>IIncidenciaDao</w:t>
            </w:r>
            <w:r>
              <w:rPr>
                <w:rFonts w:ascii="Calibri" w:hAnsi="Calibri" w:eastAsia="Calibri"/>
                <w:sz w:val="20"/>
              </w:rPr>
              <w:t xml:space="preserve">, </w:t>
            </w:r>
            <w:r>
              <w:rPr>
                <w:rFonts w:ascii="Consolas" w:hAnsi="Consolas" w:eastAsia="Consolas"/>
                <w:sz w:val="19"/>
              </w:rPr>
              <w:t>IMantenimientoDao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CRUD que se repite en toda entidad de negocio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Object Mapper</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Contratos.cs:8</w:t>
            </w:r>
            <w:r>
              <w:rPr>
                <w:rFonts w:ascii="Calibri" w:hAnsi="Calibri" w:eastAsia="Calibri"/>
                <w:sz w:val="20"/>
              </w:rPr>
              <w:t xml:space="preserve"> — </w:t>
            </w:r>
            <w:r>
              <w:rPr>
                <w:rFonts w:ascii="Consolas" w:hAnsi="Consolas" w:eastAsia="Consolas"/>
                <w:sz w:val="19"/>
              </w:rPr>
              <w:t>IObjectMapper&lt;out T&gt;</w:t>
            </w:r>
            <w:r>
              <w:rPr>
                <w:rFonts w:ascii="Calibri" w:hAnsi="Calibri" w:eastAsia="Calibri"/>
                <w:sz w:val="20"/>
              </w:rPr>
              <w:t xml:space="preserve">, 26 implementaciones: 9 en </w:t>
            </w:r>
            <w:r>
              <w:rPr>
                <w:rFonts w:ascii="Consolas" w:hAnsi="Consolas" w:eastAsia="Consolas"/>
                <w:sz w:val="19"/>
              </w:rPr>
              <w:t>Mappers/Mappers.cs</w:t>
            </w:r>
            <w:r>
              <w:rPr>
                <w:rFonts w:ascii="Calibri" w:hAnsi="Calibri" w:eastAsia="Calibri"/>
                <w:sz w:val="20"/>
              </w:rPr>
              <w:t xml:space="preserve">, 13 en </w:t>
            </w:r>
            <w:r>
              <w:rPr>
                <w:rFonts w:ascii="Consolas" w:hAnsi="Consolas" w:eastAsia="Consolas"/>
                <w:sz w:val="19"/>
              </w:rPr>
              <w:t>Mappers/MappersIncidencia.cs</w:t>
            </w:r>
            <w:r>
              <w:rPr>
                <w:rFonts w:ascii="Calibri" w:hAnsi="Calibri" w:eastAsia="Calibri"/>
                <w:sz w:val="20"/>
              </w:rPr>
              <w:t xml:space="preserve"> y 4 en los DAO de facturación y agenda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Traducir </w:t>
            </w:r>
            <w:r>
              <w:rPr>
                <w:rFonts w:ascii="Consolas" w:hAnsi="Consolas" w:eastAsia="Consolas"/>
                <w:sz w:val="19"/>
              </w:rPr>
              <w:t>IDataRecord</w:t>
            </w:r>
            <w:r>
              <w:rPr>
                <w:rFonts w:ascii="Calibri" w:hAnsi="Calibri" w:eastAsia="Calibri"/>
                <w:sz w:val="20"/>
              </w:rPr>
              <w:t xml:space="preserve"> a entidad en un solo lugar por tabla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Abstract Factory</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DAO/Factory/FactoryDao.cs</w:t>
            </w:r>
            <w:r>
              <w:rPr>
                <w:rFonts w:ascii="Calibri" w:hAnsi="Calibri" w:eastAsia="Calibri"/>
                <w:sz w:val="20"/>
              </w:rPr>
              <w:t xml:space="preserve">, </w:t>
            </w:r>
            <w:r>
              <w:rPr>
                <w:rFonts w:ascii="Consolas" w:hAnsi="Consolas" w:eastAsia="Consolas"/>
                <w:sz w:val="19"/>
              </w:rPr>
              <w:t>BLL/FactoryBusiness.cs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API pide contratos y nunca nombra una clase concreta. Es lo que hace sustituible el acceso a datos</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Unit of Work</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FactoryDao.cs:142</w:t>
            </w:r>
            <w:r>
              <w:rPr>
                <w:rFonts w:ascii="Calibri" w:hAnsi="Calibri" w:eastAsia="Calibri"/>
                <w:sz w:val="20"/>
              </w:rPr>
              <w:t xml:space="preserve"> — </w:t>
            </w:r>
            <w:r>
              <w:rPr>
                <w:rFonts w:ascii="Consolas" w:hAnsi="Consolas" w:eastAsia="Consolas"/>
                <w:sz w:val="19"/>
              </w:rPr>
              <w:t>SqlTransactRepository</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número correlativo de incidencia y la incidencia van juntos o no van: dos altas simultáneas no pueden quedarse con el mismo número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Composite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Domain/Seguridad/ComponenteSeguridad.cs:11</w:t>
            </w:r>
            <w:r>
              <w:rPr>
                <w:rFonts w:ascii="Calibri" w:hAnsi="Calibri" w:eastAsia="Calibri"/>
                <w:sz w:val="20"/>
              </w:rPr>
              <w:t xml:space="preserve">, con </w:t>
            </w:r>
            <w:r>
              <w:rPr>
                <w:rFonts w:ascii="Consolas" w:hAnsi="Consolas" w:eastAsia="Consolas"/>
                <w:sz w:val="19"/>
              </w:rPr>
              <w:t>Familia</w:t>
            </w:r>
            <w:r>
              <w:rPr>
                <w:rFonts w:ascii="Calibri" w:hAnsi="Calibri" w:eastAsia="Calibri"/>
                <w:sz w:val="20"/>
              </w:rPr>
              <w:t xml:space="preserve"> y </w:t>
            </w:r>
            <w:r>
              <w:rPr>
                <w:rFonts w:ascii="Consolas" w:hAnsi="Consolas" w:eastAsia="Consolas"/>
                <w:sz w:val="19"/>
              </w:rPr>
              <w:t>Patente</w:t>
            </w:r>
            <w:r>
              <w:rPr>
                <w:rFonts w:ascii="Calibri" w:hAnsi="Calibri" w:eastAsia="Calibri"/>
                <w:sz w:val="20"/>
              </w:rPr>
              <w:t xml:space="preserve"> como nodo y hoja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Familias que contienen familias, con guarda de ciclos. Es el modelo de permisos de la cátedra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Strategy</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Service/Prediccion/MotorPredictivo.cs:85</w:t>
            </w:r>
            <w:r>
              <w:rPr>
                <w:rFonts w:ascii="Calibri" w:hAnsi="Calibri" w:eastAsia="Calibri"/>
                <w:sz w:val="20"/>
              </w:rPr>
              <w:t xml:space="preserve"> — </w:t>
            </w:r>
            <w:r>
              <w:rPr>
                <w:rFonts w:ascii="Consolas" w:hAnsi="Consolas" w:eastAsia="Consolas"/>
                <w:sz w:val="19"/>
              </w:rPr>
              <w:t>IEstrategiaRegla</w:t>
            </w:r>
            <w:r>
              <w:rPr>
                <w:rFonts w:ascii="Calibri" w:hAnsi="Calibri" w:eastAsia="Calibri"/>
                <w:sz w:val="20"/>
              </w:rPr>
              <w:t xml:space="preserve"> con </w:t>
            </w:r>
            <w:r>
              <w:rPr>
                <w:rFonts w:ascii="Calibri" w:hAnsi="Calibri" w:eastAsia="Calibri"/>
                <w:b/>
                <w:sz w:val="20"/>
              </w:rPr>
              <w:t>5</w:t>
            </w:r>
            <w:r>
              <w:rPr>
                <w:rFonts w:ascii="Calibri" w:hAnsi="Calibri" w:eastAsia="Calibri"/>
                <w:sz w:val="20"/>
              </w:rPr>
              <w:t xml:space="preserve"> implementaciones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Cada tipo de regla predictiva se evalúa distinto; agregar una sexta no toca el motor</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Adapter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Service/IA/ProveedorIA.cs</w:t>
            </w:r>
            <w:r>
              <w:rPr>
                <w:rFonts w:ascii="Calibri" w:hAnsi="Calibri" w:eastAsia="Calibri"/>
                <w:sz w:val="20"/>
              </w:rPr>
              <w:t xml:space="preserve"> — </w:t>
            </w:r>
            <w:r>
              <w:rPr>
                <w:rFonts w:ascii="Consolas" w:hAnsi="Consolas" w:eastAsia="Consolas"/>
                <w:sz w:val="19"/>
              </w:rPr>
              <w:t>IProveedorIA</w:t>
            </w:r>
            <w:r>
              <w:rPr>
                <w:rFonts w:ascii="Calibri" w:hAnsi="Calibri" w:eastAsia="Calibri"/>
                <w:sz w:val="20"/>
              </w:rPr>
              <w:t xml:space="preserve">, con </w:t>
            </w:r>
            <w:r>
              <w:rPr>
                <w:rFonts w:ascii="Consolas" w:hAnsi="Consolas" w:eastAsia="Consolas"/>
                <w:sz w:val="19"/>
              </w:rPr>
              <w:t>ProveedorIAClaude</w:t>
            </w:r>
            <w:r>
              <w:rPr>
                <w:rFonts w:ascii="Calibri" w:hAnsi="Calibri" w:eastAsia="Calibri"/>
                <w:sz w:val="20"/>
              </w:rPr>
              <w:t xml:space="preserve"> y </w:t>
            </w:r>
            <w:r>
              <w:rPr>
                <w:rFonts w:ascii="Consolas" w:hAnsi="Consolas" w:eastAsia="Consolas"/>
                <w:sz w:val="19"/>
              </w:rPr>
              <w:t>ProveedorIASimulado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Dos proveedores intercambiables por configuración. Es lo que permite demostrar el sistema sin crédito de API</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Decorator</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Service/IA/Disyuntor.cs:147</w:t>
            </w:r>
            <w:r>
              <w:rPr>
                <w:rFonts w:ascii="Calibri" w:hAnsi="Calibri" w:eastAsia="Calibri"/>
                <w:sz w:val="20"/>
              </w:rPr>
              <w:t xml:space="preserve"> — </w:t>
            </w:r>
            <w:r>
              <w:rPr>
                <w:rFonts w:ascii="Consolas" w:hAnsi="Consolas" w:eastAsia="Consolas"/>
                <w:sz w:val="19"/>
              </w:rPr>
              <w:t>ProveedorIAConDisyuntor</w:t>
            </w:r>
            <w:r>
              <w:rPr>
                <w:rFonts w:ascii="Calibri" w:hAnsi="Calibri" w:eastAsia="Calibri"/>
                <w:sz w:val="20"/>
              </w:rPr>
              <w:t xml:space="preserve"> envuelve a otro </w:t>
            </w:r>
            <w:r>
              <w:rPr>
                <w:rFonts w:ascii="Consolas" w:hAnsi="Consolas" w:eastAsia="Consolas"/>
                <w:sz w:val="19"/>
              </w:rPr>
              <w:t>IProveedorIA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Agregar resiliencia sin que ningún proveedor sepa que existe el disyuntor</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b/>
                <w:sz w:val="20"/>
              </w:rPr>
              <w:t>Circuit Breaker</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Service/IA/Disyuntor.cs:30</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Dejar de llamar a un servicio caído. Es el CP-14</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Bulkhead</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DAO/Helpers/SqlHelper.cs</w:t>
            </w:r>
            <w:r>
              <w:rPr>
                <w:rFonts w:ascii="Calibri" w:hAnsi="Calibri" w:eastAsia="Calibri"/>
                <w:sz w:val="20"/>
              </w:rPr>
              <w:t xml:space="preserve"> — </w:t>
            </w:r>
            <w:r>
              <w:rPr>
                <w:rFonts w:ascii="Consolas" w:hAnsi="Consolas" w:eastAsia="Consolas"/>
                <w:sz w:val="19"/>
              </w:rPr>
              <w:t>ConexionesSql.ParaSegundoPlano()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barrido predictivo tiene su propio pool acotado: no puede quedarse con las conexiones que atienden a los usuarios</w:t>
            </w:r>
          </w:p>
        </w:tc>
      </w:tr>
    </w:tbl>
    <w:p>
      <w:pPr>
        <w:spacing w:after="80"/>
      </w:pPr>
    </w:p>
    <w:p>
      <w:r>
        <w:rPr>
          <w:b/>
        </w:rPr>
        <w:t>Los diez están en uso, no declarados.</w:t>
      </w:r>
      <w:r>
        <w:t xml:space="preserve"> El caso que conviene mirar es </w:t>
      </w:r>
      <w:r>
        <w:rPr>
          <w:rFonts w:ascii="Consolas" w:hAnsi="Consolas" w:eastAsia="Consolas"/>
          <w:sz w:val="21"/>
        </w:rPr>
        <w:t>IGenericDao&lt;T&gt;</w:t>
      </w:r>
      <w:r>
        <w:t>: tres interfaces lo heredan de verdad. Un patrón declarado y no usado promete una estructura que el sistema no tiene, y en ese caso conviene no declararlo.</w:t>
      </w:r>
    </w:p>
    <w:p>
      <w:r>
        <w:rPr>
          <w:b/>
        </w:rPr>
        <w:t>Corregido en esta verificación:</w:t>
      </w:r>
      <w:r>
        <w:t xml:space="preserve"> el bulkhead estaba comprometido en el</w:t>
      </w:r>
    </w:p>
    <w:p>
      <w:r>
        <w:t xml:space="preserve">ADR 0009 y </w:t>
      </w:r>
      <w:r>
        <w:rPr>
          <w:b/>
        </w:rPr>
        <w:t>no estaba en el código</w:t>
      </w:r>
      <w:r>
        <w:t>. La ausencia se volvió concreta al construir el barrido predictivo, que es el proceso que la decisión buscaba contener. Está implementado y probado.</w:t>
      </w:r>
    </w:p>
    <w:p>
      <w:pPr>
        <w:pStyle w:val="Heading2"/>
        <w:pBdr>
          <w:bottom w:val="single" w:sz="6" w:space="6" w:color="2F5496"/>
        </w:pBdr>
        <w:spacing w:before="440"/>
      </w:pPr>
      <w:r>
        <w:rPr>
          <w:rFonts w:ascii="Calibri" w:hAnsi="Calibri" w:eastAsia="Calibri"/>
          <w:color w:val="2F5496"/>
        </w:rPr>
        <w:t>2 · Principios SOLID</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Principio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Cómo se sostiene</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Estado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Responsabilidad única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motor predictivo no lee el reloj ni la base: recibe el contexto y devuelve el resultado. Por eso se prueba sin infraestructura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Abierto/cerrado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Una regla predictiva nueva es una clase nueva; el motor no cambia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Sustitución de Liskov</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ProveedorIASimulado</w:t>
            </w:r>
            <w:r>
              <w:rPr>
                <w:rFonts w:ascii="Calibri" w:hAnsi="Calibri" w:eastAsia="Calibri"/>
                <w:sz w:val="20"/>
              </w:rPr>
              <w:t xml:space="preserve"> y </w:t>
            </w:r>
            <w:r>
              <w:rPr>
                <w:rFonts w:ascii="Consolas" w:hAnsi="Consolas" w:eastAsia="Consolas"/>
                <w:sz w:val="19"/>
              </w:rPr>
              <w:t>ProveedorIAClaude</w:t>
            </w:r>
            <w:r>
              <w:rPr>
                <w:rFonts w:ascii="Calibri" w:hAnsi="Calibri" w:eastAsia="Calibri"/>
                <w:sz w:val="20"/>
              </w:rPr>
              <w:t xml:space="preserve"> son intercambiables, y </w:t>
            </w:r>
            <w:r>
              <w:rPr>
                <w:rFonts w:ascii="Consolas" w:hAnsi="Consolas" w:eastAsia="Consolas"/>
                <w:sz w:val="19"/>
              </w:rPr>
              <w:t>ProveedorIAConDisyuntor</w:t>
            </w:r>
            <w:r>
              <w:rPr>
                <w:rFonts w:ascii="Calibri" w:hAnsi="Calibri" w:eastAsia="Calibri"/>
                <w:sz w:val="20"/>
              </w:rPr>
              <w:t xml:space="preserve"> envuelve a cualquiera de los dos sin que el llamador note la diferencia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Segregación de interfaces</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45 interfaces, casi todas acotadas… salvo una</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Parcial</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Inversión de dependencias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Ninguna capa nombra una clase concreta de la capa de abajo. La </w:t>
            </w:r>
            <w:r>
              <w:rPr>
                <w:rFonts w:ascii="Consolas" w:hAnsi="Consolas" w:eastAsia="Consolas"/>
                <w:sz w:val="19"/>
              </w:rPr>
              <w:t>Api</w:t>
            </w:r>
            <w:r>
              <w:rPr>
                <w:rFonts w:ascii="Calibri" w:hAnsi="Calibri" w:eastAsia="Calibri"/>
                <w:sz w:val="20"/>
              </w:rPr>
              <w:t xml:space="preserve"> depende de </w:t>
            </w:r>
            <w:r>
              <w:rPr>
                <w:rFonts w:ascii="Consolas" w:hAnsi="Consolas" w:eastAsia="Consolas"/>
                <w:sz w:val="19"/>
              </w:rPr>
              <w:t>IFactoryBusiness</w:t>
            </w:r>
            <w:r>
              <w:rPr>
                <w:rFonts w:ascii="Calibri" w:hAnsi="Calibri" w:eastAsia="Calibri"/>
                <w:sz w:val="20"/>
              </w:rPr>
              <w:t xml:space="preserve">; el </w:t>
            </w:r>
            <w:r>
              <w:rPr>
                <w:rFonts w:ascii="Consolas" w:hAnsi="Consolas" w:eastAsia="Consolas"/>
                <w:sz w:val="19"/>
              </w:rPr>
              <w:t>Domain</w:t>
            </w:r>
            <w:r>
              <w:rPr>
                <w:rFonts w:ascii="Calibri" w:hAnsi="Calibri" w:eastAsia="Calibri"/>
                <w:sz w:val="20"/>
              </w:rPr>
              <w:t xml:space="preserve"> no depende de nadie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bl>
    <w:p>
      <w:pPr>
        <w:spacing w:after="80"/>
      </w:pPr>
    </w:p>
    <w:p>
      <w:pPr>
        <w:pStyle w:val="Heading3"/>
      </w:pPr>
      <w:r>
        <w:rPr>
          <w:rFonts w:ascii="Calibri" w:hAnsi="Calibri" w:eastAsia="Calibri"/>
        </w:rPr>
        <w:t>La violación que hay que declarar</w:t>
      </w:r>
    </w:p>
    <w:p>
      <w:r>
        <w:rPr>
          <w:rFonts w:ascii="Consolas" w:hAnsi="Consolas" w:eastAsia="Consolas"/>
          <w:sz w:val="21"/>
        </w:rPr>
        <w:t>IAdministracionBusiness</w:t>
      </w:r>
      <w:r>
        <w:t xml:space="preserve"> tiene </w:t>
      </w:r>
      <w:r>
        <w:rPr>
          <w:b/>
        </w:rPr>
        <w:t>18 métodos de cinco temas distintos</w:t>
      </w:r>
      <w:r>
        <w:t>: mantenimientos, usuarios, bitácora y errores, integración de IA, y respaldos. Todo consumidor depende de las cinco cosas aunque use una.</w:t>
      </w:r>
    </w:p>
    <w:p>
      <w:r>
        <w:t>El caso incumple de manera directa el principio de segregación de interfaces, y está en el código propio. Se parte en cuatro interfaces en el Sprint 4 del plan. Se declara acá y no se disimula, porque una tabla SOLID con cinco tildes verdes en un sistema de este tamaño no es creíble.</w:t>
      </w:r>
    </w:p>
    <w:p>
      <w:pPr>
        <w:pStyle w:val="Heading2"/>
        <w:pBdr>
          <w:bottom w:val="single" w:sz="6" w:space="6" w:color="2F5496"/>
        </w:pBdr>
        <w:spacing w:before="440"/>
      </w:pPr>
      <w:r>
        <w:rPr>
          <w:rFonts w:ascii="Calibri" w:hAnsi="Calibri" w:eastAsia="Calibri"/>
          <w:color w:val="2F5496"/>
        </w:rPr>
        <w:t>3 · Seguridad</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Control</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Dónde</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Estado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Contraseñas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PBKDF2-HMAC-SHA256, 600 000 iteraciones —la recomendación de OWASP—, comparación en tiempo constante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Cifrado reversible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AES-256-GCM, </w:t>
            </w:r>
            <w:r>
              <w:rPr>
                <w:rFonts w:ascii="Consolas" w:hAnsi="Consolas" w:eastAsia="Consolas"/>
                <w:sz w:val="19"/>
              </w:rPr>
              <w:t>Service/Seguridad/CifradoService.cs</w:t>
            </w:r>
            <w:r>
              <w:rPr>
                <w:rFonts w:ascii="Calibri" w:hAnsi="Calibri" w:eastAsia="Calibri"/>
                <w:sz w:val="20"/>
              </w:rPr>
              <w:t xml:space="preserve"> (ADR 0010)</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Autenticación</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JWT HS256, vigencia acotada, clave fuera del repositorio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Autorización</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[RequierePatente]</w:t>
            </w:r>
            <w:r>
              <w:rPr>
                <w:rFonts w:ascii="Calibri" w:hAnsi="Calibri" w:eastAsia="Calibri"/>
                <w:sz w:val="20"/>
              </w:rPr>
              <w:t xml:space="preserve">, patentes leídas de la base </w:t>
            </w:r>
            <w:r>
              <w:rPr>
                <w:rFonts w:ascii="Calibri" w:hAnsi="Calibri" w:eastAsia="Calibri"/>
                <w:b/>
                <w:sz w:val="20"/>
              </w:rPr>
              <w:t>en cada petición</w:t>
            </w:r>
            <w:r>
              <w:rPr>
                <w:rFonts w:ascii="Calibri" w:hAnsi="Calibri" w:eastAsia="Calibri"/>
                <w:sz w:val="20"/>
              </w:rPr>
              <w:t xml:space="preserve"> y no del token: revocar un permiso tiene efecto inmediato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Aislamiento multi-organización</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Aplicado en el DAO desde el contexto de sesión. El identificador de organización </w:t>
            </w:r>
            <w:r>
              <w:rPr>
                <w:rFonts w:ascii="Calibri" w:hAnsi="Calibri" w:eastAsia="Calibri"/>
                <w:b/>
                <w:sz w:val="20"/>
              </w:rPr>
              <w:t>no viaja en la petición</w:t>
            </w:r>
            <w:r>
              <w:rPr>
                <w:rFonts w:ascii="Calibri" w:hAnsi="Calibri" w:eastAsia="Calibri"/>
                <w:sz w:val="20"/>
              </w:rPr>
              <w:t>, así que ningún controlador puede pedir datos de otra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Bitácora inmutable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Disparador </w:t>
            </w:r>
            <w:r>
              <w:rPr>
                <w:rFonts w:ascii="Consolas" w:hAnsi="Consolas" w:eastAsia="Consolas"/>
                <w:sz w:val="19"/>
              </w:rPr>
              <w:t>INSTEAD OF UPDATE, DELETE</w:t>
            </w:r>
            <w:r>
              <w:rPr>
                <w:rFonts w:ascii="Calibri" w:hAnsi="Calibri" w:eastAsia="Calibri"/>
                <w:sz w:val="20"/>
              </w:rPr>
              <w:t xml:space="preserve"> que rechaza con error 50001</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Bloqueo por intentos fallidos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Por usuario, con desbloqueo administrativo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Inyección SQL</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ADO.NET con </w:t>
            </w:r>
            <w:r>
              <w:rPr>
                <w:rFonts w:ascii="Consolas" w:hAnsi="Consolas" w:eastAsia="Consolas"/>
                <w:sz w:val="19"/>
              </w:rPr>
              <w:t>SqlParameter</w:t>
            </w:r>
            <w:r>
              <w:rPr>
                <w:rFonts w:ascii="Calibri" w:hAnsi="Calibri" w:eastAsia="Calibri"/>
                <w:sz w:val="20"/>
              </w:rPr>
              <w:t xml:space="preserve"> en todas las consultas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CORS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Lista blanca de orígenes por configuración</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Límite de intentos </w:t>
            </w:r>
            <w:r>
              <w:rPr>
                <w:rFonts w:ascii="Calibri" w:hAnsi="Calibri" w:eastAsia="Calibri"/>
                <w:b/>
                <w:sz w:val="20"/>
              </w:rPr>
              <w:t>por IP</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 S4</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Cabeceras de seguridad (HSTS, CSP, </w:t>
            </w:r>
            <w:r>
              <w:rPr>
                <w:rFonts w:ascii="Consolas" w:hAnsi="Consolas" w:eastAsia="Consolas"/>
                <w:sz w:val="19"/>
              </w:rPr>
              <w:t>X-Content-Type-Options</w:t>
            </w:r>
            <w:r>
              <w:rPr>
                <w:rFonts w:ascii="Calibri" w:hAnsi="Calibri" w:eastAsia="Calibri"/>
                <w:sz w:val="20"/>
              </w:rPr>
              <w:t>)</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NO S4</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Revisión contra OWASP Top 10</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 S4</w:t>
            </w:r>
          </w:p>
        </w:tc>
      </w:tr>
    </w:tbl>
    <w:p>
      <w:pPr>
        <w:spacing w:after="80"/>
      </w:pPr>
    </w:p>
    <w:p>
      <w:r>
        <w:rPr>
          <w:b/>
        </w:rPr>
        <w:t>El hueco que importa</w:t>
      </w:r>
      <w:r>
        <w:t xml:space="preserve"> es el límite por IP. El bloqueo por usuario no frena a quien prueba una contraseña contra cien usuarios distintos, que es como se hace el ataque en la práctica.</w:t>
      </w:r>
    </w:p>
    <w:p>
      <w:pPr>
        <w:pStyle w:val="Heading3"/>
      </w:pPr>
      <w:r>
        <w:rPr>
          <w:rFonts w:ascii="Calibri" w:hAnsi="Calibri" w:eastAsia="Calibri"/>
        </w:rPr>
        <w:t>Sobre JWT</w:t>
      </w:r>
    </w:p>
    <w:p>
      <w:r>
        <w:t>Es la elección correcta acá y conviene poder justificarla en dos frases: la API es sin estado y el frontend es una SPA en otro origen, así que una cookie de sesión obligaría a manejar CSRF y afinidad de servidor sin comprar nada.</w:t>
      </w:r>
    </w:p>
    <w:p>
      <w:r>
        <w:t xml:space="preserve">La decisión fina no es usar JWT sino </w:t>
      </w:r>
      <w:r>
        <w:rPr>
          <w:b/>
        </w:rPr>
        <w:t>qué se pone adentro</w:t>
      </w:r>
      <w:r>
        <w:t xml:space="preserve">: el token lleva el usuario y la organización activa, y </w:t>
      </w:r>
      <w:r>
        <w:rPr>
          <w:b/>
        </w:rPr>
        <w:t>no lleva las patentes</w:t>
      </w:r>
      <w:r>
        <w:t>. Si las llevara, revocar un permiso no tendría efecto hasta que el token expirara. El costo es una consulta por petición y se paga contento.</w:t>
      </w:r>
    </w:p>
    <w:p>
      <w:pPr>
        <w:pStyle w:val="Heading3"/>
      </w:pPr>
      <w:r>
        <w:rPr>
          <w:rFonts w:ascii="Calibri" w:hAnsi="Calibri" w:eastAsia="Calibri"/>
        </w:rPr>
        <w:t>Sobre Keycloak</w:t>
      </w:r>
    </w:p>
    <w:p>
      <w:r>
        <w:rPr>
          <w:b/>
        </w:rPr>
        <w:t>Recomendación: no, y documentarlo.</w:t>
      </w:r>
    </w:p>
    <w:p>
      <w:r>
        <w:t xml:space="preserve">Keycloak es un IAM serio y resolvería federación, OIDC, MFA y rotación de claves —cosas que hoy no están—. El problema es de contexto: el modelo Familia/Patente con Composite, el hash de contraseñas y la bitácora de eventos de seguridad son </w:t>
      </w:r>
      <w:r>
        <w:rPr>
          <w:b/>
        </w:rPr>
        <w:t>objeto de evaluación</w:t>
      </w:r>
      <w:r>
        <w:t xml:space="preserve"> en este trabajo. Delegarlos en un producto externo significa que lo que se evalúa pasa a ser configuración de un contenedor ajeno.</w:t>
      </w:r>
    </w:p>
    <w:p>
      <w:r>
        <w:t>Habría además una desalineación concreta: el modelo de permisos de Keycloak — roles y grupos— no expresa el Composite anidado de familias con guarda de ciclos, así que habría que mantener el modelo propio igual, sincronizado con el externo. Con dos fuentes de verdad para los permisos, cualquier diferencia entre ellas se resuelve por accidente.</w:t>
      </w:r>
    </w:p>
    <w:p>
      <w:r>
        <w:t xml:space="preserve">Lo que sí corresponde es tratarlo como decisión y no como ausencia: un ADR en el Sprint 4 con el análisis y la ruta de migración para un despliegue real. Eso demuestra el criterio sin sacrificar lo que se evalúa. Si preferís implementarlo, la forma que no rompe nada es </w:t>
      </w:r>
      <w:r>
        <w:rPr>
          <w:b/>
        </w:rPr>
        <w:t>agregarlo como proveedor de autenticación alternativo</w:t>
      </w:r>
      <w:r>
        <w:t xml:space="preserve"> detrás de la interfaz actual, dejando el modelo de patentes intacto: Keycloak dice quién sos, PredictIT sigue diciendo qué podés hacer.</w:t>
      </w:r>
    </w:p>
    <w:p>
      <w:pPr>
        <w:pStyle w:val="Heading2"/>
        <w:pBdr>
          <w:bottom w:val="single" w:sz="6" w:space="6" w:color="2F5496"/>
        </w:pBdr>
        <w:spacing w:before="440"/>
      </w:pPr>
      <w:r>
        <w:rPr>
          <w:rFonts w:ascii="Calibri" w:hAnsi="Calibri" w:eastAsia="Calibri"/>
          <w:color w:val="2F5496"/>
        </w:rPr>
        <w:t>4 · Testing y calidad</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Ítem</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Estado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Pruebas backend (xUnit + FluentAssertions)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361</w:t>
            </w:r>
            <w:r>
              <w:rPr>
                <w:rFonts w:ascii="Calibri" w:hAnsi="Calibri" w:eastAsia="Calibri"/>
                <w:sz w:val="20"/>
              </w:rPr>
              <w:t>, en verde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Pruebas frontend (Vitest)</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91</w:t>
            </w:r>
            <w:r>
              <w:rPr>
                <w:rFonts w:ascii="Calibri" w:hAnsi="Calibri" w:eastAsia="Calibri"/>
                <w:sz w:val="20"/>
              </w:rPr>
              <w:t>, en verde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Pruebas de integración contra SQL Server real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Pruebas que verifican propiedades, no sólo casos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 — la que verifica por reflexión que cada código de bitácora exista en la base, y la que rechaza literales sueltos en las llamadas</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coverlet</w:t>
            </w:r>
            <w:r>
              <w:rPr>
                <w:rFonts w:ascii="Calibri" w:hAnsi="Calibri" w:eastAsia="Calibri"/>
                <w:sz w:val="20"/>
              </w:rPr>
              <w:t xml:space="preserve"> instalado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Informe de cobertura publicado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 — el CI lo sube como artefacto en cada corrida</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CP-01..CP-14 con trazabilidad a las pruebas</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OK — </w:t>
            </w:r>
            <w:r>
              <w:rPr>
                <w:rFonts w:ascii="Consolas" w:hAnsi="Consolas" w:eastAsia="Consolas"/>
                <w:sz w:val="19"/>
              </w:rPr>
              <w:t>docs/tecnico/CASOS-DE-PRUEBA.md</w:t>
            </w:r>
            <w:r>
              <w:rPr>
                <w:rFonts w:ascii="Calibri" w:hAnsi="Calibri" w:eastAsia="Calibri"/>
                <w:sz w:val="20"/>
              </w:rPr>
              <w:t xml:space="preserve"> se genera del </w:t>
            </w:r>
            <w:r>
              <w:rPr>
                <w:rFonts w:ascii="Consolas" w:hAnsi="Consolas" w:eastAsia="Consolas"/>
                <w:sz w:val="19"/>
              </w:rPr>
              <w:t>.trx</w:t>
            </w:r>
            <w:r>
              <w:rPr>
                <w:rFonts w:ascii="Calibri" w:hAnsi="Calibri" w:eastAsia="Calibri"/>
                <w:sz w:val="20"/>
              </w:rPr>
              <w:t xml:space="preserve">, y hoy no queda ningún caso sin cubrir. Lo que no hay es un </w:t>
            </w:r>
            <w:r>
              <w:rPr>
                <w:rFonts w:ascii="Consolas" w:hAnsi="Consolas" w:eastAsia="Consolas"/>
                <w:sz w:val="19"/>
              </w:rPr>
              <w:t>Trait</w:t>
            </w:r>
            <w:r>
              <w:rPr>
                <w:rFonts w:ascii="Calibri" w:hAnsi="Calibri" w:eastAsia="Calibri"/>
                <w:sz w:val="20"/>
              </w:rPr>
              <w:t xml:space="preserve"> en el código que los agrupe: el mapeo vive en el generador</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Pruebas de carga del RNF del ADR 0008</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 S2</w:t>
            </w:r>
          </w:p>
        </w:tc>
      </w:tr>
    </w:tbl>
    <w:p>
      <w:pPr>
        <w:spacing w:after="80"/>
      </w:pPr>
    </w:p>
    <w:p>
      <w:r>
        <w:rPr>
          <w:b/>
        </w:rPr>
        <w:t>Lo que las pruebas no encontraron</w:t>
      </w:r>
      <w:r>
        <w:t xml:space="preserve">, y conviene tenerlo presente: los dos defectos más serios hasta hoy fueron </w:t>
      </w:r>
      <w:r>
        <w:rPr>
          <w:b/>
        </w:rPr>
        <w:t>ausencias</w:t>
      </w:r>
      <w:r>
        <w:t>. La bitácora sin eventos de negocio apareció contando filas en la base; el motor predictivo que no se disparaba solo lo reportó el usuario. Ninguna prueba podía fallar, porque no había código roto: faltaba código. Por eso la Definición de Terminado exige verificar sobre el sistema corriendo.</w:t>
      </w:r>
    </w:p>
    <w:p>
      <w:r>
        <w:t xml:space="preserve">El tercero apareció en una captura de pantalla. El sistema sella fechas con dos relojes —trece columnas del esquema con </w:t>
      </w:r>
      <w:r>
        <w:rPr>
          <w:rFonts w:ascii="Consolas" w:hAnsi="Consolas" w:eastAsia="Consolas"/>
          <w:sz w:val="21"/>
        </w:rPr>
        <w:t>DEFAULT SYSDATETIME()</w:t>
      </w:r>
      <w:r>
        <w:t xml:space="preserve">, que es el del motor, y el resto con </w:t>
      </w:r>
      <w:r>
        <w:rPr>
          <w:rFonts w:ascii="Consolas" w:hAnsi="Consolas" w:eastAsia="Consolas"/>
          <w:sz w:val="21"/>
        </w:rPr>
        <w:t>DateTime.Now</w:t>
      </w:r>
      <w:r>
        <w:t xml:space="preserve">, que es el de la aplicación—, y el contenedor de la API declaraba su zona horaria mientras el del motor corría en UTC. Una incidencia registrada y asignada en el mismo segundo quedaba con </w:t>
      </w:r>
      <w:r>
        <w:rPr>
          <w:b/>
        </w:rPr>
        <w:t>tres horas</w:t>
      </w:r>
      <w:r>
        <w:t xml:space="preserve"> entre las dos marcas, y eso se vio recién cuando la pantalla del solicitante puso las dos una debajo de la otra: «recibimos tu pedido 15:56», «se lo asignamos 18:56». Ninguna prueba fallaba porque cada marca, por separado, era correcta. La red que quedó es </w:t>
      </w:r>
      <w:r>
        <w:rPr>
          <w:rFonts w:ascii="Consolas" w:hAnsi="Consolas" w:eastAsia="Consolas"/>
          <w:sz w:val="21"/>
        </w:rPr>
        <w:t>RelojUnicoTests</w:t>
      </w:r>
      <w:r>
        <w:t>, que compara los dos relojes y falla si la diferencia llega a un minuto: menos que la distancia entre dos zonas horarias, que es de media hora como mínimo.</w:t>
      </w:r>
    </w:p>
    <w:p>
      <w:pPr>
        <w:pStyle w:val="Heading2"/>
        <w:pBdr>
          <w:bottom w:val="single" w:sz="6" w:space="6" w:color="2F5496"/>
        </w:pBdr>
        <w:spacing w:before="440"/>
      </w:pPr>
      <w:r>
        <w:rPr>
          <w:rFonts w:ascii="Calibri" w:hAnsi="Calibri" w:eastAsia="Calibri"/>
          <w:color w:val="2F5496"/>
        </w:rPr>
        <w:t>5 · Docker</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Ítem</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Estado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SQL Server 2022 con volumen persistente y healthcheck</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Volumen de respaldos mapeado al host</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Imagen de la API</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OK — </w:t>
            </w:r>
            <w:r>
              <w:rPr>
                <w:rFonts w:ascii="Consolas" w:hAnsi="Consolas" w:eastAsia="Consolas"/>
                <w:sz w:val="19"/>
              </w:rPr>
              <w:t>backend/Dockerfile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Imagen del frontend</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OK — </w:t>
            </w:r>
            <w:r>
              <w:rPr>
                <w:rFonts w:ascii="Consolas" w:hAnsi="Consolas" w:eastAsia="Consolas"/>
                <w:sz w:val="19"/>
              </w:rPr>
              <w:t>frontend/Dockerfile</w:t>
            </w:r>
            <w:r>
              <w:rPr>
                <w:rFonts w:ascii="Calibri" w:hAnsi="Calibri" w:eastAsia="Calibri"/>
                <w:sz w:val="20"/>
              </w:rPr>
              <w:t>, con Nginx sirviendo el build</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.dockerignore</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OK — uno por imagen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Un </w:t>
            </w:r>
            <w:r>
              <w:rPr>
                <w:rFonts w:ascii="Consolas" w:hAnsi="Consolas" w:eastAsia="Consolas"/>
                <w:sz w:val="19"/>
              </w:rPr>
              <w:t>docker compose up</w:t>
            </w:r>
            <w:r>
              <w:rPr>
                <w:rFonts w:ascii="Calibri" w:hAnsi="Calibri" w:eastAsia="Calibri"/>
                <w:sz w:val="20"/>
              </w:rPr>
              <w:t xml:space="preserve"> que levante todo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OK — cuatro servicios: </w:t>
            </w:r>
            <w:r>
              <w:rPr>
                <w:rFonts w:ascii="Consolas" w:hAnsi="Consolas" w:eastAsia="Consolas"/>
                <w:sz w:val="19"/>
              </w:rPr>
              <w:t>sqlserver</w:t>
            </w:r>
            <w:r>
              <w:rPr>
                <w:rFonts w:ascii="Calibri" w:hAnsi="Calibri" w:eastAsia="Calibri"/>
                <w:sz w:val="20"/>
              </w:rPr>
              <w:t xml:space="preserve">, </w:t>
            </w:r>
            <w:r>
              <w:rPr>
                <w:rFonts w:ascii="Consolas" w:hAnsi="Consolas" w:eastAsia="Consolas"/>
                <w:sz w:val="19"/>
              </w:rPr>
              <w:t>migraciones</w:t>
            </w:r>
            <w:r>
              <w:rPr>
                <w:rFonts w:ascii="Calibri" w:hAnsi="Calibri" w:eastAsia="Calibri"/>
                <w:sz w:val="20"/>
              </w:rPr>
              <w:t xml:space="preserve">, </w:t>
            </w:r>
            <w:r>
              <w:rPr>
                <w:rFonts w:ascii="Consolas" w:hAnsi="Consolas" w:eastAsia="Consolas"/>
                <w:sz w:val="19"/>
              </w:rPr>
              <w:t>api</w:t>
            </w:r>
            <w:r>
              <w:rPr>
                <w:rFonts w:ascii="Calibri" w:hAnsi="Calibri" w:eastAsia="Calibri"/>
                <w:sz w:val="20"/>
              </w:rPr>
              <w:t xml:space="preserve"> y </w:t>
            </w:r>
            <w:r>
              <w:rPr>
                <w:rFonts w:ascii="Consolas" w:hAnsi="Consolas" w:eastAsia="Consolas"/>
                <w:sz w:val="19"/>
              </w:rPr>
              <w:t>web</w:t>
            </w:r>
          </w:p>
        </w:tc>
      </w:tr>
    </w:tbl>
    <w:p>
      <w:pPr>
        <w:spacing w:after="80"/>
      </w:pPr>
    </w:p>
    <w:p>
      <w:r>
        <w:t xml:space="preserve">Ya no hace falta tener .NET 9 ni Node instalados: </w:t>
      </w:r>
      <w:r>
        <w:rPr>
          <w:rFonts w:ascii="Consolas" w:hAnsi="Consolas" w:eastAsia="Consolas"/>
          <w:sz w:val="21"/>
        </w:rPr>
        <w:t>docker compose up --build</w:t>
      </w:r>
      <w:r>
        <w:t xml:space="preserve"> levanta las cuatro piezas y el servicio </w:t>
      </w:r>
      <w:r>
        <w:rPr>
          <w:rFonts w:ascii="Consolas" w:hAnsi="Consolas" w:eastAsia="Consolas"/>
          <w:sz w:val="21"/>
        </w:rPr>
        <w:t>migraciones</w:t>
      </w:r>
      <w:r>
        <w:t xml:space="preserve"> aplica el esquema y los datos de demostración antes de que arranque la API. Es la instrucción única del LEEME de la entrega, y es también la que corre el CI para comprobar que las dos imágenes construyen.</w:t>
      </w:r>
    </w:p>
    <w:p>
      <w:pPr>
        <w:pStyle w:val="Heading2"/>
        <w:pBdr>
          <w:bottom w:val="single" w:sz="6" w:space="6" w:color="2F5496"/>
        </w:pBdr>
        <w:spacing w:before="440"/>
      </w:pPr>
      <w:r>
        <w:rPr>
          <w:rFonts w:ascii="Calibri" w:hAnsi="Calibri" w:eastAsia="Calibri"/>
          <w:color w:val="2F5496"/>
        </w:rPr>
        <w:t>6 · Integración continua</w:t>
      </w:r>
    </w:p>
    <w:p>
      <w:r>
        <w:rPr>
          <w:rFonts w:ascii="Consolas" w:hAnsi="Consolas" w:eastAsia="Consolas"/>
          <w:sz w:val="21"/>
        </w:rPr>
        <w:t>.github/workflows/ci.yml</w:t>
      </w:r>
      <w:r>
        <w:t xml:space="preserve">, sobre cada </w:t>
      </w:r>
      <w:r>
        <w:rPr>
          <w:rFonts w:ascii="Consolas" w:hAnsi="Consolas" w:eastAsia="Consolas"/>
          <w:sz w:val="21"/>
        </w:rPr>
        <w:t>push</w:t>
      </w:r>
      <w:r>
        <w:t xml:space="preserve"> y cada </w:t>
      </w:r>
      <w:r>
        <w:rPr>
          <w:rFonts w:ascii="Consolas" w:hAnsi="Consolas" w:eastAsia="Consolas"/>
          <w:sz w:val="21"/>
        </w:rPr>
        <w:t>pull request</w:t>
      </w:r>
      <w:r>
        <w:t xml:space="preserve"> a </w:t>
      </w:r>
      <w:r>
        <w:rPr>
          <w:rFonts w:ascii="Consolas" w:hAnsi="Consolas" w:eastAsia="Consolas"/>
          <w:sz w:val="21"/>
        </w:rPr>
        <w:t>main</w:t>
      </w:r>
      <w:r>
        <w:t>. Cinco trabajos independientes, y separados a propósito: con un solo trabajo el primer fallo esconde todo lo demás.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Trabajo</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verifica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Backend</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Compila y corre las 361 pruebas contra un SQL Server 2022 real, con el esquema y los datos aplicados desde los scripts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Documentación</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Los trece controles de </w:t>
            </w:r>
            <w:r>
              <w:rPr>
                <w:rFonts w:ascii="Consolas" w:hAnsi="Consolas" w:eastAsia="Consolas"/>
                <w:sz w:val="19"/>
              </w:rPr>
              <w:t>docs/_verificar-alineacion.py</w:t>
            </w:r>
            <w:r>
              <w:rPr>
                <w:rFonts w:ascii="Calibri" w:hAnsi="Calibri" w:eastAsia="Calibri"/>
                <w:sz w:val="20"/>
              </w:rPr>
              <w:t>: que el documento, el Excel y el código digan lo mismo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Frontend</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Tipos (</w:t>
            </w:r>
            <w:r>
              <w:rPr>
                <w:rFonts w:ascii="Consolas" w:hAnsi="Consolas" w:eastAsia="Consolas"/>
                <w:sz w:val="19"/>
              </w:rPr>
              <w:t>tsc --noEmit</w:t>
            </w:r>
            <w:r>
              <w:rPr>
                <w:rFonts w:ascii="Calibri" w:hAnsi="Calibri" w:eastAsia="Calibri"/>
                <w:sz w:val="20"/>
              </w:rPr>
              <w:t>), las 34 pruebas, el build y el control de textos fuera del diccionario de traducciones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Dependencias</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Paquetes de .NET y de npm con vulnerabilidades conocidas</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Docker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Que las dos imágenes construyan</w:t>
            </w:r>
          </w:p>
        </w:tc>
      </w:tr>
    </w:tbl>
    <w:p>
      <w:pPr>
        <w:spacing w:after="80"/>
      </w:pPr>
    </w:p>
    <w:p>
      <w:r>
        <w:t xml:space="preserve">El criterio de aceptación de la historia H-02 pedía </w:t>
      </w:r>
      <w:r>
        <w:rPr>
          <w:b/>
        </w:rPr>
        <w:t>verificar que el CI falle</w:t>
      </w:r>
      <w:r>
        <w:t xml:space="preserve"> cuando algo se rompe, porque un pipeline que nunca se puso en rojo no se sabe si funciona. Se cumplió sin buscarlo: el control de claves únicas del seed lo puso en rojo con un identificador duplicado, y ese es el registro de que el pipeline hace lo que dice.</w:t>
      </w:r>
    </w:p>
    <w:p>
      <w:pPr>
        <w:pStyle w:val="Heading2"/>
        <w:pBdr>
          <w:bottom w:val="single" w:sz="6" w:space="6" w:color="2F5496"/>
        </w:pBdr>
        <w:spacing w:before="440"/>
      </w:pPr>
      <w:r>
        <w:rPr>
          <w:rFonts w:ascii="Calibri" w:hAnsi="Calibri" w:eastAsia="Calibri"/>
          <w:color w:val="2F5496"/>
        </w:rPr>
        <w:t>Resumen</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Área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Estado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Detalle</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Patrones de diseño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 de 10, todos en uso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SOLID</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Parcial</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4 de 5; una violación declarada, con fecha de corrección</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Seguridad</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Parcial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Base sólida; faltan límite por IP, cabeceras y revisión OWASP</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Testing</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Parcial</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452 pruebas en verde (361 backend, 91 frontend)</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Docker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Las cuatro piezas, con un solo </w:t>
            </w:r>
            <w:r>
              <w:rPr>
                <w:rFonts w:ascii="Consolas" w:hAnsi="Consolas" w:eastAsia="Consolas"/>
                <w:sz w:val="19"/>
              </w:rPr>
              <w:t>docker compose up --build</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RBAC</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OK</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Completo, con patentes verificadas por petición</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JWT</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OK</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Aplicado, y con criterio sobre qué contiene</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CI/CD</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OK</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Cinco trabajos sobre cada push a </w:t>
            </w:r>
            <w:r>
              <w:rPr>
                <w:rFonts w:ascii="Consolas" w:hAnsi="Consolas" w:eastAsia="Consolas"/>
                <w:sz w:val="19"/>
              </w:rPr>
              <w:t>main</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Keycloak</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Decisión pendiente de documentar (recomendación: no adoptarlo)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p>
        </w:tc>
      </w:tr>
    </w:tbl>
    <w:p>
      <w:pPr>
        <w:spacing w:after="80"/>
      </w:pPr>
    </w:p>
    <w:p>
      <w:r>
        <w:br w:type="page"/>
      </w:r>
    </w:p>
    <w:p>
      <w:pPr>
        <w:pStyle w:val="Heading1"/>
        <w:pBdr>
          <w:bottom w:val="single" w:sz="6" w:space="6" w:color="2F5496"/>
        </w:pBdr>
      </w:pPr>
      <w:r>
        <w:rPr>
          <w:rFonts w:ascii="Calibri" w:hAnsi="Calibri" w:eastAsia="Calibri"/>
        </w:rPr>
        <w:t>Fuentes</w:t>
      </w:r>
    </w:p>
    <w:p>
      <w:pPr>
        <w:spacing w:after="160"/>
        <w:ind w:left="709" w:hanging="709"/>
        <w:jc w:val="left"/>
      </w:pPr>
      <w:r>
        <w:t xml:space="preserve">Evans, E. (2003). </w:t>
      </w:r>
      <w:r>
        <w:rPr>
          <w:i/>
        </w:rPr>
        <w:t>Domain-driven design: Tackling complexity in the heart of software</w:t>
      </w:r>
      <w:r>
        <w:t>. Addison-Wesley.</w:t>
      </w:r>
    </w:p>
    <w:p>
      <w:pPr>
        <w:spacing w:after="160"/>
        <w:ind w:left="709" w:hanging="709"/>
        <w:jc w:val="left"/>
      </w:pPr>
      <w:r>
        <w:t xml:space="preserve">Fowler, M. (2002). </w:t>
      </w:r>
      <w:r>
        <w:rPr>
          <w:i/>
        </w:rPr>
        <w:t>Patterns of enterprise application architecture</w:t>
      </w:r>
      <w:r>
        <w:t>. Addison-Wesley.</w:t>
      </w:r>
    </w:p>
    <w:p>
      <w:pPr>
        <w:spacing w:after="160"/>
        <w:ind w:left="709" w:hanging="709"/>
        <w:jc w:val="left"/>
      </w:pPr>
      <w:r>
        <w:t xml:space="preserve">Gamma, E., Helm, R., Johnson, R. y Vlissides, J. (1995). </w:t>
      </w:r>
      <w:r>
        <w:rPr>
          <w:i/>
        </w:rPr>
        <w:t>Design patterns: Elements of reusable object-oriented software</w:t>
      </w:r>
      <w:r>
        <w:t>. Addison-Wesley.</w:t>
      </w:r>
    </w:p>
    <w:p>
      <w:pPr>
        <w:spacing w:after="160"/>
        <w:ind w:left="709" w:hanging="709"/>
        <w:jc w:val="left"/>
      </w:pPr>
      <w:r>
        <w:t xml:space="preserve">Martin, R. C. (2017). </w:t>
      </w:r>
      <w:r>
        <w:rPr>
          <w:i/>
        </w:rPr>
        <w:t>Clean architecture: A craftsman’s guide to software structure and design</w:t>
      </w:r>
      <w:r>
        <w:t>. Prentice Hall.</w:t>
      </w:r>
    </w:p>
    <w:p>
      <w:pPr>
        <w:spacing w:after="160"/>
        <w:ind w:left="709" w:hanging="709"/>
        <w:jc w:val="left"/>
      </w:pPr>
      <w:r>
        <w:t xml:space="preserve">Nygard, M. T. (2018). </w:t>
      </w:r>
      <w:r>
        <w:rPr>
          <w:i/>
        </w:rPr>
        <w:t>Release it! Design and deploy production-ready software</w:t>
      </w:r>
      <w:r>
        <w:t xml:space="preserve"> (2.ª ed.). Pragmatic Bookshelf.</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66666"/>
        <w:sz w:val="18"/>
      </w:rPr>
      <w:t xml:space="preserve">Página </w:t>
    </w:r>
    <w:r>
      <w:rPr>
        <w:rFonts w:ascii="Calibri" w:hAnsi="Calibri" w:eastAsia="Calibri"/>
        <w:color w:val="666666"/>
        <w:sz w:val="18"/>
      </w:rPr>
      <w:fldChar w:fldCharType="begin"/>
      <w:instrText xml:space="preserve">PAGE</w:instrText>
      <w:fldChar w:fldCharType="separate"/>
      <w:fldChar w:fldCharType="end"/>
    </w:r>
    <w:r>
      <w:rPr>
        <w:rFonts w:ascii="Calibri" w:hAnsi="Calibri" w:eastAsia="Calibri"/>
        <w:color w:val="666666"/>
        <w:sz w:val="18"/>
      </w:rPr>
      <w:t xml:space="preserve"> de </w:t>
    </w:r>
    <w:r>
      <w:rPr>
        <w:rFonts w:ascii="Calibri" w:hAnsi="Calibri" w:eastAsia="Calibri"/>
        <w:color w:val="666666"/>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CCCC"/>
      </w:pBdr>
    </w:pPr>
    <w:r>
      <w:rPr>
        <w:rFonts w:ascii="Calibri" w:hAnsi="Calibri" w:eastAsia="Calibri"/>
        <w:color w:val="666666"/>
        <w:sz w:val="18"/>
      </w:rPr>
      <w:t>PredictIT · Patrones y principios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