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p>
    <w:p>
      <w:pPr>
        <w:jc w:val="center"/>
      </w:pPr>
      <w:r>
        <w:drawing>
          <wp:inline xmlns:a="http://schemas.openxmlformats.org/drawingml/2006/main" xmlns:pic="http://schemas.openxmlformats.org/drawingml/2006/picture">
            <wp:extent cx="3162300" cy="1242060"/>
            <wp:docPr id="1" name="Picture 1"/>
            <wp:cNvGraphicFramePr>
              <a:graphicFrameLocks noChangeAspect="1"/>
            </wp:cNvGraphicFramePr>
            <a:graphic>
              <a:graphicData uri="http://schemas.openxmlformats.org/drawingml/2006/picture">
                <pic:pic>
                  <pic:nvPicPr>
                    <pic:cNvPr id="0" name="image1.png"/>
                    <pic:cNvPicPr/>
                  </pic:nvPicPr>
                  <pic:blipFill>
                    <a:blip r:embed="rId8"/>
                    <a:stretch>
                      <a:fillRect/>
                    </a:stretch>
                  </pic:blipFill>
                  <pic:spPr>
                    <a:xfrm>
                      <a:off x="0" y="0"/>
                      <a:ext cx="3162300" cy="1242060"/>
                    </a:xfrm>
                    <a:prstGeom prst="rect"/>
                  </pic:spPr>
                </pic:pic>
              </a:graphicData>
            </a:graphic>
          </wp:inline>
        </w:drawing>
      </w:r>
    </w:p>
    <w:p>
      <w:pPr>
        <w:jc w:val="center"/>
      </w:pPr>
    </w:p>
    <w:p>
      <w:pPr>
        <w:jc w:val="center"/>
      </w:pPr>
      <w:r>
        <w:rPr>
          <w:rFonts w:ascii="Calibri" w:hAnsi="Calibri" w:cs="Calibri"/>
          <w:b/>
          <w:sz w:val="56"/>
        </w:rPr>
        <w:t>Trabajo Final de Ingeniería</w:t>
      </w:r>
    </w:p>
    <w:p>
      <w:pPr>
        <w:jc w:val="center"/>
      </w:pPr>
    </w:p>
    <w:p>
      <w:pPr>
        <w:jc w:val="center"/>
      </w:pPr>
      <w:r>
        <w:rPr>
          <w:rFonts w:ascii="Calibri" w:hAnsi="Calibri" w:cs="Calibri"/>
          <w:sz w:val="56"/>
        </w:rPr>
        <w:t>Sistema de Mantenimiento predictivo de equipos informáticos</w:t>
      </w:r>
    </w:p>
    <w:p>
      <w:pPr>
        <w:jc w:val="center"/>
      </w:pPr>
    </w:p>
    <w:p>
      <w:pPr>
        <w:jc w:val="center"/>
      </w:pPr>
      <w:r>
        <w:rPr>
          <w:rFonts w:ascii="Calibri" w:hAnsi="Calibri" w:cs="Calibri"/>
          <w:sz w:val="40"/>
        </w:rPr>
        <w:t>Plan de negocio — Primera entrega parcial</w:t>
      </w:r>
    </w:p>
    <w:p>
      <w:pPr>
        <w:jc w:val="center"/>
      </w:pPr>
    </w:p>
    <w:p>
      <w:pPr>
        <w:jc w:val="center"/>
      </w:pPr>
    </w:p>
    <w:p>
      <w:pPr>
        <w:jc w:val="left"/>
      </w:pPr>
      <w:r>
        <w:rPr>
          <w:rFonts w:ascii="Calibri" w:hAnsi="Calibri" w:cs="Calibri"/>
          <w:b/>
          <w:sz w:val="28"/>
        </w:rPr>
        <w:t>Alumno:</w:t>
      </w:r>
      <w:r>
        <w:rPr>
          <w:rFonts w:ascii="Calibri" w:hAnsi="Calibri" w:cs="Calibri"/>
          <w:sz w:val="28"/>
        </w:rPr>
        <w:t xml:space="preserve"> Pettini Patricio Ezequiel</w:t>
      </w:r>
    </w:p>
    <w:p>
      <w:pPr>
        <w:jc w:val="left"/>
      </w:pPr>
      <w:r>
        <w:rPr>
          <w:rFonts w:ascii="Calibri" w:hAnsi="Calibri" w:cs="Calibri"/>
          <w:b/>
          <w:sz w:val="28"/>
        </w:rPr>
        <w:t>Localización:</w:t>
      </w:r>
      <w:r>
        <w:rPr>
          <w:rFonts w:ascii="Calibri" w:hAnsi="Calibri" w:cs="Calibri"/>
          <w:sz w:val="28"/>
        </w:rPr>
        <w:t xml:space="preserve"> Norte Boulogne</w:t>
      </w:r>
    </w:p>
    <w:p>
      <w:pPr>
        <w:jc w:val="left"/>
      </w:pPr>
      <w:r>
        <w:rPr>
          <w:rFonts w:ascii="Calibri" w:hAnsi="Calibri" w:cs="Calibri"/>
          <w:b/>
          <w:sz w:val="28"/>
        </w:rPr>
        <w:t>Profesores:</w:t>
      </w:r>
      <w:r>
        <w:rPr>
          <w:rFonts w:ascii="Calibri" w:hAnsi="Calibri" w:cs="Calibri"/>
          <w:sz w:val="28"/>
        </w:rPr>
        <w:t xml:space="preserve"> Romero Martín Miguel, Weingand Gastón Matías</w:t>
      </w:r>
    </w:p>
    <w:p>
      <w:pPr>
        <w:pStyle w:val="TtuloTDC"/>
        <w:pageBreakBefore/>
      </w:pPr>
      <w:r>
        <w:rPr>
          <w:rFonts w:ascii="Calibri" w:hAnsi="Calibri" w:cs="Calibri"/>
          <w:b/>
          <w:color w:val="000000"/>
        </w:rPr>
        <w:t>Índice</w:t>
      </w:r>
    </w:p>
    <w:p>
      <w:r>
        <w:fldChar w:fldCharType="begin"/>
        <w:instrText w:space="preserve">TOC \o "1-3" \h \z \u</w:instrText>
        <w:fldChar w:fldCharType="separate"/>
      </w:r>
      <w:r>
        <w:rPr>
          <w:rFonts w:ascii="Calibri" w:hAnsi="Calibri" w:cs="Calibri"/>
          <w:sz w:val="20"/>
        </w:rPr>
        <w:t>El índice se completa al abrir el documento en Word.</w:t>
      </w:r>
      <w:r>
        <w:fldChar w:fldCharType="end"/>
      </w:r>
    </w:p>
    <w:p>
      <w:pPr>
        <w:spacing w:after="280"/>
        <w:jc w:val="center"/>
      </w:pPr>
      <w:r>
        <w:rPr>
          <w:rFonts w:ascii="Calibri" w:hAnsi="Calibri" w:cs="Calibri"/>
          <w:color w:val="000000"/>
          <w:sz w:val="20"/>
        </w:rPr>
        <w:t>PredictIT · Trabajo Final de Ingeniería · Patricio Pettini · B00072710-T1</w:t>
      </w:r>
    </w:p>
    <w:p>
      <w:pPr>
        <w:jc w:val="both"/>
      </w:pPr>
      <w:r>
        <w:rPr>
          <w:rFonts w:ascii="Calibri" w:hAnsi="Calibri" w:cs="Calibri"/>
        </w:rPr>
        <w:t>Esta entrega cubre los siete puntos pedidos: hipótesis, proyección de ventas con sus líneas de servicio, modelo de ingresos, modelo de egresos y las tres estructuras de costo —fijos, variables y de recursos humanos—.</w:t>
      </w:r>
    </w:p>
    <w:p>
      <w:pPr>
        <w:jc w:val="both"/>
      </w:pPr>
      <w:r>
        <w:rPr>
          <w:rFonts w:ascii="Calibri" w:hAnsi="Calibri" w:cs="Calibri"/>
        </w:rPr>
        <w:t xml:space="preserve">El documento explica y el libro de cálculo calcula. Ningún número de acá se escribe a mano dos veces: los que se cargan viven en el libro </w:t>
      </w:r>
      <w:r>
        <w:rPr>
          <w:rFonts w:ascii="Consolas" w:hAnsi="Consolas"/>
        </w:rPr>
        <w:t>Presupuesto financiero - Entrega 1.xlsx</w:t>
      </w:r>
      <w:r>
        <w:rPr>
          <w:rFonts w:ascii="Calibri" w:hAnsi="Calibri" w:cs="Calibri"/>
        </w:rPr>
        <w:t xml:space="preserve"> y todo lo demás sale de ellos por fórmula. Las tablas que siguen son las celdas de entrada, con su fuente.</w:t>
      </w:r>
    </w:p>
    <w:p>
      <w:pPr>
        <w:jc w:val="both"/>
      </w:pPr>
      <w:r>
        <w:rPr>
          <w:rFonts w:ascii="Calibri" w:hAnsi="Calibri" w:cs="Calibri"/>
        </w:rPr>
        <w:t xml:space="preserve">Al final se declara qué </w:t>
      </w:r>
      <w:r>
        <w:rPr>
          <w:rFonts w:ascii="Calibri" w:hAnsi="Calibri" w:cs="Calibri"/>
        </w:rPr>
        <w:t>no</w:t>
      </w:r>
      <w:r>
        <w:rPr>
          <w:rFonts w:ascii="Calibri" w:hAnsi="Calibri" w:cs="Calibri"/>
        </w:rPr>
        <w:t xml:space="preserve"> entra en esta entrega y en cuál va.</w:t>
      </w:r>
    </w:p>
    <w:p>
      <w:pPr>
        <w:pStyle w:val="Ttulo1"/>
        <w:pageBreakBefore/>
        <w:jc w:val="both"/>
      </w:pPr>
      <w:r>
        <w:rPr>
          <w:rFonts w:ascii="Calibri" w:hAnsi="Calibri" w:cs="Calibri"/>
          <w:b/>
          <w:color w:val="000000"/>
        </w:rPr>
        <w:t>1. Qué da el modelo</w:t>
      </w:r>
    </w:p>
    <w:p>
      <w:pPr>
        <w:jc w:val="both"/>
      </w:pPr>
      <w:r>
        <w:rPr>
          <w:rFonts w:ascii="Calibri" w:hAnsi="Calibri" w:cs="Calibri"/>
        </w:rPr>
        <w:t>Antes de los supuestos, el resultado, porque es lo que hay que poder discutir:</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3356"/>
            <w:vAlign w:val="center"/>
            <w:tcMar>
              <w:top w:w="100" w:type="dxa"/>
              <w:left w:w="100" w:type="dxa"/>
              <w:bottom w:w="100" w:type="dxa"/>
              <w:right w:w="100" w:type="dxa"/>
            </w:tcMar>
            <w:tcBorders>
              <w:bottom w:val="single" w:sz="18" w:space="0" w:color="000000"/>
            </w:tcBorders>
          </w:tcPr>
          <w:p>
            <w:pPr>
              <w:spacing w:after="0" w:line="240" w:lineRule="auto"/>
              <w:jc w:val="center"/>
            </w:pPr>
          </w:p>
        </w:tc>
        <w:tc>
          <w:tcPr>
            <w:tcW w:type="dxa" w:w="107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107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107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193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r>
      <w:tr>
        <w:tc>
          <w:tcPr>
            <w:tcW w:type="dxa" w:w="3356"/>
            <w:vAlign w:val="center"/>
            <w:tcMar>
              <w:top w:w="100" w:type="dxa"/>
              <w:left w:w="100" w:type="dxa"/>
              <w:bottom w:w="100" w:type="dxa"/>
              <w:right w:w="100" w:type="dxa"/>
            </w:tcMar>
          </w:tcPr>
          <w:p>
            <w:pPr>
              <w:spacing w:after="0" w:line="240" w:lineRule="auto"/>
              <w:jc w:val="left"/>
            </w:pPr>
            <w:r>
              <w:rPr>
                <w:rFonts w:ascii="Calibri" w:hAnsi="Calibri" w:cs="Calibri"/>
                <w:sz w:val="20"/>
              </w:rPr>
              <w:t>Ingresos</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10,4</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85,3</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280,8</w:t>
            </w:r>
          </w:p>
        </w:tc>
        <w:tc>
          <w:tcPr>
            <w:tcW w:type="dxa" w:w="1939"/>
            <w:vAlign w:val="center"/>
            <w:tcMar>
              <w:top w:w="100" w:type="dxa"/>
              <w:left w:w="100" w:type="dxa"/>
              <w:bottom w:w="100" w:type="dxa"/>
              <w:right w:w="100" w:type="dxa"/>
            </w:tcMar>
          </w:tcPr>
          <w:p>
            <w:pPr>
              <w:spacing w:after="0" w:line="240" w:lineRule="auto"/>
              <w:jc w:val="right"/>
            </w:pPr>
            <w:r>
              <w:rPr>
                <w:rFonts w:ascii="Calibri" w:hAnsi="Calibri" w:cs="Calibri"/>
                <w:sz w:val="20"/>
              </w:rPr>
              <w:t>639,9</w:t>
            </w:r>
          </w:p>
        </w:tc>
      </w:tr>
      <w:tr>
        <w:tc>
          <w:tcPr>
            <w:tcW w:type="dxa" w:w="3356"/>
            <w:vAlign w:val="center"/>
            <w:tcMar>
              <w:top w:w="100" w:type="dxa"/>
              <w:left w:w="100" w:type="dxa"/>
              <w:bottom w:w="100" w:type="dxa"/>
              <w:right w:w="100" w:type="dxa"/>
            </w:tcMar>
          </w:tcPr>
          <w:p>
            <w:pPr>
              <w:spacing w:after="0" w:line="240" w:lineRule="auto"/>
              <w:jc w:val="left"/>
            </w:pPr>
            <w:r>
              <w:rPr>
                <w:rFonts w:ascii="Calibri" w:hAnsi="Calibri" w:cs="Calibri"/>
                <w:sz w:val="20"/>
              </w:rPr>
              <w:t>Costos fijos</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7,7</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11,5</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16,5</w:t>
            </w:r>
          </w:p>
        </w:tc>
        <w:tc>
          <w:tcPr>
            <w:tcW w:type="dxa" w:w="1939"/>
            <w:vAlign w:val="center"/>
            <w:tcMar>
              <w:top w:w="100" w:type="dxa"/>
              <w:left w:w="100" w:type="dxa"/>
              <w:bottom w:w="100" w:type="dxa"/>
              <w:right w:w="100" w:type="dxa"/>
            </w:tcMar>
          </w:tcPr>
          <w:p>
            <w:pPr>
              <w:spacing w:after="0" w:line="240" w:lineRule="auto"/>
              <w:jc w:val="right"/>
            </w:pPr>
            <w:r>
              <w:rPr>
                <w:rFonts w:ascii="Calibri" w:hAnsi="Calibri" w:cs="Calibri"/>
                <w:sz w:val="20"/>
              </w:rPr>
              <w:t>21,5</w:t>
            </w:r>
          </w:p>
        </w:tc>
      </w:tr>
      <w:tr>
        <w:tc>
          <w:tcPr>
            <w:tcW w:type="dxa" w:w="3356"/>
            <w:vAlign w:val="center"/>
            <w:tcMar>
              <w:top w:w="100" w:type="dxa"/>
              <w:left w:w="100" w:type="dxa"/>
              <w:bottom w:w="100" w:type="dxa"/>
              <w:right w:w="100" w:type="dxa"/>
            </w:tcMar>
          </w:tcPr>
          <w:p>
            <w:pPr>
              <w:spacing w:after="0" w:line="240" w:lineRule="auto"/>
              <w:jc w:val="left"/>
            </w:pPr>
            <w:r>
              <w:rPr>
                <w:rFonts w:ascii="Calibri" w:hAnsi="Calibri" w:cs="Calibri"/>
                <w:sz w:val="20"/>
              </w:rPr>
              <w:t>Costos variables</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0,9</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6,8</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20,9</w:t>
            </w:r>
          </w:p>
        </w:tc>
        <w:tc>
          <w:tcPr>
            <w:tcW w:type="dxa" w:w="1939"/>
            <w:vAlign w:val="center"/>
            <w:tcMar>
              <w:top w:w="100" w:type="dxa"/>
              <w:left w:w="100" w:type="dxa"/>
              <w:bottom w:w="100" w:type="dxa"/>
              <w:right w:w="100" w:type="dxa"/>
            </w:tcMar>
          </w:tcPr>
          <w:p>
            <w:pPr>
              <w:spacing w:after="0" w:line="240" w:lineRule="auto"/>
              <w:jc w:val="right"/>
            </w:pPr>
            <w:r>
              <w:rPr>
                <w:rFonts w:ascii="Calibri" w:hAnsi="Calibri" w:cs="Calibri"/>
                <w:sz w:val="20"/>
              </w:rPr>
              <w:t>44,4</w:t>
            </w:r>
          </w:p>
        </w:tc>
      </w:tr>
      <w:tr>
        <w:tc>
          <w:tcPr>
            <w:tcW w:type="dxa" w:w="3356"/>
            <w:vAlign w:val="center"/>
            <w:tcMar>
              <w:top w:w="100" w:type="dxa"/>
              <w:left w:w="100" w:type="dxa"/>
              <w:bottom w:w="100" w:type="dxa"/>
              <w:right w:w="100" w:type="dxa"/>
            </w:tcMar>
          </w:tcPr>
          <w:p>
            <w:pPr>
              <w:spacing w:after="0" w:line="240" w:lineRule="auto"/>
              <w:jc w:val="left"/>
            </w:pPr>
            <w:r>
              <w:rPr>
                <w:rFonts w:ascii="Calibri" w:hAnsi="Calibri" w:cs="Calibri"/>
                <w:sz w:val="20"/>
              </w:rPr>
              <w:t>Costos de recursos humanos</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23,9</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124,8</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244,8</w:t>
            </w:r>
          </w:p>
        </w:tc>
        <w:tc>
          <w:tcPr>
            <w:tcW w:type="dxa" w:w="1939"/>
            <w:vAlign w:val="center"/>
            <w:tcMar>
              <w:top w:w="100" w:type="dxa"/>
              <w:left w:w="100" w:type="dxa"/>
              <w:bottom w:w="100" w:type="dxa"/>
              <w:right w:w="100" w:type="dxa"/>
            </w:tcMar>
          </w:tcPr>
          <w:p>
            <w:pPr>
              <w:spacing w:after="0" w:line="240" w:lineRule="auto"/>
              <w:jc w:val="right"/>
            </w:pPr>
            <w:r>
              <w:rPr>
                <w:rFonts w:ascii="Calibri" w:hAnsi="Calibri" w:cs="Calibri"/>
                <w:sz w:val="20"/>
              </w:rPr>
              <w:t>404,4</w:t>
            </w:r>
          </w:p>
        </w:tc>
      </w:tr>
      <w:tr>
        <w:tc>
          <w:tcPr>
            <w:tcW w:type="dxa" w:w="3356"/>
            <w:vAlign w:val="center"/>
            <w:tcMar>
              <w:top w:w="100" w:type="dxa"/>
              <w:left w:w="100" w:type="dxa"/>
              <w:bottom w:w="100" w:type="dxa"/>
              <w:right w:w="100" w:type="dxa"/>
            </w:tcMar>
          </w:tcPr>
          <w:p>
            <w:pPr>
              <w:spacing w:after="0" w:line="240" w:lineRule="auto"/>
              <w:jc w:val="left"/>
            </w:pPr>
            <w:r>
              <w:rPr>
                <w:rFonts w:ascii="Calibri" w:hAnsi="Calibri" w:cs="Calibri"/>
                <w:sz w:val="20"/>
              </w:rPr>
              <w:t>Total de egresos</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32,4</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143,1</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282,2</w:t>
            </w:r>
          </w:p>
        </w:tc>
        <w:tc>
          <w:tcPr>
            <w:tcW w:type="dxa" w:w="1939"/>
            <w:vAlign w:val="center"/>
            <w:tcMar>
              <w:top w:w="100" w:type="dxa"/>
              <w:left w:w="100" w:type="dxa"/>
              <w:bottom w:w="100" w:type="dxa"/>
              <w:right w:w="100" w:type="dxa"/>
            </w:tcMar>
          </w:tcPr>
          <w:p>
            <w:pPr>
              <w:spacing w:after="0" w:line="240" w:lineRule="auto"/>
              <w:jc w:val="right"/>
            </w:pPr>
            <w:r>
              <w:rPr>
                <w:rFonts w:ascii="Calibri" w:hAnsi="Calibri" w:cs="Calibri"/>
                <w:sz w:val="20"/>
              </w:rPr>
              <w:t>470,3</w:t>
            </w:r>
          </w:p>
        </w:tc>
      </w:tr>
      <w:tr>
        <w:tc>
          <w:tcPr>
            <w:tcW w:type="dxa" w:w="3356"/>
            <w:vAlign w:val="center"/>
            <w:tcMar>
              <w:top w:w="100" w:type="dxa"/>
              <w:left w:w="100" w:type="dxa"/>
              <w:bottom w:w="100" w:type="dxa"/>
              <w:right w:w="100" w:type="dxa"/>
            </w:tcMar>
          </w:tcPr>
          <w:p>
            <w:pPr>
              <w:spacing w:after="0" w:line="240" w:lineRule="auto"/>
              <w:jc w:val="left"/>
            </w:pPr>
            <w:r>
              <w:rPr>
                <w:rFonts w:ascii="Calibri" w:hAnsi="Calibri" w:cs="Calibri"/>
                <w:sz w:val="20"/>
              </w:rPr>
              <w:t>Resultado operativo</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−22,0</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−57,7</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−1,4</w:t>
            </w:r>
          </w:p>
        </w:tc>
        <w:tc>
          <w:tcPr>
            <w:tcW w:type="dxa" w:w="1939"/>
            <w:vAlign w:val="center"/>
            <w:tcMar>
              <w:top w:w="100" w:type="dxa"/>
              <w:left w:w="100" w:type="dxa"/>
              <w:bottom w:w="100" w:type="dxa"/>
              <w:right w:w="100" w:type="dxa"/>
            </w:tcMar>
          </w:tcPr>
          <w:p>
            <w:pPr>
              <w:spacing w:after="0" w:line="240" w:lineRule="auto"/>
              <w:jc w:val="right"/>
            </w:pPr>
            <w:r>
              <w:rPr>
                <w:rFonts w:ascii="Calibri" w:hAnsi="Calibri" w:cs="Calibri"/>
                <w:sz w:val="20"/>
              </w:rPr>
              <w:t>+169,6</w:t>
            </w:r>
          </w:p>
        </w:tc>
      </w:tr>
      <w:tr>
        <w:tc>
          <w:tcPr>
            <w:tcW w:type="dxa" w:w="3356"/>
            <w:vAlign w:val="center"/>
            <w:tcMar>
              <w:top w:w="100" w:type="dxa"/>
              <w:left w:w="100" w:type="dxa"/>
              <w:bottom w:w="100" w:type="dxa"/>
              <w:right w:w="100" w:type="dxa"/>
            </w:tcMar>
          </w:tcPr>
          <w:p>
            <w:pPr>
              <w:spacing w:after="0" w:line="240" w:lineRule="auto"/>
              <w:jc w:val="left"/>
            </w:pPr>
            <w:r>
              <w:rPr>
                <w:rFonts w:ascii="Calibri" w:hAnsi="Calibri" w:cs="Calibri"/>
                <w:sz w:val="20"/>
              </w:rPr>
              <w:t>Impuestos que son costo</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1,0</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6,1</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17,4</w:t>
            </w:r>
          </w:p>
        </w:tc>
        <w:tc>
          <w:tcPr>
            <w:tcW w:type="dxa" w:w="1939"/>
            <w:vAlign w:val="center"/>
            <w:tcMar>
              <w:top w:w="100" w:type="dxa"/>
              <w:left w:w="100" w:type="dxa"/>
              <w:bottom w:w="100" w:type="dxa"/>
              <w:right w:w="100" w:type="dxa"/>
            </w:tcMar>
          </w:tcPr>
          <w:p>
            <w:pPr>
              <w:spacing w:after="0" w:line="240" w:lineRule="auto"/>
              <w:jc w:val="right"/>
            </w:pPr>
            <w:r>
              <w:rPr>
                <w:rFonts w:ascii="Calibri" w:hAnsi="Calibri" w:cs="Calibri"/>
                <w:sz w:val="20"/>
              </w:rPr>
              <w:t>36,7</w:t>
            </w:r>
          </w:p>
        </w:tc>
      </w:tr>
      <w:tr>
        <w:tc>
          <w:tcPr>
            <w:tcW w:type="dxa" w:w="3356"/>
            <w:vAlign w:val="center"/>
            <w:tcMar>
              <w:top w:w="100" w:type="dxa"/>
              <w:left w:w="100" w:type="dxa"/>
              <w:bottom w:w="100" w:type="dxa"/>
              <w:right w:w="100" w:type="dxa"/>
            </w:tcMar>
          </w:tcPr>
          <w:p>
            <w:pPr>
              <w:spacing w:after="0" w:line="240" w:lineRule="auto"/>
              <w:jc w:val="left"/>
            </w:pPr>
            <w:r>
              <w:rPr>
                <w:rFonts w:ascii="Calibri" w:hAnsi="Calibri" w:cs="Calibri"/>
                <w:sz w:val="20"/>
              </w:rPr>
              <w:t>Clientes activos al cierre</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23</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84</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202</w:t>
            </w:r>
          </w:p>
        </w:tc>
        <w:tc>
          <w:tcPr>
            <w:tcW w:type="dxa" w:w="1939"/>
            <w:vAlign w:val="center"/>
            <w:tcMar>
              <w:top w:w="100" w:type="dxa"/>
              <w:left w:w="100" w:type="dxa"/>
              <w:bottom w:w="100" w:type="dxa"/>
              <w:right w:w="100" w:type="dxa"/>
            </w:tcMar>
          </w:tcPr>
          <w:p>
            <w:pPr>
              <w:spacing w:after="0" w:line="240" w:lineRule="auto"/>
              <w:jc w:val="right"/>
            </w:pPr>
            <w:r>
              <w:rPr>
                <w:rFonts w:ascii="Calibri" w:hAnsi="Calibri" w:cs="Calibri"/>
                <w:sz w:val="20"/>
              </w:rPr>
              <w:t>350</w:t>
            </w:r>
          </w:p>
        </w:tc>
      </w:tr>
      <w:tr>
        <w:tc>
          <w:tcPr>
            <w:tcW w:type="dxa" w:w="3356"/>
            <w:vAlign w:val="center"/>
            <w:tcMar>
              <w:top w:w="100" w:type="dxa"/>
              <w:left w:w="100" w:type="dxa"/>
              <w:bottom w:w="100" w:type="dxa"/>
              <w:right w:w="100" w:type="dxa"/>
            </w:tcMar>
          </w:tcPr>
          <w:p>
            <w:pPr>
              <w:spacing w:after="0" w:line="240" w:lineRule="auto"/>
              <w:jc w:val="left"/>
            </w:pPr>
            <w:r>
              <w:rPr>
                <w:rFonts w:ascii="Calibri" w:hAnsi="Calibri" w:cs="Calibri"/>
                <w:sz w:val="20"/>
              </w:rPr>
              <w:t>Equipos administrados</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461</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1.898</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4.977</w:t>
            </w:r>
          </w:p>
        </w:tc>
        <w:tc>
          <w:tcPr>
            <w:tcW w:type="dxa" w:w="1939"/>
            <w:vAlign w:val="center"/>
            <w:tcMar>
              <w:top w:w="100" w:type="dxa"/>
              <w:left w:w="100" w:type="dxa"/>
              <w:bottom w:w="100" w:type="dxa"/>
              <w:right w:w="100" w:type="dxa"/>
            </w:tcMar>
          </w:tcPr>
          <w:p>
            <w:pPr>
              <w:spacing w:after="0" w:line="240" w:lineRule="auto"/>
              <w:jc w:val="right"/>
            </w:pPr>
            <w:r>
              <w:rPr>
                <w:rFonts w:ascii="Calibri" w:hAnsi="Calibri" w:cs="Calibri"/>
                <w:sz w:val="20"/>
              </w:rPr>
              <w:t>9.370</w:t>
            </w:r>
          </w:p>
        </w:tc>
      </w:tr>
      <w:tr>
        <w:tc>
          <w:tcPr>
            <w:tcW w:type="dxa" w:w="3356"/>
            <w:vAlign w:val="center"/>
            <w:tcMar>
              <w:top w:w="100" w:type="dxa"/>
              <w:left w:w="100" w:type="dxa"/>
              <w:bottom w:w="100" w:type="dxa"/>
              <w:right w:w="100" w:type="dxa"/>
            </w:tcMar>
          </w:tcPr>
          <w:p>
            <w:pPr>
              <w:spacing w:after="0" w:line="240" w:lineRule="auto"/>
              <w:jc w:val="left"/>
            </w:pPr>
            <w:r>
              <w:rPr>
                <w:rFonts w:ascii="Calibri" w:hAnsi="Calibri" w:cs="Calibri"/>
                <w:sz w:val="20"/>
              </w:rPr>
              <w:t>Personas en la plantilla</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3</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4</w:t>
            </w:r>
          </w:p>
        </w:tc>
        <w:tc>
          <w:tcPr>
            <w:tcW w:type="dxa" w:w="1070"/>
            <w:vAlign w:val="center"/>
            <w:tcMar>
              <w:top w:w="100" w:type="dxa"/>
              <w:left w:w="100" w:type="dxa"/>
              <w:bottom w:w="100" w:type="dxa"/>
              <w:right w:w="100" w:type="dxa"/>
            </w:tcMar>
          </w:tcPr>
          <w:p>
            <w:pPr>
              <w:spacing w:after="0" w:line="240" w:lineRule="auto"/>
              <w:jc w:val="right"/>
            </w:pPr>
            <w:r>
              <w:rPr>
                <w:rFonts w:ascii="Calibri" w:hAnsi="Calibri" w:cs="Calibri"/>
                <w:sz w:val="20"/>
              </w:rPr>
              <w:t>5</w:t>
            </w:r>
          </w:p>
        </w:tc>
        <w:tc>
          <w:tcPr>
            <w:tcW w:type="dxa" w:w="1939"/>
            <w:vAlign w:val="center"/>
            <w:tcMar>
              <w:top w:w="100" w:type="dxa"/>
              <w:left w:w="100" w:type="dxa"/>
              <w:bottom w:w="100" w:type="dxa"/>
              <w:right w:w="100" w:type="dxa"/>
            </w:tcMar>
          </w:tcPr>
          <w:p>
            <w:pPr>
              <w:spacing w:after="0" w:line="240" w:lineRule="auto"/>
              <w:jc w:val="right"/>
            </w:pPr>
            <w:r>
              <w:rPr>
                <w:rFonts w:ascii="Calibri" w:hAnsi="Calibri" w:cs="Calibri"/>
                <w:sz w:val="20"/>
              </w:rPr>
              <w:t>6</w:t>
            </w:r>
          </w:p>
        </w:tc>
      </w:tr>
    </w:tbl>
    <w:p>
      <w:pPr>
        <w:jc w:val="both"/>
      </w:pPr>
      <w:r>
        <w:rPr>
          <w:rFonts w:ascii="Calibri" w:hAnsi="Calibri" w:cs="Calibri"/>
        </w:rPr>
        <w:t>Cuatro números que resumen la operación y que conviene tener a mano: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tblHeader/>
        </w:trPr>
        <w:tc>
          <w:tcPr>
            <w:tcW w:type="dxa" w:w="342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El resultado operativo se vuelve positivo en</w:t>
            </w:r>
          </w:p>
        </w:tc>
        <w:tc>
          <w:tcPr>
            <w:tcW w:type="dxa" w:w="508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mayo de 2029</w:t>
            </w:r>
            <w:r>
              <w:rPr>
                <w:rFonts w:ascii="Calibri" w:hAnsi="Calibri" w:cs="Calibri"/>
                <w:b/>
                <w:sz w:val="20"/>
              </w:rPr>
              <w:t>, con 135 clientes activos</w:t>
            </w:r>
          </w:p>
        </w:tc>
      </w:tr>
      <w:tr>
        <w:tc>
          <w:tcPr>
            <w:tcW w:type="dxa" w:w="3423"/>
            <w:vAlign w:val="center"/>
            <w:tcMar>
              <w:top w:w="100" w:type="dxa"/>
              <w:left w:w="100" w:type="dxa"/>
              <w:bottom w:w="100" w:type="dxa"/>
              <w:right w:w="100" w:type="dxa"/>
            </w:tcMar>
          </w:tcPr>
          <w:p>
            <w:pPr>
              <w:spacing w:after="0" w:line="240" w:lineRule="auto"/>
              <w:jc w:val="left"/>
            </w:pPr>
            <w:r>
              <w:rPr>
                <w:rFonts w:ascii="Calibri" w:hAnsi="Calibri" w:cs="Calibri"/>
                <w:sz w:val="20"/>
              </w:rPr>
              <w:t>Capital operativo hasta ese punto</w:t>
            </w:r>
          </w:p>
        </w:tc>
        <w:tc>
          <w:tcPr>
            <w:tcW w:type="dxa" w:w="5081"/>
            <w:vAlign w:val="center"/>
            <w:tcMar>
              <w:top w:w="100" w:type="dxa"/>
              <w:left w:w="100" w:type="dxa"/>
              <w:bottom w:w="100" w:type="dxa"/>
              <w:right w:w="100" w:type="dxa"/>
            </w:tcMar>
          </w:tcPr>
          <w:p>
            <w:pPr>
              <w:spacing w:after="0" w:line="240" w:lineRule="auto"/>
              <w:jc w:val="left"/>
            </w:pPr>
            <w:r>
              <w:rPr>
                <w:rFonts w:ascii="Calibri" w:hAnsi="Calibri" w:cs="Calibri"/>
                <w:sz w:val="20"/>
              </w:rPr>
              <w:t>100,3 millones</w:t>
            </w:r>
            <w:r>
              <w:rPr>
                <w:rFonts w:ascii="Calibri" w:hAnsi="Calibri" w:cs="Calibri"/>
                <w:sz w:val="20"/>
              </w:rPr>
              <w:t>, unos USD 49.500 convirtiendo el déficit de cada año al tipo de cambio de ese año</w:t>
            </w:r>
          </w:p>
        </w:tc>
      </w:tr>
      <w:tr>
        <w:tc>
          <w:tcPr>
            <w:tcW w:type="dxa" w:w="3423"/>
            <w:vAlign w:val="center"/>
            <w:tcMar>
              <w:top w:w="100" w:type="dxa"/>
              <w:left w:w="100" w:type="dxa"/>
              <w:bottom w:w="100" w:type="dxa"/>
              <w:right w:w="100" w:type="dxa"/>
            </w:tcMar>
          </w:tcPr>
          <w:p>
            <w:pPr>
              <w:spacing w:after="0" w:line="240" w:lineRule="auto"/>
              <w:jc w:val="left"/>
            </w:pPr>
            <w:r>
              <w:rPr>
                <w:rFonts w:ascii="Calibri" w:hAnsi="Calibri" w:cs="Calibri"/>
                <w:sz w:val="20"/>
              </w:rPr>
              <w:t>Capital total, con inversión, impuestos y capital de trabajo</w:t>
            </w:r>
          </w:p>
        </w:tc>
        <w:tc>
          <w:tcPr>
            <w:tcW w:type="dxa" w:w="5081"/>
            <w:vAlign w:val="center"/>
            <w:tcMar>
              <w:top w:w="100" w:type="dxa"/>
              <w:left w:w="100" w:type="dxa"/>
              <w:bottom w:w="100" w:type="dxa"/>
              <w:right w:w="100" w:type="dxa"/>
            </w:tcMar>
          </w:tcPr>
          <w:p>
            <w:pPr>
              <w:spacing w:after="0" w:line="240" w:lineRule="auto"/>
              <w:jc w:val="left"/>
            </w:pPr>
            <w:r>
              <w:rPr>
                <w:rFonts w:ascii="Calibri" w:hAnsi="Calibri" w:cs="Calibri"/>
                <w:sz w:val="20"/>
              </w:rPr>
              <w:t>156,2 millones</w:t>
            </w:r>
            <w:r>
              <w:rPr>
                <w:rFonts w:ascii="Calibri" w:hAnsi="Calibri" w:cs="Calibri"/>
                <w:sz w:val="20"/>
              </w:rPr>
              <w:t>, unos USD 77.000</w:t>
            </w:r>
          </w:p>
        </w:tc>
      </w:tr>
      <w:tr>
        <w:tc>
          <w:tcPr>
            <w:tcW w:type="dxa" w:w="3423"/>
            <w:vAlign w:val="center"/>
            <w:tcMar>
              <w:top w:w="100" w:type="dxa"/>
              <w:left w:w="100" w:type="dxa"/>
              <w:bottom w:w="100" w:type="dxa"/>
              <w:right w:w="100" w:type="dxa"/>
            </w:tcMar>
          </w:tcPr>
          <w:p>
            <w:pPr>
              <w:spacing w:after="0" w:line="240" w:lineRule="auto"/>
              <w:jc w:val="left"/>
            </w:pPr>
            <w:r>
              <w:rPr>
                <w:rFonts w:ascii="Calibri" w:hAnsi="Calibri" w:cs="Calibri"/>
                <w:sz w:val="20"/>
              </w:rPr>
              <w:t>Reparto entre los dos socios</w:t>
            </w:r>
          </w:p>
        </w:tc>
        <w:tc>
          <w:tcPr>
            <w:tcW w:type="dxa" w:w="5081"/>
            <w:vAlign w:val="center"/>
            <w:tcMar>
              <w:top w:w="100" w:type="dxa"/>
              <w:left w:w="100" w:type="dxa"/>
              <w:bottom w:w="100" w:type="dxa"/>
              <w:right w:w="100" w:type="dxa"/>
            </w:tcMar>
          </w:tcPr>
          <w:p>
            <w:pPr>
              <w:spacing w:after="0" w:line="240" w:lineRule="auto"/>
              <w:jc w:val="left"/>
            </w:pPr>
            <w:r>
              <w:rPr>
                <w:rFonts w:ascii="Calibri" w:hAnsi="Calibri" w:cs="Calibri"/>
                <w:sz w:val="20"/>
              </w:rPr>
              <w:t>USD 38.500 cada uno, a lo largo de tres años y medio</w:t>
            </w:r>
          </w:p>
        </w:tc>
      </w:tr>
    </w:tbl>
    <w:p>
      <w:pPr>
        <w:jc w:val="both"/>
      </w:pPr>
      <w:r>
        <w:rPr>
          <w:rFonts w:ascii="Calibri" w:hAnsi="Calibri" w:cs="Calibri"/>
        </w:rPr>
        <w:t>Es una cifra que dos socios pueden sostener, y ésa fue la restricción con la que se dimensionó la estructura: el equipo se incorpora cuando la facturación lo paga, no en un calendario fijo. Cómo se llega a eso está en la sección 7.</w:t>
      </w:r>
    </w:p>
    <w:p>
      <w:pPr>
        <w:jc w:val="both"/>
      </w:pPr>
      <w:r>
        <w:rPr>
          <w:rFonts w:ascii="Calibri" w:hAnsi="Calibri" w:cs="Calibri"/>
        </w:rPr>
        <w:t>El aporte no es parejo, y conviene decirlo antes de que lo pregunten.</w:t>
      </w:r>
      <w:r>
        <w:rPr>
          <w:rFonts w:ascii="Calibri" w:hAnsi="Calibri" w:cs="Calibri"/>
        </w:rPr>
        <w:t xml:space="preserve"> El esfuerzo se concentra en el segundo año, que es cuando entran las dos primeras incorporaciones y la facturación todavía no las cubre: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0"/>
        <w:gridCol w:w="1560"/>
        <w:gridCol w:w="1560"/>
        <w:gridCol w:w="1560"/>
        <w:gridCol w:w="1560"/>
        <w:gridCol w:w="1560"/>
      </w:tblGrid>
      <w:tr>
        <w:trPr>
          <w:tblHeader/>
        </w:trPr>
        <w:tc>
          <w:tcPr>
            <w:tcW w:type="dxa" w:w="1707"/>
            <w:vAlign w:val="center"/>
            <w:tcMar>
              <w:top w:w="100" w:type="dxa"/>
              <w:left w:w="100" w:type="dxa"/>
              <w:bottom w:w="100" w:type="dxa"/>
              <w:right w:w="100" w:type="dxa"/>
            </w:tcMar>
            <w:tcBorders>
              <w:bottom w:val="single" w:sz="18" w:space="0" w:color="000000"/>
            </w:tcBorders>
          </w:tcPr>
          <w:p>
            <w:pPr>
              <w:spacing w:after="0" w:line="240" w:lineRule="auto"/>
              <w:jc w:val="center"/>
            </w:pPr>
          </w:p>
        </w:tc>
        <w:tc>
          <w:tcPr>
            <w:tcW w:type="dxa" w:w="135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1488"/>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135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1102"/>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c>
          <w:tcPr>
            <w:tcW w:type="dxa" w:w="1488"/>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Total</w:t>
            </w:r>
          </w:p>
        </w:tc>
      </w:tr>
      <w:tr>
        <w:tc>
          <w:tcPr>
            <w:tcW w:type="dxa" w:w="1707"/>
            <w:vAlign w:val="center"/>
            <w:tcMar>
              <w:top w:w="100" w:type="dxa"/>
              <w:left w:w="100" w:type="dxa"/>
              <w:bottom w:w="100" w:type="dxa"/>
              <w:right w:w="100" w:type="dxa"/>
            </w:tcMar>
          </w:tcPr>
          <w:p>
            <w:pPr>
              <w:spacing w:after="0" w:line="240" w:lineRule="auto"/>
              <w:jc w:val="left"/>
            </w:pPr>
            <w:r>
              <w:rPr>
                <w:rFonts w:ascii="Calibri" w:hAnsi="Calibri" w:cs="Calibri"/>
                <w:sz w:val="20"/>
              </w:rPr>
              <w:t>Promedio del año</w:t>
            </w:r>
          </w:p>
        </w:tc>
        <w:tc>
          <w:tcPr>
            <w:tcW w:type="dxa" w:w="1359"/>
            <w:vAlign w:val="center"/>
            <w:tcMar>
              <w:top w:w="100" w:type="dxa"/>
              <w:left w:w="100" w:type="dxa"/>
              <w:bottom w:w="100" w:type="dxa"/>
              <w:right w:w="100" w:type="dxa"/>
            </w:tcMar>
          </w:tcPr>
          <w:p>
            <w:pPr>
              <w:spacing w:after="0" w:line="240" w:lineRule="auto"/>
              <w:jc w:val="right"/>
            </w:pPr>
            <w:r>
              <w:rPr>
                <w:rFonts w:ascii="Calibri" w:hAnsi="Calibri" w:cs="Calibri"/>
                <w:sz w:val="20"/>
              </w:rPr>
              <w:t>510</w:t>
            </w:r>
          </w:p>
        </w:tc>
        <w:tc>
          <w:tcPr>
            <w:tcW w:type="dxa" w:w="1488"/>
            <w:vAlign w:val="center"/>
            <w:tcMar>
              <w:top w:w="100" w:type="dxa"/>
              <w:left w:w="100" w:type="dxa"/>
              <w:bottom w:w="100" w:type="dxa"/>
              <w:right w:w="100" w:type="dxa"/>
            </w:tcMar>
          </w:tcPr>
          <w:p>
            <w:pPr>
              <w:spacing w:after="0" w:line="240" w:lineRule="auto"/>
              <w:jc w:val="right"/>
            </w:pPr>
            <w:r>
              <w:rPr>
                <w:rFonts w:ascii="Calibri" w:hAnsi="Calibri" w:cs="Calibri"/>
                <w:sz w:val="20"/>
              </w:rPr>
              <w:t>1.170</w:t>
            </w:r>
          </w:p>
        </w:tc>
        <w:tc>
          <w:tcPr>
            <w:tcW w:type="dxa" w:w="1359"/>
            <w:vAlign w:val="center"/>
            <w:tcMar>
              <w:top w:w="100" w:type="dxa"/>
              <w:left w:w="100" w:type="dxa"/>
              <w:bottom w:w="100" w:type="dxa"/>
              <w:right w:w="100" w:type="dxa"/>
            </w:tcMar>
          </w:tcPr>
          <w:p>
            <w:pPr>
              <w:spacing w:after="0" w:line="240" w:lineRule="auto"/>
              <w:jc w:val="right"/>
            </w:pPr>
            <w:r>
              <w:rPr>
                <w:rFonts w:ascii="Calibri" w:hAnsi="Calibri" w:cs="Calibri"/>
                <w:sz w:val="20"/>
              </w:rPr>
              <w:t>400</w:t>
            </w:r>
          </w:p>
        </w:tc>
        <w:tc>
          <w:tcPr>
            <w:tcW w:type="dxa" w:w="1102"/>
            <w:vAlign w:val="center"/>
            <w:tcMar>
              <w:top w:w="100" w:type="dxa"/>
              <w:left w:w="100" w:type="dxa"/>
              <w:bottom w:w="100" w:type="dxa"/>
              <w:right w:w="100" w:type="dxa"/>
            </w:tcMar>
          </w:tcPr>
          <w:p>
            <w:pPr>
              <w:spacing w:after="0" w:line="240" w:lineRule="auto"/>
              <w:jc w:val="right"/>
            </w:pPr>
            <w:r>
              <w:rPr>
                <w:rFonts w:ascii="Calibri" w:hAnsi="Calibri" w:cs="Calibri"/>
                <w:sz w:val="20"/>
              </w:rPr>
              <w:t>30</w:t>
            </w:r>
          </w:p>
        </w:tc>
        <w:tc>
          <w:tcPr>
            <w:tcW w:type="dxa" w:w="1488"/>
            <w:vAlign w:val="center"/>
            <w:tcMar>
              <w:top w:w="100" w:type="dxa"/>
              <w:left w:w="100" w:type="dxa"/>
              <w:bottom w:w="100" w:type="dxa"/>
              <w:right w:w="100" w:type="dxa"/>
            </w:tcMar>
          </w:tcPr>
          <w:p>
            <w:pPr>
              <w:spacing w:after="0" w:line="240" w:lineRule="auto"/>
              <w:jc w:val="left"/>
            </w:pPr>
          </w:p>
        </w:tc>
      </w:tr>
      <w:tr>
        <w:tc>
          <w:tcPr>
            <w:tcW w:type="dxa" w:w="1707"/>
            <w:vAlign w:val="center"/>
            <w:tcMar>
              <w:top w:w="100" w:type="dxa"/>
              <w:left w:w="100" w:type="dxa"/>
              <w:bottom w:w="100" w:type="dxa"/>
              <w:right w:w="100" w:type="dxa"/>
            </w:tcMar>
          </w:tcPr>
          <w:p>
            <w:pPr>
              <w:spacing w:after="0" w:line="240" w:lineRule="auto"/>
              <w:jc w:val="left"/>
            </w:pPr>
            <w:r>
              <w:rPr>
                <w:rFonts w:ascii="Calibri" w:hAnsi="Calibri" w:cs="Calibri"/>
                <w:sz w:val="20"/>
              </w:rPr>
              <w:t>Peor mes del año</w:t>
            </w:r>
          </w:p>
        </w:tc>
        <w:tc>
          <w:tcPr>
            <w:tcW w:type="dxa" w:w="1359"/>
            <w:vAlign w:val="center"/>
            <w:tcMar>
              <w:top w:w="100" w:type="dxa"/>
              <w:left w:w="100" w:type="dxa"/>
              <w:bottom w:w="100" w:type="dxa"/>
              <w:right w:w="100" w:type="dxa"/>
            </w:tcMar>
          </w:tcPr>
          <w:p>
            <w:pPr>
              <w:spacing w:after="0" w:line="240" w:lineRule="auto"/>
              <w:jc w:val="right"/>
            </w:pPr>
            <w:r>
              <w:rPr>
                <w:rFonts w:ascii="Calibri" w:hAnsi="Calibri" w:cs="Calibri"/>
                <w:sz w:val="20"/>
              </w:rPr>
              <w:t>1.474</w:t>
            </w:r>
          </w:p>
        </w:tc>
        <w:tc>
          <w:tcPr>
            <w:tcW w:type="dxa" w:w="1488"/>
            <w:vAlign w:val="center"/>
            <w:tcMar>
              <w:top w:w="100" w:type="dxa"/>
              <w:left w:w="100" w:type="dxa"/>
              <w:bottom w:w="100" w:type="dxa"/>
              <w:right w:w="100" w:type="dxa"/>
            </w:tcMar>
          </w:tcPr>
          <w:p>
            <w:pPr>
              <w:spacing w:after="0" w:line="240" w:lineRule="auto"/>
              <w:jc w:val="right"/>
            </w:pPr>
            <w:r>
              <w:rPr>
                <w:rFonts w:ascii="Calibri" w:hAnsi="Calibri" w:cs="Calibri"/>
                <w:sz w:val="20"/>
              </w:rPr>
              <w:t>2.237</w:t>
            </w:r>
          </w:p>
        </w:tc>
        <w:tc>
          <w:tcPr>
            <w:tcW w:type="dxa" w:w="1359"/>
            <w:vAlign w:val="center"/>
            <w:tcMar>
              <w:top w:w="100" w:type="dxa"/>
              <w:left w:w="100" w:type="dxa"/>
              <w:bottom w:w="100" w:type="dxa"/>
              <w:right w:w="100" w:type="dxa"/>
            </w:tcMar>
          </w:tcPr>
          <w:p>
            <w:pPr>
              <w:spacing w:after="0" w:line="240" w:lineRule="auto"/>
              <w:jc w:val="right"/>
            </w:pPr>
            <w:r>
              <w:rPr>
                <w:rFonts w:ascii="Calibri" w:hAnsi="Calibri" w:cs="Calibri"/>
                <w:sz w:val="20"/>
              </w:rPr>
              <w:t>2.107</w:t>
            </w:r>
          </w:p>
        </w:tc>
        <w:tc>
          <w:tcPr>
            <w:tcW w:type="dxa" w:w="1102"/>
            <w:vAlign w:val="center"/>
            <w:tcMar>
              <w:top w:w="100" w:type="dxa"/>
              <w:left w:w="100" w:type="dxa"/>
              <w:bottom w:w="100" w:type="dxa"/>
              <w:right w:w="100" w:type="dxa"/>
            </w:tcMar>
          </w:tcPr>
          <w:p>
            <w:pPr>
              <w:spacing w:after="0" w:line="240" w:lineRule="auto"/>
              <w:jc w:val="right"/>
            </w:pPr>
            <w:r>
              <w:rPr>
                <w:rFonts w:ascii="Calibri" w:hAnsi="Calibri" w:cs="Calibri"/>
                <w:sz w:val="20"/>
              </w:rPr>
              <w:t>412</w:t>
            </w:r>
          </w:p>
        </w:tc>
        <w:tc>
          <w:tcPr>
            <w:tcW w:type="dxa" w:w="1488"/>
            <w:vAlign w:val="center"/>
            <w:tcMar>
              <w:top w:w="100" w:type="dxa"/>
              <w:left w:w="100" w:type="dxa"/>
              <w:bottom w:w="100" w:type="dxa"/>
              <w:right w:w="100" w:type="dxa"/>
            </w:tcMar>
          </w:tcPr>
          <w:p>
            <w:pPr>
              <w:spacing w:after="0" w:line="240" w:lineRule="auto"/>
              <w:jc w:val="left"/>
            </w:pPr>
          </w:p>
        </w:tc>
      </w:tr>
      <w:tr>
        <w:tc>
          <w:tcPr>
            <w:tcW w:type="dxa" w:w="1707"/>
            <w:vAlign w:val="center"/>
            <w:tcMar>
              <w:top w:w="100" w:type="dxa"/>
              <w:left w:w="100" w:type="dxa"/>
              <w:bottom w:w="100" w:type="dxa"/>
              <w:right w:w="100" w:type="dxa"/>
            </w:tcMar>
          </w:tcPr>
          <w:p>
            <w:pPr>
              <w:spacing w:after="0" w:line="240" w:lineRule="auto"/>
              <w:jc w:val="left"/>
            </w:pPr>
            <w:r>
              <w:rPr>
                <w:rFonts w:ascii="Calibri" w:hAnsi="Calibri" w:cs="Calibri"/>
                <w:sz w:val="20"/>
              </w:rPr>
              <w:t>Total del año, por socio</w:t>
            </w:r>
          </w:p>
        </w:tc>
        <w:tc>
          <w:tcPr>
            <w:tcW w:type="dxa" w:w="1359"/>
            <w:vAlign w:val="center"/>
            <w:tcMar>
              <w:top w:w="100" w:type="dxa"/>
              <w:left w:w="100" w:type="dxa"/>
              <w:bottom w:w="100" w:type="dxa"/>
              <w:right w:w="100" w:type="dxa"/>
            </w:tcMar>
          </w:tcPr>
          <w:p>
            <w:pPr>
              <w:spacing w:after="0" w:line="240" w:lineRule="auto"/>
              <w:jc w:val="right"/>
            </w:pPr>
            <w:r>
              <w:rPr>
                <w:rFonts w:ascii="Calibri" w:hAnsi="Calibri" w:cs="Calibri"/>
                <w:sz w:val="20"/>
              </w:rPr>
              <w:t>6.123</w:t>
            </w:r>
          </w:p>
        </w:tc>
        <w:tc>
          <w:tcPr>
            <w:tcW w:type="dxa" w:w="1488"/>
            <w:vAlign w:val="center"/>
            <w:tcMar>
              <w:top w:w="100" w:type="dxa"/>
              <w:left w:w="100" w:type="dxa"/>
              <w:bottom w:w="100" w:type="dxa"/>
              <w:right w:w="100" w:type="dxa"/>
            </w:tcMar>
          </w:tcPr>
          <w:p>
            <w:pPr>
              <w:spacing w:after="0" w:line="240" w:lineRule="auto"/>
              <w:jc w:val="right"/>
            </w:pPr>
            <w:r>
              <w:rPr>
                <w:rFonts w:ascii="Calibri" w:hAnsi="Calibri" w:cs="Calibri"/>
                <w:sz w:val="20"/>
              </w:rPr>
              <w:t>14.085</w:t>
            </w:r>
          </w:p>
        </w:tc>
        <w:tc>
          <w:tcPr>
            <w:tcW w:type="dxa" w:w="1359"/>
            <w:vAlign w:val="center"/>
            <w:tcMar>
              <w:top w:w="100" w:type="dxa"/>
              <w:left w:w="100" w:type="dxa"/>
              <w:bottom w:w="100" w:type="dxa"/>
              <w:right w:w="100" w:type="dxa"/>
            </w:tcMar>
          </w:tcPr>
          <w:p>
            <w:pPr>
              <w:spacing w:after="0" w:line="240" w:lineRule="auto"/>
              <w:jc w:val="right"/>
            </w:pPr>
            <w:r>
              <w:rPr>
                <w:rFonts w:ascii="Calibri" w:hAnsi="Calibri" w:cs="Calibri"/>
                <w:sz w:val="20"/>
              </w:rPr>
              <w:t>4.849</w:t>
            </w:r>
          </w:p>
        </w:tc>
        <w:tc>
          <w:tcPr>
            <w:tcW w:type="dxa" w:w="1102"/>
            <w:vAlign w:val="center"/>
            <w:tcMar>
              <w:top w:w="100" w:type="dxa"/>
              <w:left w:w="100" w:type="dxa"/>
              <w:bottom w:w="100" w:type="dxa"/>
              <w:right w:w="100" w:type="dxa"/>
            </w:tcMar>
          </w:tcPr>
          <w:p>
            <w:pPr>
              <w:spacing w:after="0" w:line="240" w:lineRule="auto"/>
              <w:jc w:val="right"/>
            </w:pPr>
            <w:r>
              <w:rPr>
                <w:rFonts w:ascii="Calibri" w:hAnsi="Calibri" w:cs="Calibri"/>
                <w:sz w:val="20"/>
              </w:rPr>
              <w:t>412</w:t>
            </w:r>
          </w:p>
        </w:tc>
        <w:tc>
          <w:tcPr>
            <w:tcW w:type="dxa" w:w="1488"/>
            <w:vAlign w:val="center"/>
            <w:tcMar>
              <w:top w:w="100" w:type="dxa"/>
              <w:left w:w="100" w:type="dxa"/>
              <w:bottom w:w="100" w:type="dxa"/>
              <w:right w:w="100" w:type="dxa"/>
            </w:tcMar>
          </w:tcPr>
          <w:p>
            <w:pPr>
              <w:spacing w:after="0" w:line="240" w:lineRule="auto"/>
              <w:jc w:val="left"/>
            </w:pPr>
            <w:r>
              <w:rPr>
                <w:rFonts w:ascii="Calibri" w:hAnsi="Calibri" w:cs="Calibri"/>
                <w:sz w:val="20"/>
              </w:rPr>
              <w:t>25.469</w:t>
            </w:r>
          </w:p>
        </w:tc>
      </w:tr>
    </w:tbl>
    <w:p>
      <w:pPr>
        <w:jc w:val="both"/>
      </w:pPr>
      <w:r>
        <w:rPr>
          <w:rFonts w:ascii="Calibri" w:hAnsi="Calibri" w:cs="Calibri"/>
        </w:rPr>
        <w:t>Los picos caen en los meses de aguinaldo: diciembre de 2028 pide casi el doble del promedio de ese año, y junio de 2029 más de cinco veces el promedio del suyo. Un plan que promedia y no muestra el pico subestima justo el mes en que el proyecto se cae.</w:t>
      </w:r>
    </w:p>
    <w:p>
      <w:pPr>
        <w:jc w:val="both"/>
      </w:pPr>
      <w:r>
        <w:rPr>
          <w:rFonts w:ascii="Calibri" w:hAnsi="Calibri" w:cs="Calibri"/>
        </w:rPr>
        <w:t>Y hay que conciliar esta tabla con el número de arriba</w:t>
      </w:r>
      <w:r>
        <w:rPr>
          <w:rFonts w:ascii="Calibri" w:hAnsi="Calibri" w:cs="Calibri"/>
        </w:rPr>
        <w:t xml:space="preserve">, porque no da lo mismo y alguien lo va a multiplicar. Los USD 25.469 de esta tabla son el </w:t>
      </w:r>
      <w:r>
        <w:rPr>
          <w:rFonts w:ascii="Calibri" w:hAnsi="Calibri" w:cs="Calibri"/>
        </w:rPr>
        <w:t>déficit operativo</w:t>
      </w:r>
      <w:r>
        <w:rPr>
          <w:rFonts w:ascii="Calibri" w:hAnsi="Calibri" w:cs="Calibri"/>
        </w:rPr>
        <w:t xml:space="preserve"> —ingresos menos egresos, mes a mes—. Los USD 38.500 de la tabla anterior son el </w:t>
      </w:r>
      <w:r>
        <w:rPr>
          <w:rFonts w:ascii="Calibri" w:hAnsi="Calibri" w:cs="Calibri"/>
        </w:rPr>
        <w:t>capital total</w:t>
      </w:r>
      <w:r>
        <w:rPr>
          <w:rFonts w:ascii="Calibri" w:hAnsi="Calibri" w:cs="Calibri"/>
        </w:rPr>
        <w:t>, que suma tres cosas que no se modelan mes a mes sino por ejercicio: la inversión inicial y su reposición, los impuestos, y el crédito que se les da a los clientes. La diferencia entre los dos números, unos USD 13.000 por socio, es exactamente eso.</w:t>
      </w:r>
    </w:p>
    <w:p>
      <w:pPr>
        <w:jc w:val="both"/>
      </w:pPr>
      <w:r>
        <w:rPr>
          <w:rFonts w:ascii="Calibri" w:hAnsi="Calibri" w:cs="Calibri"/>
        </w:rPr>
        <w:t>Lo que estos números no dicen.</w:t>
      </w:r>
      <w:r>
        <w:rPr>
          <w:rFonts w:ascii="Calibri" w:hAnsi="Calibri" w:cs="Calibri"/>
        </w:rPr>
        <w:t xml:space="preserve"> Son el resultado *operativo*: ingresos menos egresos, con los impuestos que son costo mostrados aparte. No incluyen la inversión inicial, ni las amortizaciones, ni el capital de trabajo, ni el costo financiero de ese capital, que van en la Entrega 2 junto con el flujo de fondos. Por eso acá no hay valor actual neto ni tasa interna de retorno.</w:t>
      </w:r>
    </w:p>
    <w:p>
      <w:pPr>
        <w:jc w:val="both"/>
      </w:pPr>
      <w:r>
        <w:rPr>
          <w:rFonts w:ascii="Calibri" w:hAnsi="Calibri" w:cs="Calibri"/>
        </w:rPr>
        <w:t xml:space="preserve">Y por eso </w:t>
      </w:r>
      <w:r>
        <w:rPr>
          <w:rFonts w:ascii="Calibri" w:hAnsi="Calibri" w:cs="Calibri"/>
        </w:rPr>
        <w:t>el capital operativo de la tabla de arriba es un piso</w:t>
      </w:r>
      <w:r>
        <w:rPr>
          <w:rFonts w:ascii="Calibri" w:hAnsi="Calibri" w:cs="Calibri"/>
        </w:rPr>
        <w:t xml:space="preserve">. Con la inversión inicial, los impuestos y el crédito a clientes adentro, el capital que hay que poner es de </w:t>
      </w:r>
      <w:r>
        <w:rPr>
          <w:rFonts w:ascii="Calibri" w:hAnsi="Calibri" w:cs="Calibri"/>
        </w:rPr>
        <w:t>156,2 millones —unos USD 77.000, o USD 38.500 por socio—</w:t>
      </w:r>
      <w:r>
        <w:rPr>
          <w:rFonts w:ascii="Calibri" w:hAnsi="Calibri" w:cs="Calibri"/>
        </w:rPr>
        <w:t>, y ése es el número que hay que poder sostener. Sale del flujo de fondos y se entrega con él.</w:t>
      </w:r>
    </w:p>
    <w:p>
      <w:pPr>
        <w:pStyle w:val="Ttulo1"/>
        <w:pageBreakBefore/>
        <w:jc w:val="both"/>
      </w:pPr>
      <w:r>
        <w:rPr>
          <w:rFonts w:ascii="Calibri" w:hAnsi="Calibri" w:cs="Calibri"/>
          <w:b/>
          <w:color w:val="000000"/>
        </w:rPr>
        <w:t>2. Hipótesis</w:t>
      </w:r>
    </w:p>
    <w:p>
      <w:pPr>
        <w:jc w:val="both"/>
      </w:pPr>
      <w:r>
        <w:rPr>
          <w:rFonts w:ascii="Calibri" w:hAnsi="Calibri" w:cs="Calibri"/>
        </w:rPr>
        <w:t>Cada variable lleva valor, fuente y justificación. Esa es la regla del libro y la razón de que las hipótesis vayan primero: si un número se puede discutir, tiene que estar en un solo lugar y con el motivo escrito al lado.</w:t>
      </w:r>
    </w:p>
    <w:p>
      <w:pPr>
        <w:jc w:val="both"/>
      </w:pPr>
      <w:r>
        <w:rPr>
          <w:rFonts w:ascii="Calibri" w:hAnsi="Calibri" w:cs="Calibri"/>
        </w:rPr>
        <w:t xml:space="preserve">Los supuestos macroeconómicos salen del </w:t>
      </w:r>
      <w:r>
        <w:rPr>
          <w:rFonts w:ascii="Calibri" w:hAnsi="Calibri" w:cs="Calibri"/>
        </w:rPr>
        <w:t>Relevamiento de Expectativas de Mercado del Banco Central</w:t>
      </w:r>
      <w:r>
        <w:rPr>
          <w:rFonts w:ascii="Calibri" w:hAnsi="Calibri" w:cs="Calibri"/>
        </w:rPr>
        <w:t xml:space="preserve">, en su informe de agosto de 2026, publicado el 4 de septiembre sobre 47 participantes. El REM releva tres períodos anuales para precios y dos para el tipo de cambio, así que </w:t>
      </w:r>
      <w:r>
        <w:rPr>
          <w:rFonts w:ascii="Calibri" w:hAnsi="Calibri" w:cs="Calibri"/>
        </w:rPr>
        <w:t>2029 y 2030 quedan fuera de la encuesta</w:t>
      </w:r>
      <w:r>
        <w:rPr>
          <w:rFonts w:ascii="Calibri" w:hAnsi="Calibri" w:cs="Calibri"/>
        </w:rPr>
        <w:t>: esos dos años son extrapolación propia de la misma senda, y cada fila lo aclara. Una extrapolación declarada se puede discutir; un supuesto sin fuente, no.</w:t>
      </w:r>
    </w:p>
    <w:p>
      <w:pPr>
        <w:jc w:val="both"/>
      </w:pPr>
      <w:r>
        <w:rPr>
          <w:rFonts w:ascii="Calibri" w:hAnsi="Calibri" w:cs="Calibri"/>
        </w:rPr>
        <w:t>Queda una fila sin fuente citada —el universo de PyMEs del punto 1.2— y está marcada como tal.</w:t>
      </w:r>
    </w:p>
    <w:p>
      <w:pPr>
        <w:pStyle w:val="Ttulo2"/>
        <w:jc w:val="both"/>
      </w:pPr>
      <w:r>
        <w:rPr>
          <w:rFonts w:ascii="Calibri" w:hAnsi="Calibri" w:cs="Calibri"/>
          <w:b/>
          <w:color w:val="000000"/>
        </w:rPr>
        <w:t>2.1. Supuestos macroeconómicos</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0"/>
        <w:gridCol w:w="1560"/>
        <w:gridCol w:w="1560"/>
        <w:gridCol w:w="1560"/>
        <w:gridCol w:w="1560"/>
        <w:gridCol w:w="1560"/>
      </w:tblGrid>
      <w:tr>
        <w:trPr>
          <w:tblHeader/>
        </w:trPr>
        <w:tc>
          <w:tcPr>
            <w:tcW w:type="dxa" w:w="1892"/>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Variable</w:t>
            </w:r>
          </w:p>
        </w:tc>
        <w:tc>
          <w:tcPr>
            <w:tcW w:type="dxa" w:w="81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81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81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798"/>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c>
          <w:tcPr>
            <w:tcW w:type="dxa" w:w="3377"/>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Fuente</w:t>
            </w:r>
          </w:p>
        </w:tc>
      </w:tr>
      <w:tr>
        <w:tc>
          <w:tcPr>
            <w:tcW w:type="dxa" w:w="1892"/>
            <w:vAlign w:val="center"/>
            <w:tcMar>
              <w:top w:w="100" w:type="dxa"/>
              <w:left w:w="100" w:type="dxa"/>
              <w:bottom w:w="100" w:type="dxa"/>
              <w:right w:w="100" w:type="dxa"/>
            </w:tcMar>
          </w:tcPr>
          <w:p>
            <w:pPr>
              <w:spacing w:after="0" w:line="240" w:lineRule="auto"/>
              <w:jc w:val="left"/>
            </w:pPr>
            <w:r>
              <w:rPr>
                <w:rFonts w:ascii="Calibri" w:hAnsi="Calibri" w:cs="Calibri"/>
                <w:sz w:val="20"/>
              </w:rPr>
              <w:t>Inflación anual proyectada</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20,5 %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14,1 %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12 %</w:t>
            </w:r>
          </w:p>
        </w:tc>
        <w:tc>
          <w:tcPr>
            <w:tcW w:type="dxa" w:w="798"/>
            <w:vAlign w:val="center"/>
            <w:tcMar>
              <w:top w:w="100" w:type="dxa"/>
              <w:left w:w="100" w:type="dxa"/>
              <w:bottom w:w="100" w:type="dxa"/>
              <w:right w:w="100" w:type="dxa"/>
            </w:tcMar>
          </w:tcPr>
          <w:p>
            <w:pPr>
              <w:spacing w:after="0" w:line="240" w:lineRule="auto"/>
              <w:jc w:val="right"/>
            </w:pPr>
            <w:r>
              <w:rPr>
                <w:rFonts w:ascii="Calibri" w:hAnsi="Calibri" w:cs="Calibri"/>
                <w:sz w:val="20"/>
              </w:rPr>
              <w:t>10 %</w:t>
            </w:r>
          </w:p>
        </w:tc>
        <w:tc>
          <w:tcPr>
            <w:tcW w:type="dxa" w:w="3377"/>
            <w:vAlign w:val="center"/>
            <w:tcMar>
              <w:top w:w="100" w:type="dxa"/>
              <w:left w:w="100" w:type="dxa"/>
              <w:bottom w:w="100" w:type="dxa"/>
              <w:right w:w="100" w:type="dxa"/>
            </w:tcMar>
          </w:tcPr>
          <w:p>
            <w:pPr>
              <w:spacing w:after="0" w:line="240" w:lineRule="auto"/>
              <w:jc w:val="left"/>
            </w:pPr>
            <w:r>
              <w:rPr>
                <w:rFonts w:ascii="Calibri" w:hAnsi="Calibri" w:cs="Calibri"/>
                <w:sz w:val="20"/>
              </w:rPr>
              <w:t>REM de agosto de 2026, mediana. 2029 y 2030, extrapolados</w:t>
            </w:r>
          </w:p>
        </w:tc>
      </w:tr>
      <w:tr>
        <w:tc>
          <w:tcPr>
            <w:tcW w:type="dxa" w:w="1892"/>
            <w:vAlign w:val="center"/>
            <w:tcMar>
              <w:top w:w="100" w:type="dxa"/>
              <w:left w:w="100" w:type="dxa"/>
              <w:bottom w:w="100" w:type="dxa"/>
              <w:right w:w="100" w:type="dxa"/>
            </w:tcMar>
          </w:tcPr>
          <w:p>
            <w:pPr>
              <w:spacing w:after="0" w:line="240" w:lineRule="auto"/>
              <w:jc w:val="left"/>
            </w:pPr>
            <w:r>
              <w:rPr>
                <w:rFonts w:ascii="Calibri" w:hAnsi="Calibri" w:cs="Calibri"/>
                <w:sz w:val="20"/>
              </w:rPr>
              <w:t>Tipo de cambio promedio (ARS/USD)</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1.800</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2.050</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2.300</w:t>
            </w:r>
          </w:p>
        </w:tc>
        <w:tc>
          <w:tcPr>
            <w:tcW w:type="dxa" w:w="798"/>
            <w:vAlign w:val="center"/>
            <w:tcMar>
              <w:top w:w="100" w:type="dxa"/>
              <w:left w:w="100" w:type="dxa"/>
              <w:bottom w:w="100" w:type="dxa"/>
              <w:right w:w="100" w:type="dxa"/>
            </w:tcMar>
          </w:tcPr>
          <w:p>
            <w:pPr>
              <w:spacing w:after="0" w:line="240" w:lineRule="auto"/>
              <w:jc w:val="right"/>
            </w:pPr>
            <w:r>
              <w:rPr>
                <w:rFonts w:ascii="Calibri" w:hAnsi="Calibri" w:cs="Calibri"/>
                <w:sz w:val="20"/>
              </w:rPr>
              <w:t>2.530</w:t>
            </w:r>
          </w:p>
        </w:tc>
        <w:tc>
          <w:tcPr>
            <w:tcW w:type="dxa" w:w="3377"/>
            <w:vAlign w:val="center"/>
            <w:tcMar>
              <w:top w:w="100" w:type="dxa"/>
              <w:left w:w="100" w:type="dxa"/>
              <w:bottom w:w="100" w:type="dxa"/>
              <w:right w:w="100" w:type="dxa"/>
            </w:tcMar>
          </w:tcPr>
          <w:p>
            <w:pPr>
              <w:spacing w:after="0" w:line="240" w:lineRule="auto"/>
              <w:jc w:val="left"/>
            </w:pPr>
            <w:r>
              <w:rPr>
                <w:rFonts w:ascii="Calibri" w:hAnsi="Calibri" w:cs="Calibri"/>
                <w:sz w:val="20"/>
              </w:rPr>
              <w:t>REM de agosto de 2026: 1.661 en enero de 2027 y 1.844 a doce meses. El promedio anual sale de esa senda</w:t>
            </w:r>
          </w:p>
        </w:tc>
      </w:tr>
      <w:tr>
        <w:tc>
          <w:tcPr>
            <w:tcW w:type="dxa" w:w="1892"/>
            <w:vAlign w:val="center"/>
            <w:tcMar>
              <w:top w:w="100" w:type="dxa"/>
              <w:left w:w="100" w:type="dxa"/>
              <w:bottom w:w="100" w:type="dxa"/>
              <w:right w:w="100" w:type="dxa"/>
            </w:tcMar>
          </w:tcPr>
          <w:p>
            <w:pPr>
              <w:spacing w:after="0" w:line="240" w:lineRule="auto"/>
              <w:jc w:val="left"/>
            </w:pPr>
            <w:r>
              <w:rPr>
                <w:rFonts w:ascii="Calibri" w:hAnsi="Calibri" w:cs="Calibri"/>
                <w:sz w:val="20"/>
              </w:rPr>
              <w:t>Tasa de interés de referencia</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21 %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16 %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13,5 %</w:t>
            </w:r>
          </w:p>
        </w:tc>
        <w:tc>
          <w:tcPr>
            <w:tcW w:type="dxa" w:w="798"/>
            <w:vAlign w:val="center"/>
            <w:tcMar>
              <w:top w:w="100" w:type="dxa"/>
              <w:left w:w="100" w:type="dxa"/>
              <w:bottom w:w="100" w:type="dxa"/>
              <w:right w:w="100" w:type="dxa"/>
            </w:tcMar>
          </w:tcPr>
          <w:p>
            <w:pPr>
              <w:spacing w:after="0" w:line="240" w:lineRule="auto"/>
              <w:jc w:val="right"/>
            </w:pPr>
            <w:r>
              <w:rPr>
                <w:rFonts w:ascii="Calibri" w:hAnsi="Calibri" w:cs="Calibri"/>
                <w:sz w:val="20"/>
              </w:rPr>
              <w:t>12 %</w:t>
            </w:r>
          </w:p>
        </w:tc>
        <w:tc>
          <w:tcPr>
            <w:tcW w:type="dxa" w:w="3377"/>
            <w:vAlign w:val="center"/>
            <w:tcMar>
              <w:top w:w="100" w:type="dxa"/>
              <w:left w:w="100" w:type="dxa"/>
              <w:bottom w:w="100" w:type="dxa"/>
              <w:right w:w="100" w:type="dxa"/>
            </w:tcMar>
          </w:tcPr>
          <w:p>
            <w:pPr>
              <w:spacing w:after="0" w:line="240" w:lineRule="auto"/>
              <w:jc w:val="left"/>
            </w:pPr>
            <w:r>
              <w:rPr>
                <w:rFonts w:ascii="Calibri" w:hAnsi="Calibri" w:cs="Calibri"/>
                <w:sz w:val="20"/>
              </w:rPr>
              <w:t>REM de agosto de 2026: TAMAR 23,45 % TNA a diciembre de 2026. El resto continúa esa baja</w:t>
            </w:r>
          </w:p>
        </w:tc>
      </w:tr>
      <w:tr>
        <w:tc>
          <w:tcPr>
            <w:tcW w:type="dxa" w:w="1892"/>
            <w:vAlign w:val="center"/>
            <w:tcMar>
              <w:top w:w="100" w:type="dxa"/>
              <w:left w:w="100" w:type="dxa"/>
              <w:bottom w:w="100" w:type="dxa"/>
              <w:right w:w="100" w:type="dxa"/>
            </w:tcMar>
          </w:tcPr>
          <w:p>
            <w:pPr>
              <w:spacing w:after="0" w:line="240" w:lineRule="auto"/>
              <w:jc w:val="left"/>
            </w:pPr>
            <w:r>
              <w:rPr>
                <w:rFonts w:ascii="Calibri" w:hAnsi="Calibri" w:cs="Calibri"/>
                <w:sz w:val="20"/>
              </w:rPr>
              <w:t>Puntos de precio de lista sobre la inflación</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3 %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3 %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3 %</w:t>
            </w:r>
          </w:p>
        </w:tc>
        <w:tc>
          <w:tcPr>
            <w:tcW w:type="dxa" w:w="798"/>
            <w:vAlign w:val="center"/>
            <w:tcMar>
              <w:top w:w="100" w:type="dxa"/>
              <w:left w:w="100" w:type="dxa"/>
              <w:bottom w:w="100" w:type="dxa"/>
              <w:right w:w="100" w:type="dxa"/>
            </w:tcMar>
          </w:tcPr>
          <w:p>
            <w:pPr>
              <w:spacing w:after="0" w:line="240" w:lineRule="auto"/>
              <w:jc w:val="right"/>
            </w:pPr>
            <w:r>
              <w:rPr>
                <w:rFonts w:ascii="Calibri" w:hAnsi="Calibri" w:cs="Calibri"/>
                <w:sz w:val="20"/>
              </w:rPr>
              <w:t>3 %</w:t>
            </w:r>
          </w:p>
        </w:tc>
        <w:tc>
          <w:tcPr>
            <w:tcW w:type="dxa" w:w="3377"/>
            <w:vAlign w:val="center"/>
            <w:tcMar>
              <w:top w:w="100" w:type="dxa"/>
              <w:left w:w="100" w:type="dxa"/>
              <w:bottom w:w="100" w:type="dxa"/>
              <w:right w:w="100" w:type="dxa"/>
            </w:tcMar>
          </w:tcPr>
          <w:p>
            <w:pPr>
              <w:spacing w:after="0" w:line="240" w:lineRule="auto"/>
              <w:jc w:val="left"/>
            </w:pPr>
            <w:r>
              <w:rPr>
                <w:rFonts w:ascii="Calibri" w:hAnsi="Calibri" w:cs="Calibri"/>
                <w:sz w:val="20"/>
              </w:rPr>
              <w:t>Decisión propia: la lista se revisa por trimestre y va por encima de la inflación para que el precio real no se licúe</w:t>
            </w:r>
          </w:p>
        </w:tc>
      </w:tr>
      <w:tr>
        <w:tc>
          <w:tcPr>
            <w:tcW w:type="dxa" w:w="1892"/>
            <w:vAlign w:val="center"/>
            <w:tcMar>
              <w:top w:w="100" w:type="dxa"/>
              <w:left w:w="100" w:type="dxa"/>
              <w:bottom w:w="100" w:type="dxa"/>
              <w:right w:w="100" w:type="dxa"/>
            </w:tcMar>
          </w:tcPr>
          <w:p>
            <w:pPr>
              <w:spacing w:after="0" w:line="240" w:lineRule="auto"/>
              <w:jc w:val="left"/>
            </w:pPr>
            <w:r>
              <w:rPr>
                <w:rFonts w:ascii="Calibri" w:hAnsi="Calibri" w:cs="Calibri"/>
                <w:sz w:val="20"/>
              </w:rPr>
              <w:t>Aumento anual de precios de lista</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23,5 %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17,1 %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15 %</w:t>
            </w:r>
          </w:p>
        </w:tc>
        <w:tc>
          <w:tcPr>
            <w:tcW w:type="dxa" w:w="798"/>
            <w:vAlign w:val="center"/>
            <w:tcMar>
              <w:top w:w="100" w:type="dxa"/>
              <w:left w:w="100" w:type="dxa"/>
              <w:bottom w:w="100" w:type="dxa"/>
              <w:right w:w="100" w:type="dxa"/>
            </w:tcMar>
          </w:tcPr>
          <w:p>
            <w:pPr>
              <w:spacing w:after="0" w:line="240" w:lineRule="auto"/>
              <w:jc w:val="right"/>
            </w:pPr>
            <w:r>
              <w:rPr>
                <w:rFonts w:ascii="Calibri" w:hAnsi="Calibri" w:cs="Calibri"/>
                <w:sz w:val="20"/>
              </w:rPr>
              <w:t>13 %</w:t>
            </w:r>
          </w:p>
        </w:tc>
        <w:tc>
          <w:tcPr>
            <w:tcW w:type="dxa" w:w="3377"/>
            <w:vAlign w:val="center"/>
            <w:tcMar>
              <w:top w:w="100" w:type="dxa"/>
              <w:left w:w="100" w:type="dxa"/>
              <w:bottom w:w="100" w:type="dxa"/>
              <w:right w:w="100" w:type="dxa"/>
            </w:tcMar>
          </w:tcPr>
          <w:p>
            <w:pPr>
              <w:spacing w:after="0" w:line="240" w:lineRule="auto"/>
              <w:jc w:val="left"/>
            </w:pPr>
            <w:r>
              <w:rPr>
                <w:rFonts w:ascii="Calibri" w:hAnsi="Calibri" w:cs="Calibri"/>
                <w:sz w:val="20"/>
              </w:rPr>
              <w:t>Calculado</w:t>
            </w:r>
            <w:r>
              <w:rPr>
                <w:rFonts w:ascii="Calibri" w:hAnsi="Calibri" w:cs="Calibri"/>
                <w:sz w:val="20"/>
              </w:rPr>
              <w:t>: inflación más los puntos de arriba</w:t>
            </w:r>
          </w:p>
        </w:tc>
      </w:tr>
      <w:tr>
        <w:tc>
          <w:tcPr>
            <w:tcW w:type="dxa" w:w="1892"/>
            <w:vAlign w:val="center"/>
            <w:tcMar>
              <w:top w:w="100" w:type="dxa"/>
              <w:left w:w="100" w:type="dxa"/>
              <w:bottom w:w="100" w:type="dxa"/>
              <w:right w:w="100" w:type="dxa"/>
            </w:tcMar>
          </w:tcPr>
          <w:p>
            <w:pPr>
              <w:spacing w:after="0" w:line="240" w:lineRule="auto"/>
              <w:jc w:val="left"/>
            </w:pPr>
            <w:r>
              <w:rPr>
                <w:rFonts w:ascii="Calibri" w:hAnsi="Calibri" w:cs="Calibri"/>
                <w:sz w:val="20"/>
              </w:rPr>
              <w:t>Puntos de salario sobre la inflación</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5 %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5 %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5 %</w:t>
            </w:r>
          </w:p>
        </w:tc>
        <w:tc>
          <w:tcPr>
            <w:tcW w:type="dxa" w:w="798"/>
            <w:vAlign w:val="center"/>
            <w:tcMar>
              <w:top w:w="100" w:type="dxa"/>
              <w:left w:w="100" w:type="dxa"/>
              <w:bottom w:w="100" w:type="dxa"/>
              <w:right w:w="100" w:type="dxa"/>
            </w:tcMar>
          </w:tcPr>
          <w:p>
            <w:pPr>
              <w:spacing w:after="0" w:line="240" w:lineRule="auto"/>
              <w:jc w:val="right"/>
            </w:pPr>
            <w:r>
              <w:rPr>
                <w:rFonts w:ascii="Calibri" w:hAnsi="Calibri" w:cs="Calibri"/>
                <w:sz w:val="20"/>
              </w:rPr>
              <w:t>5 %</w:t>
            </w:r>
          </w:p>
        </w:tc>
        <w:tc>
          <w:tcPr>
            <w:tcW w:type="dxa" w:w="3377"/>
            <w:vAlign w:val="center"/>
            <w:tcMar>
              <w:top w:w="100" w:type="dxa"/>
              <w:left w:w="100" w:type="dxa"/>
              <w:bottom w:w="100" w:type="dxa"/>
              <w:right w:w="100" w:type="dxa"/>
            </w:tcMar>
          </w:tcPr>
          <w:p>
            <w:pPr>
              <w:spacing w:after="0" w:line="240" w:lineRule="auto"/>
              <w:jc w:val="left"/>
            </w:pPr>
            <w:r>
              <w:rPr>
                <w:rFonts w:ascii="Calibri" w:hAnsi="Calibri" w:cs="Calibri"/>
                <w:sz w:val="20"/>
              </w:rPr>
              <w:t>Decisión propia: es la recomposición real que viene mostrando el sector</w:t>
            </w:r>
          </w:p>
        </w:tc>
      </w:tr>
      <w:tr>
        <w:tc>
          <w:tcPr>
            <w:tcW w:type="dxa" w:w="1892"/>
            <w:vAlign w:val="center"/>
            <w:tcMar>
              <w:top w:w="100" w:type="dxa"/>
              <w:left w:w="100" w:type="dxa"/>
              <w:bottom w:w="100" w:type="dxa"/>
              <w:right w:w="100" w:type="dxa"/>
            </w:tcMar>
          </w:tcPr>
          <w:p>
            <w:pPr>
              <w:spacing w:after="0" w:line="240" w:lineRule="auto"/>
              <w:jc w:val="left"/>
            </w:pPr>
            <w:r>
              <w:rPr>
                <w:rFonts w:ascii="Calibri" w:hAnsi="Calibri" w:cs="Calibri"/>
                <w:sz w:val="20"/>
              </w:rPr>
              <w:t>Aumento anual de salarios</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25,5 %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19,1 %</w:t>
            </w:r>
          </w:p>
        </w:tc>
        <w:tc>
          <w:tcPr>
            <w:tcW w:type="dxa" w:w="813"/>
            <w:vAlign w:val="center"/>
            <w:tcMar>
              <w:top w:w="100" w:type="dxa"/>
              <w:left w:w="100" w:type="dxa"/>
              <w:bottom w:w="100" w:type="dxa"/>
              <w:right w:w="100" w:type="dxa"/>
            </w:tcMar>
          </w:tcPr>
          <w:p>
            <w:pPr>
              <w:spacing w:after="0" w:line="240" w:lineRule="auto"/>
              <w:jc w:val="right"/>
            </w:pPr>
            <w:r>
              <w:rPr>
                <w:rFonts w:ascii="Calibri" w:hAnsi="Calibri" w:cs="Calibri"/>
                <w:sz w:val="20"/>
              </w:rPr>
              <w:t>17 %</w:t>
            </w:r>
          </w:p>
        </w:tc>
        <w:tc>
          <w:tcPr>
            <w:tcW w:type="dxa" w:w="798"/>
            <w:vAlign w:val="center"/>
            <w:tcMar>
              <w:top w:w="100" w:type="dxa"/>
              <w:left w:w="100" w:type="dxa"/>
              <w:bottom w:w="100" w:type="dxa"/>
              <w:right w:w="100" w:type="dxa"/>
            </w:tcMar>
          </w:tcPr>
          <w:p>
            <w:pPr>
              <w:spacing w:after="0" w:line="240" w:lineRule="auto"/>
              <w:jc w:val="right"/>
            </w:pPr>
            <w:r>
              <w:rPr>
                <w:rFonts w:ascii="Calibri" w:hAnsi="Calibri" w:cs="Calibri"/>
                <w:sz w:val="20"/>
              </w:rPr>
              <w:t>15 %</w:t>
            </w:r>
          </w:p>
        </w:tc>
        <w:tc>
          <w:tcPr>
            <w:tcW w:type="dxa" w:w="3377"/>
            <w:vAlign w:val="center"/>
            <w:tcMar>
              <w:top w:w="100" w:type="dxa"/>
              <w:left w:w="100" w:type="dxa"/>
              <w:bottom w:w="100" w:type="dxa"/>
              <w:right w:w="100" w:type="dxa"/>
            </w:tcMar>
          </w:tcPr>
          <w:p>
            <w:pPr>
              <w:spacing w:after="0" w:line="240" w:lineRule="auto"/>
              <w:jc w:val="left"/>
            </w:pPr>
            <w:r>
              <w:rPr>
                <w:rFonts w:ascii="Calibri" w:hAnsi="Calibri" w:cs="Calibri"/>
                <w:sz w:val="20"/>
              </w:rPr>
              <w:t>Calculado</w:t>
            </w:r>
            <w:r>
              <w:rPr>
                <w:rFonts w:ascii="Calibri" w:hAnsi="Calibri" w:cs="Calibri"/>
                <w:sz w:val="20"/>
              </w:rPr>
              <w:t>: inflación más los puntos de arriba</w:t>
            </w:r>
          </w:p>
        </w:tc>
      </w:tr>
    </w:tbl>
    <w:p>
      <w:pPr>
        <w:jc w:val="both"/>
      </w:pPr>
      <w:r>
        <w:rPr>
          <w:rFonts w:ascii="Calibri" w:hAnsi="Calibri" w:cs="Calibri"/>
        </w:rPr>
        <w:t xml:space="preserve">Las dos últimas filas </w:t>
      </w:r>
      <w:r>
        <w:rPr>
          <w:rFonts w:ascii="Calibri" w:hAnsi="Calibri" w:cs="Calibri"/>
        </w:rPr>
        <w:t>se calculan, no se cargan</w:t>
      </w:r>
      <w:r>
        <w:rPr>
          <w:rFonts w:ascii="Calibri" w:hAnsi="Calibri" w:cs="Calibri"/>
        </w:rPr>
        <w:t>, y conviene decir por qué: antes estaban tipeadas con la cuenta ya hecha —23,5 % y 25,5 %— y coincidían con la inflación más tres y más cinco puntos porque alguien había hecho esa suma una sola vez. Cambiar la inflación no las movía. Ahora la decisión propia es la prima, y el aumento sale de sumarla: el modelo responde al supuesto en lugar de repetirlo. Lo mismo con la tasa de corte del valor actual neto, que pasa a ser la inflación del primer año más una prima de riesgo de 20 puntos —40,5 %— en lugar del 60 % que arrastraba de cuando la inflación proyectada era del 35 %.</w:t>
      </w:r>
    </w:p>
    <w:p>
      <w:pPr>
        <w:jc w:val="both"/>
      </w:pPr>
      <w:r>
        <w:rPr>
          <w:rFonts w:ascii="Calibri" w:hAnsi="Calibri" w:cs="Calibri"/>
        </w:rPr>
        <w:t xml:space="preserve">El tipo de cambio no es decorativo, y se puede comprobar en la planilla: la infraestructura en la nube y el servicio externo de inteligencia artificial se pagan en dólares, así que esos dos conceptos del costo variable </w:t>
      </w:r>
      <w:r>
        <w:rPr>
          <w:rFonts w:ascii="Calibri" w:hAnsi="Calibri" w:cs="Calibri"/>
        </w:rPr>
        <w:t>se ajustan por el tipo de cambio y no por la inflación</w:t>
      </w:r>
      <w:r>
        <w:rPr>
          <w:rFonts w:ascii="Calibri" w:hAnsi="Calibri" w:cs="Calibri"/>
        </w:rPr>
        <w:t>. El tercero —soporte y onboarding— es trabajo local y sigue al índice de salarios. Ajustar los tres por inflación, como estaban antes, encarecía en dólares un servicio contratado en dólares cada vez que la inflación superaba a la devaluación.</w:t>
      </w:r>
    </w:p>
    <w:p>
      <w:pPr>
        <w:jc w:val="both"/>
      </w:pPr>
      <w:r>
        <w:rPr>
          <w:rFonts w:ascii="Calibri" w:hAnsi="Calibri" w:cs="Calibri"/>
        </w:rPr>
        <w:t>El aumento de precios va deliberadamente por encima de la inflación proyectada y el de salarios por encima de los dos. Es el supuesto que más aprieta el margen a partir del tercer año, cuando los cuatro roles funcionales pasan a estar cubiertos por personas distintas. Es la elección conservadora: si los salarios crecieran igual que los precios, el resultado del modelo mejoraría.</w:t>
      </w:r>
    </w:p>
    <w:p>
      <w:pPr>
        <w:pStyle w:val="Ttulo2"/>
        <w:jc w:val="both"/>
      </w:pPr>
      <w:r>
        <w:rPr>
          <w:rFonts w:ascii="Calibri" w:hAnsi="Calibri" w:cs="Calibri"/>
          <w:b/>
          <w:color w:val="000000"/>
        </w:rPr>
        <w:t>2.2. Mercado meta</w:t>
      </w:r>
    </w:p>
    <w:p>
      <w:pPr>
        <w:jc w:val="both"/>
      </w:pPr>
      <w:r>
        <w:rPr>
          <w:rFonts w:ascii="Calibri" w:hAnsi="Calibri" w:cs="Calibri"/>
        </w:rPr>
        <w:t>El universo ya no se carga: se deriva.</w:t>
      </w:r>
      <w:r>
        <w:rPr>
          <w:rFonts w:ascii="Calibri" w:hAnsi="Calibri" w:cs="Calibri"/>
        </w:rPr>
        <w:t xml:space="preserve"> Era la única fila de esta entrega sin fuente, y de ella cuelga toda la sección de mercado —si el denominador no se puede sostener, la participación tampoco—.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tblHeader/>
        </w:trPr>
        <w:tc>
          <w:tcPr>
            <w:tcW w:type="dxa" w:w="304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Variable</w:t>
            </w:r>
          </w:p>
        </w:tc>
        <w:tc>
          <w:tcPr>
            <w:tcW w:type="dxa" w:w="155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Valor</w:t>
            </w:r>
          </w:p>
        </w:tc>
        <w:tc>
          <w:tcPr>
            <w:tcW w:type="dxa" w:w="3902"/>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Fuente</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PyMEs empleadoras en el país</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549.100</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SEPYME / CEP XXI, 2023</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de 10 a 49 empleados</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12 %</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SEPYME: 85 % micro de 1 a 9, 12 % pequeñas, 2,5 % medianas</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microempresas de 1 a 9 empleados</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85 %</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SEPYME</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de esas microempresas, las de 5 a 9</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20 %</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Supuesto propio</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Participación de CABA</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17,2 %</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SEPYME, 2023</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Participación de la provincia de Buenos Aires</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32,3 %</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SEPYME, 2023</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de la Provincia, lo que cae dentro del AMBA</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75 %</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Supuesto propio</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PyMEs de 5 a 50 empleados en AMBA</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65.965</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Calculado</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Con dependencia operativa alta de sus equipos</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32 %</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Servicios profesionales, salud, educación privada y comercio digitalizado</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Mercado meta alcanzable</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21.109</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Calculado</w:t>
            </w:r>
          </w:p>
        </w:tc>
      </w:tr>
      <w:tr>
        <w:tc>
          <w:tcPr>
            <w:tcW w:type="dxa" w:w="3046"/>
            <w:vAlign w:val="center"/>
            <w:tcMar>
              <w:top w:w="100" w:type="dxa"/>
              <w:left w:w="100" w:type="dxa"/>
              <w:bottom w:w="100" w:type="dxa"/>
              <w:right w:w="100" w:type="dxa"/>
            </w:tcMar>
          </w:tcPr>
          <w:p>
            <w:pPr>
              <w:spacing w:after="0" w:line="240" w:lineRule="auto"/>
              <w:jc w:val="left"/>
            </w:pPr>
            <w:r>
              <w:rPr>
                <w:rFonts w:ascii="Calibri" w:hAnsi="Calibri" w:cs="Calibri"/>
                <w:sz w:val="20"/>
              </w:rPr>
              <w:t>Participación objetivo al año 4</w:t>
            </w:r>
          </w:p>
        </w:tc>
        <w:tc>
          <w:tcPr>
            <w:tcW w:type="dxa" w:w="1556"/>
            <w:vAlign w:val="center"/>
            <w:tcMar>
              <w:top w:w="100" w:type="dxa"/>
              <w:left w:w="100" w:type="dxa"/>
              <w:bottom w:w="100" w:type="dxa"/>
              <w:right w:w="100" w:type="dxa"/>
            </w:tcMar>
          </w:tcPr>
          <w:p>
            <w:pPr>
              <w:spacing w:after="0" w:line="240" w:lineRule="auto"/>
              <w:jc w:val="right"/>
            </w:pPr>
            <w:r>
              <w:rPr>
                <w:rFonts w:ascii="Calibri" w:hAnsi="Calibri" w:cs="Calibri"/>
                <w:sz w:val="20"/>
              </w:rPr>
              <w:t>1,4 %</w:t>
            </w:r>
          </w:p>
        </w:tc>
        <w:tc>
          <w:tcPr>
            <w:tcW w:type="dxa" w:w="3902"/>
            <w:vAlign w:val="center"/>
            <w:tcMar>
              <w:top w:w="100" w:type="dxa"/>
              <w:left w:w="100" w:type="dxa"/>
              <w:bottom w:w="100" w:type="dxa"/>
              <w:right w:w="100" w:type="dxa"/>
            </w:tcMar>
          </w:tcPr>
          <w:p>
            <w:pPr>
              <w:spacing w:after="0" w:line="240" w:lineRule="auto"/>
              <w:jc w:val="left"/>
            </w:pPr>
            <w:r>
              <w:rPr>
                <w:rFonts w:ascii="Calibri" w:hAnsi="Calibri" w:cs="Calibri"/>
                <w:sz w:val="20"/>
              </w:rPr>
              <w:t>Decisión propia</w:t>
            </w:r>
          </w:p>
        </w:tc>
      </w:tr>
    </w:tbl>
    <w:p>
      <w:pPr>
        <w:jc w:val="both"/>
      </w:pPr>
      <w:r>
        <w:rPr>
          <w:rFonts w:ascii="Calibri" w:hAnsi="Calibri" w:cs="Calibri"/>
        </w:rPr>
        <w:t xml:space="preserve">La cuenta es: las pequeñas de 10 a 49 —65.892— más el tramo de 5 a 9 de las microempresas —93.347—, por la participación del AMBA —17,2 % de CABA más el 75 % del 32,3 % de la Provincia, o sea 41,4 %—. Da </w:t>
      </w:r>
      <w:r>
        <w:rPr>
          <w:rFonts w:ascii="Calibri" w:hAnsi="Calibri" w:cs="Calibri"/>
        </w:rPr>
        <w:t>65.965</w:t>
      </w:r>
      <w:r>
        <w:rPr>
          <w:rFonts w:ascii="Calibri" w:hAnsi="Calibri" w:cs="Calibri"/>
        </w:rPr>
        <w:t>.</w:t>
      </w:r>
    </w:p>
    <w:p>
      <w:pPr>
        <w:jc w:val="both"/>
      </w:pPr>
      <w:r>
        <w:rPr>
          <w:rFonts w:ascii="Calibri" w:hAnsi="Calibri" w:cs="Calibri"/>
        </w:rPr>
        <w:t>Los dos supuestos propios están declarados aparte a propósito</w:t>
      </w:r>
      <w:r>
        <w:rPr>
          <w:rFonts w:ascii="Calibri" w:hAnsi="Calibri" w:cs="Calibri"/>
        </w:rPr>
        <w:t>, porque son los que mueven el resultado. Las estadísticas oficiales cortan los tramos en 1–9 y 10–49, y el segmento objetivo del proyecto arranca en 5: cuánto del tramo micro cae por encima de 5 empleados es una estimación, no un dato. Lo mismo con el AMBA: la estadística informa por provincia, y los 24 partidos del Gran Buenos Aires no son toda la Provincia.</w:t>
      </w:r>
    </w:p>
    <w:p>
      <w:pPr>
        <w:jc w:val="both"/>
      </w:pPr>
      <w:r>
        <w:rPr>
          <w:rFonts w:ascii="Calibri" w:hAnsi="Calibri" w:cs="Calibri"/>
        </w:rPr>
        <w:t xml:space="preserve">Con esos dos supuestos el resultado se mueve entre 63.000 y 73.000. Se toma el valor que sale de los supuestos conservadores y no el del medio del rango: bajar el universo </w:t>
      </w:r>
      <w:r>
        <w:rPr>
          <w:rFonts w:ascii="Calibri" w:hAnsi="Calibri" w:cs="Calibri"/>
        </w:rPr>
        <w:t>hace más exigente</w:t>
      </w:r>
      <w:r>
        <w:rPr>
          <w:rFonts w:ascii="Calibri" w:hAnsi="Calibri" w:cs="Calibri"/>
        </w:rPr>
        <w:t xml:space="preserve"> el objetivo de participación, no menos. El plan traía 72.000, que es el techo de ese rango y no tenía de dónde salir.</w:t>
      </w:r>
    </w:p>
    <w:p>
      <w:pPr>
        <w:jc w:val="both"/>
      </w:pPr>
      <w:r>
        <w:rPr>
          <w:rFonts w:ascii="Calibri" w:hAnsi="Calibri" w:cs="Calibri"/>
        </w:rPr>
        <w:t>El contraste con el punto de equilibrio: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tblHeader/>
        </w:trPr>
        <w:tc>
          <w:tcPr>
            <w:tcW w:type="dxa" w:w="4290"/>
            <w:vAlign w:val="center"/>
            <w:tcMar>
              <w:top w:w="100" w:type="dxa"/>
              <w:left w:w="100" w:type="dxa"/>
              <w:bottom w:w="100" w:type="dxa"/>
              <w:right w:w="100" w:type="dxa"/>
            </w:tcMar>
            <w:tcBorders>
              <w:bottom w:val="single" w:sz="18" w:space="0" w:color="000000"/>
            </w:tcBorders>
          </w:tcPr>
          <w:p>
            <w:pPr>
              <w:spacing w:after="0" w:line="240" w:lineRule="auto"/>
              <w:jc w:val="center"/>
            </w:pPr>
          </w:p>
        </w:tc>
        <w:tc>
          <w:tcPr>
            <w:tcW w:type="dxa" w:w="141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Clientes</w:t>
            </w:r>
          </w:p>
        </w:tc>
        <w:tc>
          <w:tcPr>
            <w:tcW w:type="dxa" w:w="279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Participación sobre 21.109</w:t>
            </w:r>
          </w:p>
        </w:tc>
      </w:tr>
      <w:tr>
        <w:tc>
          <w:tcPr>
            <w:tcW w:type="dxa" w:w="4290"/>
            <w:vAlign w:val="center"/>
            <w:tcMar>
              <w:top w:w="100" w:type="dxa"/>
              <w:left w:w="100" w:type="dxa"/>
              <w:bottom w:w="100" w:type="dxa"/>
              <w:right w:w="100" w:type="dxa"/>
            </w:tcMar>
          </w:tcPr>
          <w:p>
            <w:pPr>
              <w:spacing w:after="0" w:line="240" w:lineRule="auto"/>
              <w:jc w:val="left"/>
            </w:pPr>
            <w:r>
              <w:rPr>
                <w:rFonts w:ascii="Calibri" w:hAnsi="Calibri" w:cs="Calibri"/>
                <w:sz w:val="20"/>
              </w:rPr>
              <w:t>Para cubrir la estructura (equilibrio operativo, mayo de 2029)</w:t>
            </w:r>
          </w:p>
        </w:tc>
        <w:tc>
          <w:tcPr>
            <w:tcW w:type="dxa" w:w="1419"/>
            <w:vAlign w:val="center"/>
            <w:tcMar>
              <w:top w:w="100" w:type="dxa"/>
              <w:left w:w="100" w:type="dxa"/>
              <w:bottom w:w="100" w:type="dxa"/>
              <w:right w:w="100" w:type="dxa"/>
            </w:tcMar>
          </w:tcPr>
          <w:p>
            <w:pPr>
              <w:spacing w:after="0" w:line="240" w:lineRule="auto"/>
              <w:jc w:val="right"/>
            </w:pPr>
            <w:r>
              <w:rPr>
                <w:rFonts w:ascii="Calibri" w:hAnsi="Calibri" w:cs="Calibri"/>
                <w:sz w:val="20"/>
              </w:rPr>
              <w:t>135</w:t>
            </w:r>
          </w:p>
        </w:tc>
        <w:tc>
          <w:tcPr>
            <w:tcW w:type="dxa" w:w="2796"/>
            <w:vAlign w:val="center"/>
            <w:tcMar>
              <w:top w:w="100" w:type="dxa"/>
              <w:left w:w="100" w:type="dxa"/>
              <w:bottom w:w="100" w:type="dxa"/>
              <w:right w:w="100" w:type="dxa"/>
            </w:tcMar>
          </w:tcPr>
          <w:p>
            <w:pPr>
              <w:spacing w:after="0" w:line="240" w:lineRule="auto"/>
              <w:jc w:val="right"/>
            </w:pPr>
            <w:r>
              <w:rPr>
                <w:rFonts w:ascii="Calibri" w:hAnsi="Calibri" w:cs="Calibri"/>
                <w:sz w:val="20"/>
              </w:rPr>
              <w:t>0,64 %</w:t>
            </w:r>
          </w:p>
        </w:tc>
      </w:tr>
      <w:tr>
        <w:tc>
          <w:tcPr>
            <w:tcW w:type="dxa" w:w="4290"/>
            <w:vAlign w:val="center"/>
            <w:tcMar>
              <w:top w:w="100" w:type="dxa"/>
              <w:left w:w="100" w:type="dxa"/>
              <w:bottom w:w="100" w:type="dxa"/>
              <w:right w:w="100" w:type="dxa"/>
            </w:tcMar>
          </w:tcPr>
          <w:p>
            <w:pPr>
              <w:spacing w:after="0" w:line="240" w:lineRule="auto"/>
              <w:jc w:val="left"/>
            </w:pPr>
            <w:r>
              <w:rPr>
                <w:rFonts w:ascii="Calibri" w:hAnsi="Calibri" w:cs="Calibri"/>
                <w:sz w:val="20"/>
              </w:rPr>
              <w:t>Objetivo declarado al año 4</w:t>
            </w:r>
          </w:p>
        </w:tc>
        <w:tc>
          <w:tcPr>
            <w:tcW w:type="dxa" w:w="1419"/>
            <w:vAlign w:val="center"/>
            <w:tcMar>
              <w:top w:w="100" w:type="dxa"/>
              <w:left w:w="100" w:type="dxa"/>
              <w:bottom w:w="100" w:type="dxa"/>
              <w:right w:w="100" w:type="dxa"/>
            </w:tcMar>
          </w:tcPr>
          <w:p>
            <w:pPr>
              <w:spacing w:after="0" w:line="240" w:lineRule="auto"/>
              <w:jc w:val="right"/>
            </w:pPr>
            <w:r>
              <w:rPr>
                <w:rFonts w:ascii="Calibri" w:hAnsi="Calibri" w:cs="Calibri"/>
                <w:sz w:val="20"/>
              </w:rPr>
              <w:t>295</w:t>
            </w:r>
          </w:p>
        </w:tc>
        <w:tc>
          <w:tcPr>
            <w:tcW w:type="dxa" w:w="2796"/>
            <w:vAlign w:val="center"/>
            <w:tcMar>
              <w:top w:w="100" w:type="dxa"/>
              <w:left w:w="100" w:type="dxa"/>
              <w:bottom w:w="100" w:type="dxa"/>
              <w:right w:w="100" w:type="dxa"/>
            </w:tcMar>
          </w:tcPr>
          <w:p>
            <w:pPr>
              <w:spacing w:after="0" w:line="240" w:lineRule="auto"/>
              <w:jc w:val="right"/>
            </w:pPr>
            <w:r>
              <w:rPr>
                <w:rFonts w:ascii="Calibri" w:hAnsi="Calibri" w:cs="Calibri"/>
                <w:sz w:val="20"/>
              </w:rPr>
              <w:t>1,40 %</w:t>
            </w:r>
          </w:p>
        </w:tc>
      </w:tr>
      <w:tr>
        <w:tc>
          <w:tcPr>
            <w:tcW w:type="dxa" w:w="4290"/>
            <w:vAlign w:val="center"/>
            <w:tcMar>
              <w:top w:w="100" w:type="dxa"/>
              <w:left w:w="100" w:type="dxa"/>
              <w:bottom w:w="100" w:type="dxa"/>
              <w:right w:w="100" w:type="dxa"/>
            </w:tcMar>
          </w:tcPr>
          <w:p>
            <w:pPr>
              <w:spacing w:after="0" w:line="240" w:lineRule="auto"/>
              <w:jc w:val="left"/>
            </w:pPr>
            <w:r>
              <w:rPr>
                <w:rFonts w:ascii="Calibri" w:hAnsi="Calibri" w:cs="Calibri"/>
                <w:sz w:val="20"/>
              </w:rPr>
              <w:t>Lo que el modelo proyecta al año 4</w:t>
            </w:r>
          </w:p>
        </w:tc>
        <w:tc>
          <w:tcPr>
            <w:tcW w:type="dxa" w:w="1419"/>
            <w:vAlign w:val="center"/>
            <w:tcMar>
              <w:top w:w="100" w:type="dxa"/>
              <w:left w:w="100" w:type="dxa"/>
              <w:bottom w:w="100" w:type="dxa"/>
              <w:right w:w="100" w:type="dxa"/>
            </w:tcMar>
          </w:tcPr>
          <w:p>
            <w:pPr>
              <w:spacing w:after="0" w:line="240" w:lineRule="auto"/>
              <w:jc w:val="right"/>
            </w:pPr>
            <w:r>
              <w:rPr>
                <w:rFonts w:ascii="Calibri" w:hAnsi="Calibri" w:cs="Calibri"/>
                <w:sz w:val="20"/>
              </w:rPr>
              <w:t>350</w:t>
            </w:r>
          </w:p>
        </w:tc>
        <w:tc>
          <w:tcPr>
            <w:tcW w:type="dxa" w:w="2796"/>
            <w:vAlign w:val="center"/>
            <w:tcMar>
              <w:top w:w="100" w:type="dxa"/>
              <w:left w:w="100" w:type="dxa"/>
              <w:bottom w:w="100" w:type="dxa"/>
              <w:right w:w="100" w:type="dxa"/>
            </w:tcMar>
          </w:tcPr>
          <w:p>
            <w:pPr>
              <w:spacing w:after="0" w:line="240" w:lineRule="auto"/>
              <w:jc w:val="right"/>
            </w:pPr>
            <w:r>
              <w:rPr>
                <w:rFonts w:ascii="Calibri" w:hAnsi="Calibri" w:cs="Calibri"/>
                <w:sz w:val="20"/>
              </w:rPr>
              <w:t>1,66 %</w:t>
            </w:r>
          </w:p>
        </w:tc>
      </w:tr>
    </w:tbl>
    <w:p>
      <w:pPr>
        <w:jc w:val="both"/>
      </w:pPr>
      <w:r>
        <w:rPr>
          <w:rFonts w:ascii="Calibri" w:hAnsi="Calibri" w:cs="Calibri"/>
        </w:rPr>
        <w:t xml:space="preserve">El equilibrio necesita menos clientes que los que el plan se propone captar, así que </w:t>
      </w:r>
      <w:r>
        <w:rPr>
          <w:rFonts w:ascii="Calibri" w:hAnsi="Calibri" w:cs="Calibri"/>
        </w:rPr>
        <w:t>el modelo cierra</w:t>
      </w:r>
      <w:r>
        <w:rPr>
          <w:rFonts w:ascii="Calibri" w:hAnsi="Calibri" w:cs="Calibri"/>
        </w:rPr>
        <w:t>: el punto de equilibrio está dentro del objetivo y no fuera de él.</w:t>
      </w:r>
    </w:p>
    <w:p>
      <w:pPr>
        <w:jc w:val="both"/>
      </w:pPr>
      <w:r>
        <w:rPr>
          <w:rFonts w:ascii="Calibri" w:hAnsi="Calibri" w:cs="Calibri"/>
        </w:rPr>
        <w:t>La participación objetivo pasó de 1,1 % a 1,4 %</w:t>
      </w:r>
      <w:r>
        <w:rPr>
          <w:rFonts w:ascii="Calibri" w:hAnsi="Calibri" w:cs="Calibri"/>
        </w:rPr>
        <w:t>, el punto intermedio entre lo que declaraba y el 1,66 % que proyecta el modelo. Las dos puntas estaban movidas: el 1,1 % se escribió antes de tener el embudo armado y quedó corto, y la proyección supone que el embudo sostiene su conversión durante cuatro años seguidos, que es optimista. Corregir sólo una para que coincidieran habría sido acomodar el número.</w:t>
      </w:r>
    </w:p>
    <w:p>
      <w:pPr>
        <w:jc w:val="both"/>
      </w:pPr>
      <w:r>
        <w:rPr>
          <w:rFonts w:ascii="Calibri" w:hAnsi="Calibri" w:cs="Calibri"/>
        </w:rPr>
        <w:t xml:space="preserve">Queda un desvío del 18 % entre objetivo y proyección, declarado. </w:t>
      </w:r>
      <w:r>
        <w:rPr>
          <w:rFonts w:ascii="Calibri" w:hAnsi="Calibri" w:cs="Calibri"/>
        </w:rPr>
        <w:t>El contraste lo calcula el libro</w:t>
      </w:r>
      <w:r>
        <w:rPr>
          <w:rFonts w:ascii="Calibri" w:hAnsi="Calibri" w:cs="Calibri"/>
        </w:rPr>
        <w:t>, al pie de la hoja *Proyección de ventas*: escrito a mano sobreviviría al cambio de hipótesis que lo vuelve falso.</w:t>
      </w:r>
    </w:p>
    <w:p>
      <w:pPr>
        <w:pStyle w:val="Ttulo2"/>
        <w:jc w:val="both"/>
      </w:pPr>
      <w:r>
        <w:rPr>
          <w:rFonts w:ascii="Calibri" w:hAnsi="Calibri" w:cs="Calibri"/>
          <w:b/>
          <w:color w:val="000000"/>
        </w:rPr>
        <w:t>2.3. Embudo comercial</w:t>
      </w:r>
    </w:p>
    <w:p>
      <w:pPr>
        <w:jc w:val="both"/>
      </w:pPr>
      <w:r>
        <w:rPr>
          <w:rFonts w:ascii="Calibri" w:hAnsi="Calibri" w:cs="Calibri"/>
        </w:rPr>
        <w:t>El embudo es autogestionado: la prueba gratuita se inicia desde el sitio, sin demostración en vivo.</w:t>
      </w:r>
      <w:r>
        <w:rPr>
          <w:rFonts w:ascii="Calibri" w:hAnsi="Calibri" w:cs="Calibri"/>
        </w:rPr>
        <w:t xml:space="preserve"> Es un cambio respecto de la sección 5.3.5 del documento y conviene explicar por qué, porque es una decisión de modelo de venta y no un ajuste de tasas.</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tblHeader/>
        </w:trPr>
        <w:tc>
          <w:tcPr>
            <w:tcW w:type="dxa" w:w="3448"/>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Etapa</w:t>
            </w:r>
          </w:p>
        </w:tc>
        <w:tc>
          <w:tcPr>
            <w:tcW w:type="dxa" w:w="1327"/>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Tasa</w:t>
            </w:r>
          </w:p>
        </w:tc>
        <w:tc>
          <w:tcPr>
            <w:tcW w:type="dxa" w:w="372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Fuente</w:t>
            </w:r>
          </w:p>
        </w:tc>
      </w:tr>
      <w:tr>
        <w:tc>
          <w:tcPr>
            <w:tcW w:type="dxa" w:w="3448"/>
            <w:vAlign w:val="center"/>
            <w:tcMar>
              <w:top w:w="100" w:type="dxa"/>
              <w:left w:w="100" w:type="dxa"/>
              <w:bottom w:w="100" w:type="dxa"/>
              <w:right w:w="100" w:type="dxa"/>
            </w:tcMar>
          </w:tcPr>
          <w:p>
            <w:pPr>
              <w:spacing w:after="0" w:line="240" w:lineRule="auto"/>
              <w:jc w:val="left"/>
            </w:pPr>
            <w:r>
              <w:rPr>
                <w:rFonts w:ascii="Calibri" w:hAnsi="Calibri" w:cs="Calibri"/>
                <w:sz w:val="20"/>
              </w:rPr>
              <w:t>Visitas a prueba gratuita iniciada</w:t>
            </w:r>
          </w:p>
        </w:tc>
        <w:tc>
          <w:tcPr>
            <w:tcW w:type="dxa" w:w="1327"/>
            <w:vAlign w:val="center"/>
            <w:tcMar>
              <w:top w:w="100" w:type="dxa"/>
              <w:left w:w="100" w:type="dxa"/>
              <w:bottom w:w="100" w:type="dxa"/>
              <w:right w:w="100" w:type="dxa"/>
            </w:tcMar>
          </w:tcPr>
          <w:p>
            <w:pPr>
              <w:spacing w:after="0" w:line="240" w:lineRule="auto"/>
              <w:jc w:val="right"/>
            </w:pPr>
            <w:r>
              <w:rPr>
                <w:rFonts w:ascii="Calibri" w:hAnsi="Calibri" w:cs="Calibri"/>
                <w:sz w:val="20"/>
              </w:rPr>
              <w:t>2,0 %</w:t>
            </w:r>
          </w:p>
        </w:tc>
        <w:tc>
          <w:tcPr>
            <w:tcW w:type="dxa" w:w="3729"/>
            <w:vAlign w:val="center"/>
            <w:tcMar>
              <w:top w:w="100" w:type="dxa"/>
              <w:left w:w="100" w:type="dxa"/>
              <w:bottom w:w="100" w:type="dxa"/>
              <w:right w:w="100" w:type="dxa"/>
            </w:tcMar>
          </w:tcPr>
          <w:p>
            <w:pPr>
              <w:spacing w:after="0" w:line="240" w:lineRule="auto"/>
              <w:jc w:val="left"/>
            </w:pPr>
            <w:r>
              <w:rPr>
                <w:rFonts w:ascii="Calibri" w:hAnsi="Calibri" w:cs="Calibri"/>
                <w:sz w:val="20"/>
              </w:rPr>
              <w:t>Decisión propia; el rango del sector va de 1 % a 3 %</w:t>
            </w:r>
          </w:p>
        </w:tc>
      </w:tr>
      <w:tr>
        <w:tc>
          <w:tcPr>
            <w:tcW w:type="dxa" w:w="3448"/>
            <w:vAlign w:val="center"/>
            <w:tcMar>
              <w:top w:w="100" w:type="dxa"/>
              <w:left w:w="100" w:type="dxa"/>
              <w:bottom w:w="100" w:type="dxa"/>
              <w:right w:w="100" w:type="dxa"/>
            </w:tcMar>
          </w:tcPr>
          <w:p>
            <w:pPr>
              <w:spacing w:after="0" w:line="240" w:lineRule="auto"/>
              <w:jc w:val="left"/>
            </w:pPr>
            <w:r>
              <w:rPr>
                <w:rFonts w:ascii="Calibri" w:hAnsi="Calibri" w:cs="Calibri"/>
                <w:sz w:val="20"/>
              </w:rPr>
              <w:t>Prueba gratuita a cliente pago</w:t>
            </w:r>
          </w:p>
        </w:tc>
        <w:tc>
          <w:tcPr>
            <w:tcW w:type="dxa" w:w="1327"/>
            <w:vAlign w:val="center"/>
            <w:tcMar>
              <w:top w:w="100" w:type="dxa"/>
              <w:left w:w="100" w:type="dxa"/>
              <w:bottom w:w="100" w:type="dxa"/>
              <w:right w:w="100" w:type="dxa"/>
            </w:tcMar>
          </w:tcPr>
          <w:p>
            <w:pPr>
              <w:spacing w:after="0" w:line="240" w:lineRule="auto"/>
              <w:jc w:val="right"/>
            </w:pPr>
            <w:r>
              <w:rPr>
                <w:rFonts w:ascii="Calibri" w:hAnsi="Calibri" w:cs="Calibri"/>
                <w:sz w:val="20"/>
              </w:rPr>
              <w:t>12 %</w:t>
            </w:r>
          </w:p>
        </w:tc>
        <w:tc>
          <w:tcPr>
            <w:tcW w:type="dxa" w:w="3729"/>
            <w:vAlign w:val="center"/>
            <w:tcMar>
              <w:top w:w="100" w:type="dxa"/>
              <w:left w:w="100" w:type="dxa"/>
              <w:bottom w:w="100" w:type="dxa"/>
              <w:right w:w="100" w:type="dxa"/>
            </w:tcMar>
          </w:tcPr>
          <w:p>
            <w:pPr>
              <w:spacing w:after="0" w:line="240" w:lineRule="auto"/>
              <w:jc w:val="left"/>
            </w:pPr>
            <w:r>
              <w:rPr>
                <w:rFonts w:ascii="Calibri" w:hAnsi="Calibri" w:cs="Calibri"/>
                <w:sz w:val="20"/>
              </w:rPr>
              <w:t>Decisión propia</w:t>
            </w:r>
          </w:p>
        </w:tc>
      </w:tr>
      <w:tr>
        <w:tc>
          <w:tcPr>
            <w:tcW w:type="dxa" w:w="3448"/>
            <w:vAlign w:val="center"/>
            <w:tcMar>
              <w:top w:w="100" w:type="dxa"/>
              <w:left w:w="100" w:type="dxa"/>
              <w:bottom w:w="100" w:type="dxa"/>
              <w:right w:w="100" w:type="dxa"/>
            </w:tcMar>
          </w:tcPr>
          <w:p>
            <w:pPr>
              <w:spacing w:after="0" w:line="240" w:lineRule="auto"/>
              <w:jc w:val="left"/>
            </w:pPr>
            <w:r>
              <w:rPr>
                <w:rFonts w:ascii="Calibri" w:hAnsi="Calibri" w:cs="Calibri"/>
                <w:sz w:val="20"/>
              </w:rPr>
              <w:t>Conversión total de visita a cliente</w:t>
            </w:r>
          </w:p>
        </w:tc>
        <w:tc>
          <w:tcPr>
            <w:tcW w:type="dxa" w:w="1327"/>
            <w:vAlign w:val="center"/>
            <w:tcMar>
              <w:top w:w="100" w:type="dxa"/>
              <w:left w:w="100" w:type="dxa"/>
              <w:bottom w:w="100" w:type="dxa"/>
              <w:right w:w="100" w:type="dxa"/>
            </w:tcMar>
          </w:tcPr>
          <w:p>
            <w:pPr>
              <w:spacing w:after="0" w:line="240" w:lineRule="auto"/>
              <w:jc w:val="right"/>
            </w:pPr>
            <w:r>
              <w:rPr>
                <w:rFonts w:ascii="Calibri" w:hAnsi="Calibri" w:cs="Calibri"/>
                <w:sz w:val="20"/>
              </w:rPr>
              <w:t>0,24 %</w:t>
            </w:r>
          </w:p>
        </w:tc>
        <w:tc>
          <w:tcPr>
            <w:tcW w:type="dxa" w:w="3729"/>
            <w:vAlign w:val="center"/>
            <w:tcMar>
              <w:top w:w="100" w:type="dxa"/>
              <w:left w:w="100" w:type="dxa"/>
              <w:bottom w:w="100" w:type="dxa"/>
              <w:right w:w="100" w:type="dxa"/>
            </w:tcMar>
          </w:tcPr>
          <w:p>
            <w:pPr>
              <w:spacing w:after="0" w:line="240" w:lineRule="auto"/>
              <w:jc w:val="left"/>
            </w:pPr>
            <w:r>
              <w:rPr>
                <w:rFonts w:ascii="Calibri" w:hAnsi="Calibri" w:cs="Calibri"/>
                <w:sz w:val="20"/>
              </w:rPr>
              <w:t>Calculado</w:t>
            </w:r>
          </w:p>
        </w:tc>
      </w:tr>
    </w:tbl>
    <w:p>
      <w:pPr>
        <w:jc w:val="both"/>
      </w:pPr>
      <w:r>
        <w:rPr>
          <w:rFonts w:ascii="Calibri" w:hAnsi="Calibri" w:cs="Calibri"/>
        </w:rPr>
        <w:t>Por qué se sacó la demostración.</w:t>
      </w:r>
      <w:r>
        <w:rPr>
          <w:rFonts w:ascii="Calibri" w:hAnsi="Calibri" w:cs="Calibri"/>
        </w:rPr>
        <w:t xml:space="preserve"> El embudo anterior tenía cuatro etapas —visitas, leads, demostraciones calificadas, pruebas— y una conversión total del 0,26 %, muy parecida. La diferencia no está en la tasa sino en </w:t>
      </w:r>
      <w:r>
        <w:rPr>
          <w:rFonts w:ascii="Calibri" w:hAnsi="Calibri" w:cs="Calibri"/>
        </w:rPr>
        <w:t>quién hace el trabajo</w:t>
      </w:r>
      <w:r>
        <w:rPr>
          <w:rFonts w:ascii="Calibri" w:hAnsi="Calibri" w:cs="Calibri"/>
        </w:rPr>
        <w:t xml:space="preserve">: para sostener las altas del cuarto año, ese embudo pedía </w:t>
      </w:r>
      <w:r>
        <w:rPr>
          <w:rFonts w:ascii="Calibri" w:hAnsi="Calibri" w:cs="Calibri"/>
        </w:rPr>
        <w:t>108 demostraciones por mes</w:t>
      </w:r>
      <w:r>
        <w:rPr>
          <w:rFonts w:ascii="Calibri" w:hAnsi="Calibri" w:cs="Calibri"/>
        </w:rPr>
        <w:t>, unas cinco por día hábil, y el único rol comercial de la plantilla es un socio que además gestiona el canal de partners y el ciclo de venta de sesenta a noventa días del Segmento B. Era un embudo que el equipo no podía operar, y eso no se arregla con un supuesto: se arregla cambiando cómo se vende.</w:t>
      </w:r>
    </w:p>
    <w:p>
      <w:pPr>
        <w:jc w:val="both"/>
      </w:pPr>
      <w:r>
        <w:rPr>
          <w:rFonts w:ascii="Calibri" w:hAnsi="Calibri" w:cs="Calibri"/>
        </w:rPr>
        <w:t>Un producto de suscripción de unos USD 75 mensuales no se vende con demostraciones individuales. La economía no da: el costo de adquirir un cliente tiene que recuperarse en meses, no en años, y una hora de una persona por prospecto no entra en esa cuenta. Se vende dejando que el cliente lo pruebe.</w:t>
      </w:r>
    </w:p>
    <w:p>
      <w:pPr>
        <w:jc w:val="both"/>
      </w:pPr>
      <w:r>
        <w:rPr>
          <w:rFonts w:ascii="Calibri" w:hAnsi="Calibri" w:cs="Calibri"/>
        </w:rPr>
        <w:t>Lo que se gana y lo que se pierde.</w:t>
      </w:r>
      <w:r>
        <w:rPr>
          <w:rFonts w:ascii="Calibri" w:hAnsi="Calibri" w:cs="Calibri"/>
        </w:rPr>
        <w:t xml:space="preserve"> Se pierde conversión: sin nadie que califique al que se registra, la prueba convierte al 12 % y no al 27,5 % que daba precedida por demostración. Y se pierden clientes: el modelo pasa de 370 a 350 al año 4. Lo que se gana es que </w:t>
      </w:r>
      <w:r>
        <w:rPr>
          <w:rFonts w:ascii="Calibri" w:hAnsi="Calibri" w:cs="Calibri"/>
        </w:rPr>
        <w:t>el volumen deja de tener techo</w:t>
      </w:r>
      <w:r>
        <w:rPr>
          <w:rFonts w:ascii="Calibri" w:hAnsi="Calibri" w:cs="Calibri"/>
        </w:rPr>
        <w:t>: 135 pruebas por mes en 2030 no consumen horas de nadie, mientras que 108 demostraciones sí.</w:t>
      </w:r>
    </w:p>
    <w:p>
      <w:pPr>
        <w:jc w:val="both"/>
      </w:pPr>
      <w:r>
        <w:rPr>
          <w:rFonts w:ascii="Calibri" w:hAnsi="Calibri" w:cs="Calibri"/>
        </w:rPr>
        <w:t>La carga se mueve, no desaparece: pasa del rol comercial al onboarding, que ya está modelado como costo variable por cliente y crece con la cartera en lugar de chocar contra la agenda de una persona.</w:t>
      </w:r>
    </w:p>
    <w:p>
      <w:pPr>
        <w:jc w:val="both"/>
      </w:pPr>
      <w:r>
        <w:rPr>
          <w:rFonts w:ascii="Calibri" w:hAnsi="Calibri" w:cs="Calibri"/>
        </w:rPr>
        <w:t>Se parte de 300 visitas web mensuales, con un crecimiento del 12 % mensual el primer año que se desacelera al 8 %, 5 % y 3 % en los siguientes. La desaceleración es intencional: sostener un 12 % mensual durante cuatro años multiplicaría las visitas por más de cien, y eso no es una proyección sino una extrapolación.</w:t>
      </w:r>
    </w:p>
    <w:p>
      <w:pPr>
        <w:pStyle w:val="Ttulo2"/>
        <w:jc w:val="both"/>
      </w:pPr>
      <w:r>
        <w:rPr>
          <w:rFonts w:ascii="Calibri" w:hAnsi="Calibri" w:cs="Calibri"/>
          <w:b/>
          <w:color w:val="000000"/>
        </w:rPr>
        <w:t>2.4. Pilotos y canal de partners</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0"/>
        <w:gridCol w:w="1560"/>
        <w:gridCol w:w="1560"/>
        <w:gridCol w:w="1560"/>
        <w:gridCol w:w="1560"/>
        <w:gridCol w:w="1560"/>
      </w:tblGrid>
      <w:tr>
        <w:trPr>
          <w:tblHeader/>
        </w:trPr>
        <w:tc>
          <w:tcPr>
            <w:tcW w:type="dxa" w:w="288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Variable</w:t>
            </w:r>
          </w:p>
        </w:tc>
        <w:tc>
          <w:tcPr>
            <w:tcW w:type="dxa" w:w="78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78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78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78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c>
          <w:tcPr>
            <w:tcW w:type="dxa" w:w="2472"/>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Fuente</w:t>
            </w:r>
          </w:p>
        </w:tc>
      </w:tr>
      <w:tr>
        <w:tc>
          <w:tcPr>
            <w:tcW w:type="dxa" w:w="2889"/>
            <w:vAlign w:val="center"/>
            <w:tcMar>
              <w:top w:w="100" w:type="dxa"/>
              <w:left w:w="100" w:type="dxa"/>
              <w:bottom w:w="100" w:type="dxa"/>
              <w:right w:w="100" w:type="dxa"/>
            </w:tcMar>
          </w:tcPr>
          <w:p>
            <w:pPr>
              <w:spacing w:after="0" w:line="240" w:lineRule="auto"/>
              <w:jc w:val="left"/>
            </w:pPr>
            <w:r>
              <w:rPr>
                <w:rFonts w:ascii="Calibri" w:hAnsi="Calibri" w:cs="Calibri"/>
                <w:sz w:val="20"/>
              </w:rPr>
              <w:t>Pilotos gratuitos en la Etapa E1</w:t>
            </w:r>
          </w:p>
        </w:tc>
        <w:tc>
          <w:tcPr>
            <w:tcW w:type="dxa" w:w="786"/>
            <w:vAlign w:val="center"/>
            <w:tcMar>
              <w:top w:w="100" w:type="dxa"/>
              <w:left w:w="100" w:type="dxa"/>
              <w:bottom w:w="100" w:type="dxa"/>
              <w:right w:w="100" w:type="dxa"/>
            </w:tcMar>
          </w:tcPr>
          <w:p>
            <w:pPr>
              <w:spacing w:after="0" w:line="240" w:lineRule="auto"/>
              <w:jc w:val="right"/>
            </w:pPr>
            <w:r>
              <w:rPr>
                <w:rFonts w:ascii="Calibri" w:hAnsi="Calibri" w:cs="Calibri"/>
                <w:sz w:val="20"/>
              </w:rPr>
              <w:t>5</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2472"/>
            <w:vAlign w:val="center"/>
            <w:tcMar>
              <w:top w:w="100" w:type="dxa"/>
              <w:left w:w="100" w:type="dxa"/>
              <w:bottom w:w="100" w:type="dxa"/>
              <w:right w:w="100" w:type="dxa"/>
            </w:tcMar>
          </w:tcPr>
          <w:p>
            <w:pPr>
              <w:spacing w:after="0" w:line="240" w:lineRule="auto"/>
              <w:jc w:val="left"/>
            </w:pPr>
            <w:r>
              <w:rPr>
                <w:rFonts w:ascii="Calibri" w:hAnsi="Calibri" w:cs="Calibri"/>
                <w:sz w:val="20"/>
              </w:rPr>
              <w:t>Documento 5.3.4</w:t>
            </w:r>
          </w:p>
        </w:tc>
      </w:tr>
      <w:tr>
        <w:tc>
          <w:tcPr>
            <w:tcW w:type="dxa" w:w="2889"/>
            <w:vAlign w:val="center"/>
            <w:tcMar>
              <w:top w:w="100" w:type="dxa"/>
              <w:left w:w="100" w:type="dxa"/>
              <w:bottom w:w="100" w:type="dxa"/>
              <w:right w:w="100" w:type="dxa"/>
            </w:tcMar>
          </w:tcPr>
          <w:p>
            <w:pPr>
              <w:spacing w:after="0" w:line="240" w:lineRule="auto"/>
              <w:jc w:val="left"/>
            </w:pPr>
            <w:r>
              <w:rPr>
                <w:rFonts w:ascii="Calibri" w:hAnsi="Calibri" w:cs="Calibri"/>
                <w:sz w:val="20"/>
              </w:rPr>
              <w:t>Pilotos que convierten a plan pago</w:t>
            </w:r>
          </w:p>
        </w:tc>
        <w:tc>
          <w:tcPr>
            <w:tcW w:type="dxa" w:w="786"/>
            <w:vAlign w:val="center"/>
            <w:tcMar>
              <w:top w:w="100" w:type="dxa"/>
              <w:left w:w="100" w:type="dxa"/>
              <w:bottom w:w="100" w:type="dxa"/>
              <w:right w:w="100" w:type="dxa"/>
            </w:tcMar>
          </w:tcPr>
          <w:p>
            <w:pPr>
              <w:spacing w:after="0" w:line="240" w:lineRule="auto"/>
              <w:jc w:val="right"/>
            </w:pPr>
            <w:r>
              <w:rPr>
                <w:rFonts w:ascii="Calibri" w:hAnsi="Calibri" w:cs="Calibri"/>
                <w:sz w:val="20"/>
              </w:rPr>
              <w:t>60 %</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w:t>
            </w:r>
          </w:p>
        </w:tc>
        <w:tc>
          <w:tcPr>
            <w:tcW w:type="dxa" w:w="2472"/>
            <w:vAlign w:val="center"/>
            <w:tcMar>
              <w:top w:w="100" w:type="dxa"/>
              <w:left w:w="100" w:type="dxa"/>
              <w:bottom w:w="100" w:type="dxa"/>
              <w:right w:w="100" w:type="dxa"/>
            </w:tcMar>
          </w:tcPr>
          <w:p>
            <w:pPr>
              <w:spacing w:after="0" w:line="240" w:lineRule="auto"/>
              <w:jc w:val="left"/>
            </w:pPr>
            <w:r>
              <w:rPr>
                <w:rFonts w:ascii="Calibri" w:hAnsi="Calibri" w:cs="Calibri"/>
                <w:sz w:val="20"/>
              </w:rPr>
              <w:t>Documento 5.3.4: al menos 3 de 5</w:t>
            </w:r>
          </w:p>
        </w:tc>
      </w:tr>
      <w:tr>
        <w:tc>
          <w:tcPr>
            <w:tcW w:type="dxa" w:w="2889"/>
            <w:vAlign w:val="center"/>
            <w:tcMar>
              <w:top w:w="100" w:type="dxa"/>
              <w:left w:w="100" w:type="dxa"/>
              <w:bottom w:w="100" w:type="dxa"/>
              <w:right w:w="100" w:type="dxa"/>
            </w:tcMar>
          </w:tcPr>
          <w:p>
            <w:pPr>
              <w:spacing w:after="0" w:line="240" w:lineRule="auto"/>
              <w:jc w:val="left"/>
            </w:pPr>
            <w:r>
              <w:rPr>
                <w:rFonts w:ascii="Calibri" w:hAnsi="Calibri" w:cs="Calibri"/>
                <w:sz w:val="20"/>
              </w:rPr>
              <w:t>Partners activos al cierre del año</w:t>
            </w:r>
          </w:p>
        </w:tc>
        <w:tc>
          <w:tcPr>
            <w:tcW w:type="dxa" w:w="786"/>
            <w:vAlign w:val="center"/>
            <w:tcMar>
              <w:top w:w="100" w:type="dxa"/>
              <w:left w:w="100" w:type="dxa"/>
              <w:bottom w:w="100" w:type="dxa"/>
              <w:right w:w="100" w:type="dxa"/>
            </w:tcMar>
          </w:tcPr>
          <w:p>
            <w:pPr>
              <w:spacing w:after="0" w:line="240" w:lineRule="auto"/>
              <w:jc w:val="right"/>
            </w:pPr>
            <w:r>
              <w:rPr>
                <w:rFonts w:ascii="Calibri" w:hAnsi="Calibri" w:cs="Calibri"/>
                <w:sz w:val="20"/>
              </w:rPr>
              <w:t>3</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8</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15</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25</w:t>
            </w:r>
          </w:p>
        </w:tc>
        <w:tc>
          <w:tcPr>
            <w:tcW w:type="dxa" w:w="2472"/>
            <w:vAlign w:val="center"/>
            <w:tcMar>
              <w:top w:w="100" w:type="dxa"/>
              <w:left w:w="100" w:type="dxa"/>
              <w:bottom w:w="100" w:type="dxa"/>
              <w:right w:w="100" w:type="dxa"/>
            </w:tcMar>
          </w:tcPr>
          <w:p>
            <w:pPr>
              <w:spacing w:after="0" w:line="240" w:lineRule="auto"/>
              <w:jc w:val="left"/>
            </w:pPr>
            <w:r>
              <w:rPr>
                <w:rFonts w:ascii="Calibri" w:hAnsi="Calibri" w:cs="Calibri"/>
                <w:sz w:val="20"/>
              </w:rPr>
              <w:t>Documento 5.3.1</w:t>
            </w:r>
          </w:p>
        </w:tc>
      </w:tr>
      <w:tr>
        <w:tc>
          <w:tcPr>
            <w:tcW w:type="dxa" w:w="2889"/>
            <w:vAlign w:val="center"/>
            <w:tcMar>
              <w:top w:w="100" w:type="dxa"/>
              <w:left w:w="100" w:type="dxa"/>
              <w:bottom w:w="100" w:type="dxa"/>
              <w:right w:w="100" w:type="dxa"/>
            </w:tcMar>
          </w:tcPr>
          <w:p>
            <w:pPr>
              <w:spacing w:after="0" w:line="240" w:lineRule="auto"/>
              <w:jc w:val="left"/>
            </w:pPr>
            <w:r>
              <w:rPr>
                <w:rFonts w:ascii="Calibri" w:hAnsi="Calibri" w:cs="Calibri"/>
                <w:sz w:val="20"/>
              </w:rPr>
              <w:t>Clientes gestionados por cada partner</w:t>
            </w:r>
          </w:p>
        </w:tc>
        <w:tc>
          <w:tcPr>
            <w:tcW w:type="dxa" w:w="786"/>
            <w:vAlign w:val="center"/>
            <w:tcMar>
              <w:top w:w="100" w:type="dxa"/>
              <w:left w:w="100" w:type="dxa"/>
              <w:bottom w:w="100" w:type="dxa"/>
              <w:right w:w="100" w:type="dxa"/>
            </w:tcMar>
          </w:tcPr>
          <w:p>
            <w:pPr>
              <w:spacing w:after="0" w:line="240" w:lineRule="auto"/>
              <w:jc w:val="right"/>
            </w:pPr>
            <w:r>
              <w:rPr>
                <w:rFonts w:ascii="Calibri" w:hAnsi="Calibri" w:cs="Calibri"/>
                <w:sz w:val="20"/>
              </w:rPr>
              <w:t>3</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4</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5</w:t>
            </w:r>
          </w:p>
        </w:tc>
        <w:tc>
          <w:tcPr>
            <w:tcW w:type="dxa" w:w="786"/>
            <w:vAlign w:val="center"/>
            <w:tcMar>
              <w:top w:w="100" w:type="dxa"/>
              <w:left w:w="100" w:type="dxa"/>
              <w:bottom w:w="100" w:type="dxa"/>
              <w:right w:w="100" w:type="dxa"/>
            </w:tcMar>
          </w:tcPr>
          <w:p>
            <w:pPr>
              <w:spacing w:after="0" w:line="240" w:lineRule="auto"/>
              <w:jc w:val="left"/>
            </w:pPr>
            <w:r>
              <w:rPr>
                <w:rFonts w:ascii="Calibri" w:hAnsi="Calibri" w:cs="Calibri"/>
                <w:sz w:val="20"/>
              </w:rPr>
              <w:t>5</w:t>
            </w:r>
          </w:p>
        </w:tc>
        <w:tc>
          <w:tcPr>
            <w:tcW w:type="dxa" w:w="2472"/>
            <w:vAlign w:val="center"/>
            <w:tcMar>
              <w:top w:w="100" w:type="dxa"/>
              <w:left w:w="100" w:type="dxa"/>
              <w:bottom w:w="100" w:type="dxa"/>
              <w:right w:w="100" w:type="dxa"/>
            </w:tcMar>
          </w:tcPr>
          <w:p>
            <w:pPr>
              <w:spacing w:after="0" w:line="240" w:lineRule="auto"/>
              <w:jc w:val="left"/>
            </w:pPr>
            <w:r>
              <w:rPr>
                <w:rFonts w:ascii="Calibri" w:hAnsi="Calibri" w:cs="Calibri"/>
                <w:sz w:val="20"/>
              </w:rPr>
              <w:t>Documento 5.3.6</w:t>
            </w:r>
          </w:p>
        </w:tc>
      </w:tr>
    </w:tbl>
    <w:p>
      <w:pPr>
        <w:jc w:val="both"/>
      </w:pPr>
      <w:r>
        <w:rPr>
          <w:rFonts w:ascii="Calibri" w:hAnsi="Calibri" w:cs="Calibri"/>
        </w:rPr>
        <w:t>Los pilotos convierten en el mes 6, al cierre de los noventa días de prueba. Los clientes por partner son un stock y no un flujo: es la cartera que cada partner sostiene, no cuántos suma por año.</w:t>
      </w:r>
    </w:p>
    <w:p>
      <w:pPr>
        <w:pStyle w:val="Ttulo2"/>
        <w:jc w:val="both"/>
      </w:pPr>
      <w:r>
        <w:rPr>
          <w:rFonts w:ascii="Calibri" w:hAnsi="Calibri" w:cs="Calibri"/>
          <w:b/>
          <w:color w:val="000000"/>
        </w:rPr>
        <w:t>2.5. Retención y parque administrado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436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Variable</w:t>
            </w:r>
          </w:p>
        </w:tc>
        <w:tc>
          <w:tcPr>
            <w:tcW w:type="dxa" w:w="1035"/>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1035"/>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1035"/>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1035"/>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r>
      <w:tr>
        <w:tc>
          <w:tcPr>
            <w:tcW w:type="dxa" w:w="4363"/>
            <w:vAlign w:val="center"/>
            <w:tcMar>
              <w:top w:w="100" w:type="dxa"/>
              <w:left w:w="100" w:type="dxa"/>
              <w:bottom w:w="100" w:type="dxa"/>
              <w:right w:w="100" w:type="dxa"/>
            </w:tcMar>
          </w:tcPr>
          <w:p>
            <w:pPr>
              <w:spacing w:after="0" w:line="240" w:lineRule="auto"/>
              <w:jc w:val="left"/>
            </w:pPr>
            <w:r>
              <w:rPr>
                <w:rFonts w:ascii="Calibri" w:hAnsi="Calibri" w:cs="Calibri"/>
                <w:sz w:val="20"/>
              </w:rPr>
              <w:t>Baja mensual de clientes</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7 %</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5 %</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4 %</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4 %</w:t>
            </w:r>
          </w:p>
        </w:tc>
      </w:tr>
      <w:tr>
        <w:tc>
          <w:tcPr>
            <w:tcW w:type="dxa" w:w="4363"/>
            <w:vAlign w:val="center"/>
            <w:tcMar>
              <w:top w:w="100" w:type="dxa"/>
              <w:left w:w="100" w:type="dxa"/>
              <w:bottom w:w="100" w:type="dxa"/>
              <w:right w:w="100" w:type="dxa"/>
            </w:tcMar>
          </w:tcPr>
          <w:p>
            <w:pPr>
              <w:spacing w:after="0" w:line="240" w:lineRule="auto"/>
              <w:jc w:val="left"/>
            </w:pPr>
            <w:r>
              <w:rPr>
                <w:rFonts w:ascii="Calibri" w:hAnsi="Calibri" w:cs="Calibri"/>
                <w:sz w:val="20"/>
              </w:rPr>
              <w:t>Equipos promedio — Plan Inicial</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18</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20</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22</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24</w:t>
            </w:r>
          </w:p>
        </w:tc>
      </w:tr>
      <w:tr>
        <w:tc>
          <w:tcPr>
            <w:tcW w:type="dxa" w:w="4363"/>
            <w:vAlign w:val="center"/>
            <w:tcMar>
              <w:top w:w="100" w:type="dxa"/>
              <w:left w:w="100" w:type="dxa"/>
              <w:bottom w:w="100" w:type="dxa"/>
              <w:right w:w="100" w:type="dxa"/>
            </w:tcMar>
          </w:tcPr>
          <w:p>
            <w:pPr>
              <w:spacing w:after="0" w:line="240" w:lineRule="auto"/>
              <w:jc w:val="left"/>
            </w:pPr>
            <w:r>
              <w:rPr>
                <w:rFonts w:ascii="Calibri" w:hAnsi="Calibri" w:cs="Calibri"/>
                <w:sz w:val="20"/>
              </w:rPr>
              <w:t>Equipos promedio — Plan Estándar</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90</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100</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110</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120</w:t>
            </w:r>
          </w:p>
        </w:tc>
      </w:tr>
      <w:tr>
        <w:tc>
          <w:tcPr>
            <w:tcW w:type="dxa" w:w="4363"/>
            <w:vAlign w:val="center"/>
            <w:tcMar>
              <w:top w:w="100" w:type="dxa"/>
              <w:left w:w="100" w:type="dxa"/>
              <w:bottom w:w="100" w:type="dxa"/>
              <w:right w:w="100" w:type="dxa"/>
            </w:tcMar>
          </w:tcPr>
          <w:p>
            <w:pPr>
              <w:spacing w:after="0" w:line="240" w:lineRule="auto"/>
              <w:jc w:val="left"/>
            </w:pPr>
            <w:r>
              <w:rPr>
                <w:rFonts w:ascii="Calibri" w:hAnsi="Calibri" w:cs="Calibri"/>
                <w:sz w:val="20"/>
              </w:rPr>
              <w:t>Equipos promedio — Plan Partner</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15</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16</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17</w:t>
            </w:r>
          </w:p>
        </w:tc>
        <w:tc>
          <w:tcPr>
            <w:tcW w:type="dxa" w:w="1035"/>
            <w:vAlign w:val="center"/>
            <w:tcMar>
              <w:top w:w="100" w:type="dxa"/>
              <w:left w:w="100" w:type="dxa"/>
              <w:bottom w:w="100" w:type="dxa"/>
              <w:right w:w="100" w:type="dxa"/>
            </w:tcMar>
          </w:tcPr>
          <w:p>
            <w:pPr>
              <w:spacing w:after="0" w:line="240" w:lineRule="auto"/>
              <w:jc w:val="right"/>
            </w:pPr>
            <w:r>
              <w:rPr>
                <w:rFonts w:ascii="Calibri" w:hAnsi="Calibri" w:cs="Calibri"/>
                <w:sz w:val="20"/>
              </w:rPr>
              <w:t>18</w:t>
            </w:r>
          </w:p>
        </w:tc>
      </w:tr>
    </w:tbl>
    <w:p>
      <w:pPr>
        <w:jc w:val="both"/>
      </w:pPr>
      <w:r>
        <w:rPr>
          <w:rFonts w:ascii="Calibri" w:hAnsi="Calibri" w:cs="Calibri"/>
        </w:rPr>
        <w:t>La baja mensual es la variable más sensible del modelo y la meta del documento (5.3.3) es de 7 % o menos en la Etapa E2 y 5 % o menos en E3. Se carga con esos valores y no con otros mejores.</w:t>
      </w:r>
    </w:p>
    <w:p>
      <w:pPr>
        <w:jc w:val="both"/>
      </w:pPr>
      <w:r>
        <w:rPr>
          <w:rFonts w:ascii="Calibri" w:hAnsi="Calibri" w:cs="Calibri"/>
        </w:rPr>
        <w:t>Los equipos promedio por cliente están por encima del mínimo que incluye cada plan, lo que hace que el ingreso por equipo adicional no sea marginal: es parte del modelo de ingresos y no un extra.</w:t>
      </w:r>
    </w:p>
    <w:p>
      <w:pPr>
        <w:pStyle w:val="Ttulo1"/>
        <w:pageBreakBefore/>
        <w:jc w:val="both"/>
      </w:pPr>
      <w:r>
        <w:rPr>
          <w:rFonts w:ascii="Calibri" w:hAnsi="Calibri" w:cs="Calibri"/>
          <w:b/>
          <w:color w:val="000000"/>
        </w:rPr>
        <w:t>3. Proyección de ventas</w:t>
      </w:r>
    </w:p>
    <w:p>
      <w:pPr>
        <w:pStyle w:val="Ttulo2"/>
        <w:jc w:val="both"/>
      </w:pPr>
      <w:r>
        <w:rPr>
          <w:rFonts w:ascii="Calibri" w:hAnsi="Calibri" w:cs="Calibri"/>
          <w:b/>
          <w:color w:val="000000"/>
        </w:rPr>
        <w:t>3.1. Líneas de servicio</w:t>
      </w:r>
    </w:p>
    <w:p>
      <w:pPr>
        <w:jc w:val="both"/>
      </w:pPr>
      <w:r>
        <w:rPr>
          <w:rFonts w:ascii="Calibri" w:hAnsi="Calibri" w:cs="Calibri"/>
        </w:rPr>
        <w:t>Tres líneas, una por segmento. Los precios son los revisados —el documento los trae actualizados en su sección 5.3.6— y los costos variables unitarios salen de la 6.5.3.</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0"/>
        <w:gridCol w:w="1560"/>
        <w:gridCol w:w="1560"/>
        <w:gridCol w:w="1560"/>
        <w:gridCol w:w="1560"/>
        <w:gridCol w:w="1560"/>
      </w:tblGrid>
      <w:tr>
        <w:trPr>
          <w:tblHeader/>
        </w:trPr>
        <w:tc>
          <w:tcPr>
            <w:tcW w:type="dxa" w:w="1342"/>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Plan</w:t>
            </w:r>
          </w:p>
        </w:tc>
        <w:tc>
          <w:tcPr>
            <w:tcW w:type="dxa" w:w="122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Segmento</w:t>
            </w:r>
          </w:p>
        </w:tc>
        <w:tc>
          <w:tcPr>
            <w:tcW w:type="dxa" w:w="1237"/>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Abono mensual</w:t>
            </w:r>
          </w:p>
        </w:tc>
        <w:tc>
          <w:tcPr>
            <w:tcW w:type="dxa" w:w="154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Equipos incluidos</w:t>
            </w:r>
          </w:p>
        </w:tc>
        <w:tc>
          <w:tcPr>
            <w:tcW w:type="dxa" w:w="151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Equipo adicional</w:t>
            </w:r>
          </w:p>
        </w:tc>
        <w:tc>
          <w:tcPr>
            <w:tcW w:type="dxa" w:w="164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Costo variable por cliente</w:t>
            </w:r>
          </w:p>
        </w:tc>
      </w:tr>
      <w:tr>
        <w:tc>
          <w:tcPr>
            <w:tcW w:type="dxa" w:w="1342"/>
            <w:vAlign w:val="center"/>
            <w:tcMar>
              <w:top w:w="100" w:type="dxa"/>
              <w:left w:w="100" w:type="dxa"/>
              <w:bottom w:w="100" w:type="dxa"/>
              <w:right w:w="100" w:type="dxa"/>
            </w:tcMar>
          </w:tcPr>
          <w:p>
            <w:pPr>
              <w:spacing w:after="0" w:line="240" w:lineRule="auto"/>
              <w:jc w:val="left"/>
            </w:pPr>
            <w:r>
              <w:rPr>
                <w:rFonts w:ascii="Calibri" w:hAnsi="Calibri" w:cs="Calibri"/>
                <w:sz w:val="20"/>
              </w:rPr>
              <w:t>Plan Inicial</w:t>
            </w:r>
          </w:p>
        </w:tc>
        <w:tc>
          <w:tcPr>
            <w:tcW w:type="dxa" w:w="1226"/>
            <w:vAlign w:val="center"/>
            <w:tcMar>
              <w:top w:w="100" w:type="dxa"/>
              <w:left w:w="100" w:type="dxa"/>
              <w:bottom w:w="100" w:type="dxa"/>
              <w:right w:w="100" w:type="dxa"/>
            </w:tcMar>
          </w:tcPr>
          <w:p>
            <w:pPr>
              <w:spacing w:after="0" w:line="240" w:lineRule="auto"/>
              <w:jc w:val="left"/>
            </w:pPr>
            <w:r>
              <w:rPr>
                <w:rFonts w:ascii="Calibri" w:hAnsi="Calibri" w:cs="Calibri"/>
                <w:sz w:val="20"/>
              </w:rPr>
              <w:t>A</w:t>
            </w:r>
          </w:p>
        </w:tc>
        <w:tc>
          <w:tcPr>
            <w:tcW w:type="dxa" w:w="1237"/>
            <w:vAlign w:val="center"/>
            <w:tcMar>
              <w:top w:w="100" w:type="dxa"/>
              <w:left w:w="100" w:type="dxa"/>
              <w:bottom w:w="100" w:type="dxa"/>
              <w:right w:w="100" w:type="dxa"/>
            </w:tcMar>
          </w:tcPr>
          <w:p>
            <w:pPr>
              <w:spacing w:after="0" w:line="240" w:lineRule="auto"/>
              <w:jc w:val="right"/>
            </w:pPr>
            <w:r>
              <w:rPr>
                <w:rFonts w:ascii="Calibri" w:hAnsi="Calibri" w:cs="Calibri"/>
                <w:sz w:val="20"/>
              </w:rPr>
              <w:t>$ 89.000</w:t>
            </w:r>
          </w:p>
        </w:tc>
        <w:tc>
          <w:tcPr>
            <w:tcW w:type="dxa" w:w="1540"/>
            <w:vAlign w:val="center"/>
            <w:tcMar>
              <w:top w:w="100" w:type="dxa"/>
              <w:left w:w="100" w:type="dxa"/>
              <w:bottom w:w="100" w:type="dxa"/>
              <w:right w:w="100" w:type="dxa"/>
            </w:tcMar>
          </w:tcPr>
          <w:p>
            <w:pPr>
              <w:spacing w:after="0" w:line="240" w:lineRule="auto"/>
              <w:jc w:val="right"/>
            </w:pPr>
            <w:r>
              <w:rPr>
                <w:rFonts w:ascii="Calibri" w:hAnsi="Calibri" w:cs="Calibri"/>
                <w:sz w:val="20"/>
              </w:rPr>
              <w:t>15</w:t>
            </w:r>
          </w:p>
        </w:tc>
        <w:tc>
          <w:tcPr>
            <w:tcW w:type="dxa" w:w="1516"/>
            <w:vAlign w:val="center"/>
            <w:tcMar>
              <w:top w:w="100" w:type="dxa"/>
              <w:left w:w="100" w:type="dxa"/>
              <w:bottom w:w="100" w:type="dxa"/>
              <w:right w:w="100" w:type="dxa"/>
            </w:tcMar>
          </w:tcPr>
          <w:p>
            <w:pPr>
              <w:spacing w:after="0" w:line="240" w:lineRule="auto"/>
              <w:jc w:val="right"/>
            </w:pPr>
            <w:r>
              <w:rPr>
                <w:rFonts w:ascii="Calibri" w:hAnsi="Calibri" w:cs="Calibri"/>
                <w:sz w:val="20"/>
              </w:rPr>
              <w:t>$ 4.200</w:t>
            </w:r>
          </w:p>
        </w:tc>
        <w:tc>
          <w:tcPr>
            <w:tcW w:type="dxa" w:w="1644"/>
            <w:vAlign w:val="center"/>
            <w:tcMar>
              <w:top w:w="100" w:type="dxa"/>
              <w:left w:w="100" w:type="dxa"/>
              <w:bottom w:w="100" w:type="dxa"/>
              <w:right w:w="100" w:type="dxa"/>
            </w:tcMar>
          </w:tcPr>
          <w:p>
            <w:pPr>
              <w:spacing w:after="0" w:line="240" w:lineRule="auto"/>
              <w:jc w:val="right"/>
            </w:pPr>
            <w:r>
              <w:rPr>
                <w:rFonts w:ascii="Calibri" w:hAnsi="Calibri" w:cs="Calibri"/>
                <w:sz w:val="20"/>
              </w:rPr>
              <w:t>$ 8.500</w:t>
            </w:r>
          </w:p>
        </w:tc>
      </w:tr>
      <w:tr>
        <w:tc>
          <w:tcPr>
            <w:tcW w:type="dxa" w:w="1342"/>
            <w:vAlign w:val="center"/>
            <w:tcMar>
              <w:top w:w="100" w:type="dxa"/>
              <w:left w:w="100" w:type="dxa"/>
              <w:bottom w:w="100" w:type="dxa"/>
              <w:right w:w="100" w:type="dxa"/>
            </w:tcMar>
          </w:tcPr>
          <w:p>
            <w:pPr>
              <w:spacing w:after="0" w:line="240" w:lineRule="auto"/>
              <w:jc w:val="left"/>
            </w:pPr>
            <w:r>
              <w:rPr>
                <w:rFonts w:ascii="Calibri" w:hAnsi="Calibri" w:cs="Calibri"/>
                <w:sz w:val="20"/>
              </w:rPr>
              <w:t>Plan Estándar</w:t>
            </w:r>
          </w:p>
        </w:tc>
        <w:tc>
          <w:tcPr>
            <w:tcW w:type="dxa" w:w="1226"/>
            <w:vAlign w:val="center"/>
            <w:tcMar>
              <w:top w:w="100" w:type="dxa"/>
              <w:left w:w="100" w:type="dxa"/>
              <w:bottom w:w="100" w:type="dxa"/>
              <w:right w:w="100" w:type="dxa"/>
            </w:tcMar>
          </w:tcPr>
          <w:p>
            <w:pPr>
              <w:spacing w:after="0" w:line="240" w:lineRule="auto"/>
              <w:jc w:val="left"/>
            </w:pPr>
            <w:r>
              <w:rPr>
                <w:rFonts w:ascii="Calibri" w:hAnsi="Calibri" w:cs="Calibri"/>
                <w:sz w:val="20"/>
              </w:rPr>
              <w:t>B</w:t>
            </w:r>
          </w:p>
        </w:tc>
        <w:tc>
          <w:tcPr>
            <w:tcW w:type="dxa" w:w="1237"/>
            <w:vAlign w:val="center"/>
            <w:tcMar>
              <w:top w:w="100" w:type="dxa"/>
              <w:left w:w="100" w:type="dxa"/>
              <w:bottom w:w="100" w:type="dxa"/>
              <w:right w:w="100" w:type="dxa"/>
            </w:tcMar>
          </w:tcPr>
          <w:p>
            <w:pPr>
              <w:spacing w:after="0" w:line="240" w:lineRule="auto"/>
              <w:jc w:val="right"/>
            </w:pPr>
            <w:r>
              <w:rPr>
                <w:rFonts w:ascii="Calibri" w:hAnsi="Calibri" w:cs="Calibri"/>
                <w:sz w:val="20"/>
              </w:rPr>
              <w:t>$ 239.000</w:t>
            </w:r>
          </w:p>
        </w:tc>
        <w:tc>
          <w:tcPr>
            <w:tcW w:type="dxa" w:w="1540"/>
            <w:vAlign w:val="center"/>
            <w:tcMar>
              <w:top w:w="100" w:type="dxa"/>
              <w:left w:w="100" w:type="dxa"/>
              <w:bottom w:w="100" w:type="dxa"/>
              <w:right w:w="100" w:type="dxa"/>
            </w:tcMar>
          </w:tcPr>
          <w:p>
            <w:pPr>
              <w:spacing w:after="0" w:line="240" w:lineRule="auto"/>
              <w:jc w:val="right"/>
            </w:pPr>
            <w:r>
              <w:rPr>
                <w:rFonts w:ascii="Calibri" w:hAnsi="Calibri" w:cs="Calibri"/>
                <w:sz w:val="20"/>
              </w:rPr>
              <w:t>50</w:t>
            </w:r>
          </w:p>
        </w:tc>
        <w:tc>
          <w:tcPr>
            <w:tcW w:type="dxa" w:w="1516"/>
            <w:vAlign w:val="center"/>
            <w:tcMar>
              <w:top w:w="100" w:type="dxa"/>
              <w:left w:w="100" w:type="dxa"/>
              <w:bottom w:w="100" w:type="dxa"/>
              <w:right w:w="100" w:type="dxa"/>
            </w:tcMar>
          </w:tcPr>
          <w:p>
            <w:pPr>
              <w:spacing w:after="0" w:line="240" w:lineRule="auto"/>
              <w:jc w:val="right"/>
            </w:pPr>
            <w:r>
              <w:rPr>
                <w:rFonts w:ascii="Calibri" w:hAnsi="Calibri" w:cs="Calibri"/>
                <w:sz w:val="20"/>
              </w:rPr>
              <w:t>$ 3.500</w:t>
            </w:r>
          </w:p>
        </w:tc>
        <w:tc>
          <w:tcPr>
            <w:tcW w:type="dxa" w:w="1644"/>
            <w:vAlign w:val="center"/>
            <w:tcMar>
              <w:top w:w="100" w:type="dxa"/>
              <w:left w:w="100" w:type="dxa"/>
              <w:bottom w:w="100" w:type="dxa"/>
              <w:right w:w="100" w:type="dxa"/>
            </w:tcMar>
          </w:tcPr>
          <w:p>
            <w:pPr>
              <w:spacing w:after="0" w:line="240" w:lineRule="auto"/>
              <w:jc w:val="right"/>
            </w:pPr>
            <w:r>
              <w:rPr>
                <w:rFonts w:ascii="Calibri" w:hAnsi="Calibri" w:cs="Calibri"/>
                <w:sz w:val="20"/>
              </w:rPr>
              <w:t>$ 25.000</w:t>
            </w:r>
          </w:p>
        </w:tc>
      </w:tr>
      <w:tr>
        <w:tc>
          <w:tcPr>
            <w:tcW w:type="dxa" w:w="1342"/>
            <w:vAlign w:val="center"/>
            <w:tcMar>
              <w:top w:w="100" w:type="dxa"/>
              <w:left w:w="100" w:type="dxa"/>
              <w:bottom w:w="100" w:type="dxa"/>
              <w:right w:w="100" w:type="dxa"/>
            </w:tcMar>
          </w:tcPr>
          <w:p>
            <w:pPr>
              <w:spacing w:after="0" w:line="240" w:lineRule="auto"/>
              <w:jc w:val="left"/>
            </w:pPr>
            <w:r>
              <w:rPr>
                <w:rFonts w:ascii="Calibri" w:hAnsi="Calibri" w:cs="Calibri"/>
                <w:sz w:val="20"/>
              </w:rPr>
              <w:t>Plan Partner</w:t>
            </w:r>
          </w:p>
        </w:tc>
        <w:tc>
          <w:tcPr>
            <w:tcW w:type="dxa" w:w="1226"/>
            <w:vAlign w:val="center"/>
            <w:tcMar>
              <w:top w:w="100" w:type="dxa"/>
              <w:left w:w="100" w:type="dxa"/>
              <w:bottom w:w="100" w:type="dxa"/>
              <w:right w:w="100" w:type="dxa"/>
            </w:tcMar>
          </w:tcPr>
          <w:p>
            <w:pPr>
              <w:spacing w:after="0" w:line="240" w:lineRule="auto"/>
              <w:jc w:val="left"/>
            </w:pPr>
            <w:r>
              <w:rPr>
                <w:rFonts w:ascii="Calibri" w:hAnsi="Calibri" w:cs="Calibri"/>
                <w:sz w:val="20"/>
              </w:rPr>
              <w:t>C</w:t>
            </w:r>
          </w:p>
        </w:tc>
        <w:tc>
          <w:tcPr>
            <w:tcW w:type="dxa" w:w="1237"/>
            <w:vAlign w:val="center"/>
            <w:tcMar>
              <w:top w:w="100" w:type="dxa"/>
              <w:left w:w="100" w:type="dxa"/>
              <w:bottom w:w="100" w:type="dxa"/>
              <w:right w:w="100" w:type="dxa"/>
            </w:tcMar>
          </w:tcPr>
          <w:p>
            <w:pPr>
              <w:spacing w:after="0" w:line="240" w:lineRule="auto"/>
              <w:jc w:val="right"/>
            </w:pPr>
            <w:r>
              <w:rPr>
                <w:rFonts w:ascii="Calibri" w:hAnsi="Calibri" w:cs="Calibri"/>
                <w:sz w:val="20"/>
              </w:rPr>
              <w:t>$ 69.000</w:t>
            </w:r>
          </w:p>
        </w:tc>
        <w:tc>
          <w:tcPr>
            <w:tcW w:type="dxa" w:w="1540"/>
            <w:vAlign w:val="center"/>
            <w:tcMar>
              <w:top w:w="100" w:type="dxa"/>
              <w:left w:w="100" w:type="dxa"/>
              <w:bottom w:w="100" w:type="dxa"/>
              <w:right w:w="100" w:type="dxa"/>
            </w:tcMar>
          </w:tcPr>
          <w:p>
            <w:pPr>
              <w:spacing w:after="0" w:line="240" w:lineRule="auto"/>
              <w:jc w:val="right"/>
            </w:pPr>
            <w:r>
              <w:rPr>
                <w:rFonts w:ascii="Calibri" w:hAnsi="Calibri" w:cs="Calibri"/>
                <w:sz w:val="20"/>
              </w:rPr>
              <w:t>30</w:t>
            </w:r>
          </w:p>
        </w:tc>
        <w:tc>
          <w:tcPr>
            <w:tcW w:type="dxa" w:w="1516"/>
            <w:vAlign w:val="center"/>
            <w:tcMar>
              <w:top w:w="100" w:type="dxa"/>
              <w:left w:w="100" w:type="dxa"/>
              <w:bottom w:w="100" w:type="dxa"/>
              <w:right w:w="100" w:type="dxa"/>
            </w:tcMar>
          </w:tcPr>
          <w:p>
            <w:pPr>
              <w:spacing w:after="0" w:line="240" w:lineRule="auto"/>
              <w:jc w:val="right"/>
            </w:pPr>
            <w:r>
              <w:rPr>
                <w:rFonts w:ascii="Calibri" w:hAnsi="Calibri" w:cs="Calibri"/>
                <w:sz w:val="20"/>
              </w:rPr>
              <w:t>$ 2.800</w:t>
            </w:r>
          </w:p>
        </w:tc>
        <w:tc>
          <w:tcPr>
            <w:tcW w:type="dxa" w:w="1644"/>
            <w:vAlign w:val="center"/>
            <w:tcMar>
              <w:top w:w="100" w:type="dxa"/>
              <w:left w:w="100" w:type="dxa"/>
              <w:bottom w:w="100" w:type="dxa"/>
              <w:right w:w="100" w:type="dxa"/>
            </w:tcMar>
          </w:tcPr>
          <w:p>
            <w:pPr>
              <w:spacing w:after="0" w:line="240" w:lineRule="auto"/>
              <w:jc w:val="right"/>
            </w:pPr>
            <w:r>
              <w:rPr>
                <w:rFonts w:ascii="Calibri" w:hAnsi="Calibri" w:cs="Calibri"/>
                <w:sz w:val="20"/>
              </w:rPr>
              <w:t>$ 7.000</w:t>
            </w:r>
          </w:p>
        </w:tc>
      </w:tr>
    </w:tbl>
    <w:p>
      <w:pPr>
        <w:jc w:val="both"/>
      </w:pPr>
      <w:r>
        <w:rPr>
          <w:rFonts w:ascii="Calibri" w:hAnsi="Calibri" w:cs="Calibri"/>
        </w:rPr>
        <w:t xml:space="preserve">El costo variable de cada línea se compone de tres conceptos: infraestructura por cliente, soporte y onboarding, y el servicio externo de inteligencia artificial. El detalle por concepto está en la hoja </w:t>
      </w:r>
      <w:r>
        <w:rPr>
          <w:rFonts w:ascii="Calibri" w:hAnsi="Calibri" w:cs="Calibri"/>
        </w:rPr>
        <w:t>Planes</w:t>
      </w:r>
      <w:r>
        <w:rPr>
          <w:rFonts w:ascii="Calibri" w:hAnsi="Calibri" w:cs="Calibri"/>
        </w:rPr>
        <w:t xml:space="preserve"> del libro, que además calcula el margen de contribución de cada línea.</w:t>
      </w:r>
    </w:p>
    <w:p>
      <w:pPr>
        <w:jc w:val="both"/>
      </w:pPr>
      <w:r>
        <w:rPr>
          <w:rFonts w:ascii="Calibri" w:hAnsi="Calibri" w:cs="Calibri"/>
        </w:rPr>
        <w:t xml:space="preserve">Ese margen da </w:t>
      </w:r>
      <w:r>
        <w:rPr>
          <w:rFonts w:ascii="Calibri" w:hAnsi="Calibri" w:cs="Calibri"/>
        </w:rPr>
        <w:t>90,4 %, 89,5 % y 89,9 %</w:t>
      </w:r>
      <w:r>
        <w:rPr>
          <w:rFonts w:ascii="Calibri" w:hAnsi="Calibri" w:cs="Calibri"/>
        </w:rPr>
        <w:t>, y conviene explicarlo antes de que lo pregunten: en un negocio de software el costo variable de un cliente es infraestructura y soporte, no producto. Lo que se come ese margen no es el costo variable sino la estructura fija y los sueldos, que es donde se juega el punto de equilibrio. Con los precios anteriores a la revisión el mismo cálculo daba entre 74 % y 76 %.</w:t>
      </w:r>
    </w:p>
    <w:p>
      <w:pPr>
        <w:jc w:val="both"/>
      </w:pPr>
      <w:r>
        <w:rPr>
          <w:rFonts w:ascii="Calibri" w:hAnsi="Calibri" w:cs="Calibri"/>
        </w:rPr>
        <w:t>El precio por equipo baja de una línea a la otra —el Plan Estándar cobra menos por equipo que el Inicial, y el Partner menos que los dos— y eso es deliberado: el Estándar tiene escala y el Partner llega por un canal que aporta el contacto y la primera atención.</w:t>
      </w:r>
    </w:p>
    <w:p>
      <w:pPr>
        <w:pStyle w:val="Ttulo2"/>
        <w:jc w:val="both"/>
      </w:pPr>
      <w:r>
        <w:rPr>
          <w:rFonts w:ascii="Calibri" w:hAnsi="Calibri" w:cs="Calibri"/>
          <w:b/>
          <w:color w:val="000000"/>
        </w:rPr>
        <w:t>3.2. Cómo se construye la proyección</w:t>
      </w:r>
    </w:p>
    <w:p>
      <w:pPr>
        <w:jc w:val="both"/>
      </w:pPr>
      <w:r>
        <w:rPr>
          <w:rFonts w:ascii="Calibri" w:hAnsi="Calibri" w:cs="Calibri"/>
        </w:rPr>
        <w:t xml:space="preserve">La proyección es de </w:t>
      </w:r>
      <w:r>
        <w:rPr>
          <w:rFonts w:ascii="Calibri" w:hAnsi="Calibri" w:cs="Calibri"/>
        </w:rPr>
        <w:t>clientes</w:t>
      </w:r>
      <w:r>
        <w:rPr>
          <w:rFonts w:ascii="Calibri" w:hAnsi="Calibri" w:cs="Calibri"/>
        </w:rPr>
        <w:t>, mes a mes y por línea, y de ahí salen los ingresos. No se proyecta facturación directamente: eso esconde si el crecimiento viene de más clientes o de más precio.</w:t>
      </w:r>
    </w:p>
    <w:p>
      <w:pPr>
        <w:jc w:val="both"/>
      </w:pPr>
      <w:r>
        <w:rPr>
          <w:rFonts w:ascii="Calibri" w:hAnsi="Calibri" w:cs="Calibri"/>
        </w:rPr>
        <w:t>Cada mes, por línea:</w:t>
      </w:r>
    </w:p>
    <w:p>
      <w:pPr>
        <w:jc w:val="both"/>
      </w:pPr>
      <w:r>
        <w:rPr>
          <w:rFonts w:ascii="Calibri" w:hAnsi="Calibri" w:cs="Calibri"/>
        </w:rPr>
        <w:t>base al inicio + altas − bajas = base activa al cierre</w:t>
      </w:r>
    </w:p>
    <w:p>
      <w:pPr>
        <w:jc w:val="both"/>
      </w:pPr>
      <w:r>
        <w:rPr>
          <w:rFonts w:ascii="Calibri" w:hAnsi="Calibri" w:cs="Calibri"/>
        </w:rPr>
        <w:t>Las altas tienen tres orígenes distintos y se cuentan por separado:</w:t>
      </w:r>
    </w:p>
    <w:p>
      <w:pPr>
        <w:ind w:left="510" w:hanging="510"/>
        <w:jc w:val="both"/>
      </w:pPr>
      <w:r>
        <w:rPr>
          <w:rFonts w:ascii="Calibri" w:hAnsi="Calibri" w:cs="Calibri"/>
        </w:rPr>
        <w:t>1.</w:t>
        <w:tab/>
      </w:r>
      <w:r>
        <w:rPr>
          <w:rFonts w:ascii="Calibri" w:hAnsi="Calibri" w:cs="Calibri"/>
        </w:rPr>
        <w:t>Embudo directo.</w:t>
      </w:r>
      <w:r>
        <w:rPr>
          <w:rFonts w:ascii="Calibri" w:hAnsi="Calibri" w:cs="Calibri"/>
        </w:rPr>
        <w:t xml:space="preserve"> Visitas web por las cuatro tasas del punto 1.3. Es el canal del Segmento A.</w:t>
      </w:r>
    </w:p>
    <w:p>
      <w:pPr>
        <w:ind w:left="510" w:hanging="510"/>
        <w:jc w:val="both"/>
      </w:pPr>
      <w:r>
        <w:rPr>
          <w:rFonts w:ascii="Calibri" w:hAnsi="Calibri" w:cs="Calibri"/>
        </w:rPr>
        <w:t>2.</w:t>
        <w:tab/>
      </w:r>
      <w:r>
        <w:rPr>
          <w:rFonts w:ascii="Calibri" w:hAnsi="Calibri" w:cs="Calibri"/>
        </w:rPr>
        <w:t>Conversión de pilotos.</w:t>
      </w:r>
      <w:r>
        <w:rPr>
          <w:rFonts w:ascii="Calibri" w:hAnsi="Calibri" w:cs="Calibri"/>
        </w:rPr>
        <w:t xml:space="preserve"> Los cinco pilotos de la Etapa E1, con su tasa de conversión, entrando en el mes 6.</w:t>
      </w:r>
    </w:p>
    <w:p>
      <w:pPr>
        <w:ind w:left="510" w:hanging="510"/>
        <w:jc w:val="both"/>
      </w:pPr>
      <w:r>
        <w:rPr>
          <w:rFonts w:ascii="Calibri" w:hAnsi="Calibri" w:cs="Calibri"/>
        </w:rPr>
        <w:t>3.</w:t>
        <w:tab/>
      </w:r>
      <w:r>
        <w:rPr>
          <w:rFonts w:ascii="Calibri" w:hAnsi="Calibri" w:cs="Calibri"/>
        </w:rPr>
        <w:t>Canal de partners.</w:t>
      </w:r>
      <w:r>
        <w:rPr>
          <w:rFonts w:ascii="Calibri" w:hAnsi="Calibri" w:cs="Calibri"/>
        </w:rPr>
        <w:t xml:space="preserve"> Partners activos por clientes gestionados. Alimenta la línea Partner.</w:t>
      </w:r>
    </w:p>
    <w:p>
      <w:pPr>
        <w:jc w:val="both"/>
      </w:pPr>
      <w:r>
        <w:rPr>
          <w:rFonts w:ascii="Calibri" w:hAnsi="Calibri" w:cs="Calibri"/>
        </w:rPr>
        <w:t xml:space="preserve">Las altas del </w:t>
      </w:r>
      <w:r>
        <w:rPr>
          <w:rFonts w:ascii="Calibri" w:hAnsi="Calibri" w:cs="Calibri"/>
        </w:rPr>
        <w:t>Plan Estándar</w:t>
      </w:r>
      <w:r>
        <w:rPr>
          <w:rFonts w:ascii="Calibri" w:hAnsi="Calibri" w:cs="Calibri"/>
        </w:rPr>
        <w:t xml:space="preserve"> son un supuesto directo por año y no salen del embudo: el ciclo de venta del Segmento B es de sesenta a noventa días (documento 5.3.5) y el primer cliente no entra por una prueba gratuita. Son 1,2 / 4,8 / 9,6 / 14,4 clientes nuevos por año.</w:t>
      </w:r>
    </w:p>
    <w:p>
      <w:pPr>
        <w:jc w:val="both"/>
      </w:pPr>
      <w:r>
        <w:rPr>
          <w:rFonts w:ascii="Calibri" w:hAnsi="Calibri" w:cs="Calibri"/>
        </w:rPr>
        <w:t>Las bajas se aplican sobre la base al inicio del mes con la tasa del punto 1.5.</w:t>
      </w:r>
    </w:p>
    <w:p>
      <w:pPr>
        <w:jc w:val="both"/>
      </w:pPr>
      <w:r>
        <w:rPr>
          <w:rFonts w:ascii="Calibri" w:hAnsi="Calibri" w:cs="Calibri"/>
        </w:rPr>
        <w:t>Cuánto trabajo genera el embudo, ahora que es autogestionado.</w:t>
      </w:r>
      <w:r>
        <w:rPr>
          <w:rFonts w:ascii="Calibri" w:hAnsi="Calibri" w:cs="Calibri"/>
        </w:rPr>
        <w:t xml:space="preserve"> Es el control que hay que mirar en un modelo de venta sin vendedor, porque la carga no desaparece, se mueve: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470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En diciembre de</w:t>
            </w:r>
          </w:p>
        </w:tc>
        <w:tc>
          <w:tcPr>
            <w:tcW w:type="dxa" w:w="95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95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95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95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r>
      <w:tr>
        <w:tc>
          <w:tcPr>
            <w:tcW w:type="dxa" w:w="4701"/>
            <w:vAlign w:val="center"/>
            <w:tcMar>
              <w:top w:w="100" w:type="dxa"/>
              <w:left w:w="100" w:type="dxa"/>
              <w:bottom w:w="100" w:type="dxa"/>
              <w:right w:w="100" w:type="dxa"/>
            </w:tcMar>
          </w:tcPr>
          <w:p>
            <w:pPr>
              <w:spacing w:after="0" w:line="240" w:lineRule="auto"/>
              <w:jc w:val="left"/>
            </w:pPr>
            <w:r>
              <w:rPr>
                <w:rFonts w:ascii="Calibri" w:hAnsi="Calibri" w:cs="Calibri"/>
                <w:sz w:val="20"/>
              </w:rPr>
              <w:t>Pruebas gratuitas iniciadas por mes</w:t>
            </w:r>
          </w:p>
        </w:tc>
        <w:tc>
          <w:tcPr>
            <w:tcW w:type="dxa" w:w="951"/>
            <w:vAlign w:val="center"/>
            <w:tcMar>
              <w:top w:w="100" w:type="dxa"/>
              <w:left w:w="100" w:type="dxa"/>
              <w:bottom w:w="100" w:type="dxa"/>
              <w:right w:w="100" w:type="dxa"/>
            </w:tcMar>
          </w:tcPr>
          <w:p>
            <w:pPr>
              <w:spacing w:after="0" w:line="240" w:lineRule="auto"/>
              <w:jc w:val="right"/>
            </w:pPr>
            <w:r>
              <w:rPr>
                <w:rFonts w:ascii="Calibri" w:hAnsi="Calibri" w:cs="Calibri"/>
                <w:sz w:val="20"/>
              </w:rPr>
              <w:t>21</w:t>
            </w:r>
          </w:p>
        </w:tc>
        <w:tc>
          <w:tcPr>
            <w:tcW w:type="dxa" w:w="951"/>
            <w:vAlign w:val="center"/>
            <w:tcMar>
              <w:top w:w="100" w:type="dxa"/>
              <w:left w:w="100" w:type="dxa"/>
              <w:bottom w:w="100" w:type="dxa"/>
              <w:right w:w="100" w:type="dxa"/>
            </w:tcMar>
          </w:tcPr>
          <w:p>
            <w:pPr>
              <w:spacing w:after="0" w:line="240" w:lineRule="auto"/>
              <w:jc w:val="right"/>
            </w:pPr>
            <w:r>
              <w:rPr>
                <w:rFonts w:ascii="Calibri" w:hAnsi="Calibri" w:cs="Calibri"/>
                <w:sz w:val="20"/>
              </w:rPr>
              <w:t>53</w:t>
            </w:r>
          </w:p>
        </w:tc>
        <w:tc>
          <w:tcPr>
            <w:tcW w:type="dxa" w:w="951"/>
            <w:vAlign w:val="center"/>
            <w:tcMar>
              <w:top w:w="100" w:type="dxa"/>
              <w:left w:w="100" w:type="dxa"/>
              <w:bottom w:w="100" w:type="dxa"/>
              <w:right w:w="100" w:type="dxa"/>
            </w:tcMar>
          </w:tcPr>
          <w:p>
            <w:pPr>
              <w:spacing w:after="0" w:line="240" w:lineRule="auto"/>
              <w:jc w:val="right"/>
            </w:pPr>
            <w:r>
              <w:rPr>
                <w:rFonts w:ascii="Calibri" w:hAnsi="Calibri" w:cs="Calibri"/>
                <w:sz w:val="20"/>
              </w:rPr>
              <w:t>94</w:t>
            </w:r>
          </w:p>
        </w:tc>
        <w:tc>
          <w:tcPr>
            <w:tcW w:type="dxa" w:w="951"/>
            <w:vAlign w:val="center"/>
            <w:tcMar>
              <w:top w:w="100" w:type="dxa"/>
              <w:left w:w="100" w:type="dxa"/>
              <w:bottom w:w="100" w:type="dxa"/>
              <w:right w:w="100" w:type="dxa"/>
            </w:tcMar>
          </w:tcPr>
          <w:p>
            <w:pPr>
              <w:spacing w:after="0" w:line="240" w:lineRule="auto"/>
              <w:jc w:val="right"/>
            </w:pPr>
            <w:r>
              <w:rPr>
                <w:rFonts w:ascii="Calibri" w:hAnsi="Calibri" w:cs="Calibri"/>
                <w:sz w:val="20"/>
              </w:rPr>
              <w:t>135</w:t>
            </w:r>
          </w:p>
        </w:tc>
      </w:tr>
      <w:tr>
        <w:tc>
          <w:tcPr>
            <w:tcW w:type="dxa" w:w="4701"/>
            <w:vAlign w:val="center"/>
            <w:tcMar>
              <w:top w:w="100" w:type="dxa"/>
              <w:left w:w="100" w:type="dxa"/>
              <w:bottom w:w="100" w:type="dxa"/>
              <w:right w:w="100" w:type="dxa"/>
            </w:tcMar>
          </w:tcPr>
          <w:p>
            <w:pPr>
              <w:spacing w:after="0" w:line="240" w:lineRule="auto"/>
              <w:jc w:val="left"/>
            </w:pPr>
            <w:r>
              <w:rPr>
                <w:rFonts w:ascii="Calibri" w:hAnsi="Calibri" w:cs="Calibri"/>
                <w:sz w:val="20"/>
              </w:rPr>
              <w:t>Clientes nuevos por embudo directo, por mes</w:t>
            </w:r>
          </w:p>
        </w:tc>
        <w:tc>
          <w:tcPr>
            <w:tcW w:type="dxa" w:w="951"/>
            <w:vAlign w:val="center"/>
            <w:tcMar>
              <w:top w:w="100" w:type="dxa"/>
              <w:left w:w="100" w:type="dxa"/>
              <w:bottom w:w="100" w:type="dxa"/>
              <w:right w:w="100" w:type="dxa"/>
            </w:tcMar>
          </w:tcPr>
          <w:p>
            <w:pPr>
              <w:spacing w:after="0" w:line="240" w:lineRule="auto"/>
              <w:jc w:val="right"/>
            </w:pPr>
            <w:r>
              <w:rPr>
                <w:rFonts w:ascii="Calibri" w:hAnsi="Calibri" w:cs="Calibri"/>
                <w:sz w:val="20"/>
              </w:rPr>
              <w:t>2,5</w:t>
            </w:r>
          </w:p>
        </w:tc>
        <w:tc>
          <w:tcPr>
            <w:tcW w:type="dxa" w:w="951"/>
            <w:vAlign w:val="center"/>
            <w:tcMar>
              <w:top w:w="100" w:type="dxa"/>
              <w:left w:w="100" w:type="dxa"/>
              <w:bottom w:w="100" w:type="dxa"/>
              <w:right w:w="100" w:type="dxa"/>
            </w:tcMar>
          </w:tcPr>
          <w:p>
            <w:pPr>
              <w:spacing w:after="0" w:line="240" w:lineRule="auto"/>
              <w:jc w:val="right"/>
            </w:pPr>
            <w:r>
              <w:rPr>
                <w:rFonts w:ascii="Calibri" w:hAnsi="Calibri" w:cs="Calibri"/>
                <w:sz w:val="20"/>
              </w:rPr>
              <w:t>6,3</w:t>
            </w:r>
          </w:p>
        </w:tc>
        <w:tc>
          <w:tcPr>
            <w:tcW w:type="dxa" w:w="951"/>
            <w:vAlign w:val="center"/>
            <w:tcMar>
              <w:top w:w="100" w:type="dxa"/>
              <w:left w:w="100" w:type="dxa"/>
              <w:bottom w:w="100" w:type="dxa"/>
              <w:right w:w="100" w:type="dxa"/>
            </w:tcMar>
          </w:tcPr>
          <w:p>
            <w:pPr>
              <w:spacing w:after="0" w:line="240" w:lineRule="auto"/>
              <w:jc w:val="right"/>
            </w:pPr>
            <w:r>
              <w:rPr>
                <w:rFonts w:ascii="Calibri" w:hAnsi="Calibri" w:cs="Calibri"/>
                <w:sz w:val="20"/>
              </w:rPr>
              <w:t>11,3</w:t>
            </w:r>
          </w:p>
        </w:tc>
        <w:tc>
          <w:tcPr>
            <w:tcW w:type="dxa" w:w="951"/>
            <w:vAlign w:val="center"/>
            <w:tcMar>
              <w:top w:w="100" w:type="dxa"/>
              <w:left w:w="100" w:type="dxa"/>
              <w:bottom w:w="100" w:type="dxa"/>
              <w:right w:w="100" w:type="dxa"/>
            </w:tcMar>
          </w:tcPr>
          <w:p>
            <w:pPr>
              <w:spacing w:after="0" w:line="240" w:lineRule="auto"/>
              <w:jc w:val="right"/>
            </w:pPr>
            <w:r>
              <w:rPr>
                <w:rFonts w:ascii="Calibri" w:hAnsi="Calibri" w:cs="Calibri"/>
                <w:sz w:val="20"/>
              </w:rPr>
              <w:t>16,1</w:t>
            </w:r>
          </w:p>
        </w:tc>
      </w:tr>
    </w:tbl>
    <w:p>
      <w:pPr>
        <w:jc w:val="both"/>
      </w:pPr>
      <w:r>
        <w:rPr>
          <w:rFonts w:ascii="Calibri" w:hAnsi="Calibri" w:cs="Calibri"/>
        </w:rPr>
        <w:t>Ciento treinta y cinco pruebas por mes no consumen horas de nadie mientras el alta sea autogestionada: ése es el punto del cambio. Lo que sí consume horas es el onboarding de los que convierten —dieciséis por mes en 2030—, y eso está modelado como costo variable por cliente en el punto 6, así que crece con la cartera en lugar de chocar contra la agenda de una persona.</w:t>
      </w:r>
    </w:p>
    <w:p>
      <w:pPr>
        <w:jc w:val="both"/>
      </w:pPr>
      <w:r>
        <w:rPr>
          <w:rFonts w:ascii="Calibri" w:hAnsi="Calibri" w:cs="Calibri"/>
        </w:rPr>
        <w:t>Sobre los clientes con decimales.</w:t>
      </w:r>
      <w:r>
        <w:rPr>
          <w:rFonts w:ascii="Calibri" w:hAnsi="Calibri" w:cs="Calibri"/>
        </w:rPr>
        <w:t xml:space="preserve"> La proyección trabaja con fracciones —1,2 clientes nuevos en el año 1— y no con enteros, a propósito: redondear mes a mes acumula un error que al mes 48 es mayor que el decimal que se quiso evitar. Hay que leerlo como un promedio, no como que existe un quinto de cliente.</w:t>
      </w:r>
    </w:p>
    <w:p>
      <w:pPr>
        <w:jc w:val="both"/>
      </w:pPr>
      <w:r>
        <w:rPr>
          <w:rFonts w:ascii="Calibri" w:hAnsi="Calibri" w:cs="Calibri"/>
        </w:rPr>
        <w:t>Y una meta del documento que el modelo no alcanza.</w:t>
      </w:r>
      <w:r>
        <w:rPr>
          <w:rFonts w:ascii="Calibri" w:hAnsi="Calibri" w:cs="Calibri"/>
        </w:rPr>
        <w:t xml:space="preserve"> La sección 5.3.3 fija dos metas al mes 12, y el libro las verifica al pie de la hoja *Proyección de ventas*:</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trPr>
        <w:tc>
          <w:tcPr>
            <w:tcW w:type="dxa" w:w="3592"/>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Control al mes 12</w:t>
            </w:r>
          </w:p>
        </w:tc>
        <w:tc>
          <w:tcPr>
            <w:tcW w:type="dxa" w:w="2172"/>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Proyectado</w:t>
            </w:r>
          </w:p>
        </w:tc>
        <w:tc>
          <w:tcPr>
            <w:tcW w:type="dxa" w:w="98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Meta</w:t>
            </w:r>
          </w:p>
        </w:tc>
        <w:tc>
          <w:tcPr>
            <w:tcW w:type="dxa" w:w="1752"/>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Desvío</w:t>
            </w:r>
          </w:p>
        </w:tc>
      </w:tr>
      <w:tr>
        <w:tc>
          <w:tcPr>
            <w:tcW w:type="dxa" w:w="3592"/>
            <w:vAlign w:val="center"/>
            <w:tcMar>
              <w:top w:w="100" w:type="dxa"/>
              <w:left w:w="100" w:type="dxa"/>
              <w:bottom w:w="100" w:type="dxa"/>
              <w:right w:w="100" w:type="dxa"/>
            </w:tcMar>
          </w:tcPr>
          <w:p>
            <w:pPr>
              <w:spacing w:after="0" w:line="240" w:lineRule="auto"/>
              <w:jc w:val="left"/>
            </w:pPr>
            <w:r>
              <w:rPr>
                <w:rFonts w:ascii="Calibri" w:hAnsi="Calibri" w:cs="Calibri"/>
                <w:sz w:val="20"/>
              </w:rPr>
              <w:t>Clientes pagos activos</w:t>
            </w:r>
          </w:p>
        </w:tc>
        <w:tc>
          <w:tcPr>
            <w:tcW w:type="dxa" w:w="2172"/>
            <w:vAlign w:val="center"/>
            <w:tcMar>
              <w:top w:w="100" w:type="dxa"/>
              <w:left w:w="100" w:type="dxa"/>
              <w:bottom w:w="100" w:type="dxa"/>
              <w:right w:w="100" w:type="dxa"/>
            </w:tcMar>
          </w:tcPr>
          <w:p>
            <w:pPr>
              <w:spacing w:after="0" w:line="240" w:lineRule="auto"/>
              <w:jc w:val="right"/>
            </w:pPr>
            <w:r>
              <w:rPr>
                <w:rFonts w:ascii="Calibri" w:hAnsi="Calibri" w:cs="Calibri"/>
                <w:sz w:val="20"/>
              </w:rPr>
              <w:t>22,8</w:t>
            </w:r>
          </w:p>
        </w:tc>
        <w:tc>
          <w:tcPr>
            <w:tcW w:type="dxa" w:w="989"/>
            <w:vAlign w:val="center"/>
            <w:tcMar>
              <w:top w:w="100" w:type="dxa"/>
              <w:left w:w="100" w:type="dxa"/>
              <w:bottom w:w="100" w:type="dxa"/>
              <w:right w:w="100" w:type="dxa"/>
            </w:tcMar>
          </w:tcPr>
          <w:p>
            <w:pPr>
              <w:spacing w:after="0" w:line="240" w:lineRule="auto"/>
              <w:jc w:val="right"/>
            </w:pPr>
            <w:r>
              <w:rPr>
                <w:rFonts w:ascii="Calibri" w:hAnsi="Calibri" w:cs="Calibri"/>
                <w:sz w:val="20"/>
              </w:rPr>
              <w:t>25</w:t>
            </w:r>
          </w:p>
        </w:tc>
        <w:tc>
          <w:tcPr>
            <w:tcW w:type="dxa" w:w="1752"/>
            <w:vAlign w:val="center"/>
            <w:tcMar>
              <w:top w:w="100" w:type="dxa"/>
              <w:left w:w="100" w:type="dxa"/>
              <w:bottom w:w="100" w:type="dxa"/>
              <w:right w:w="100" w:type="dxa"/>
            </w:tcMar>
          </w:tcPr>
          <w:p>
            <w:pPr>
              <w:spacing w:after="0" w:line="240" w:lineRule="auto"/>
              <w:jc w:val="left"/>
            </w:pPr>
            <w:r>
              <w:rPr>
                <w:rFonts w:ascii="Calibri" w:hAnsi="Calibri" w:cs="Calibri"/>
                <w:sz w:val="20"/>
              </w:rPr>
              <w:t>−8,9 %</w:t>
            </w:r>
          </w:p>
        </w:tc>
      </w:tr>
      <w:tr>
        <w:tc>
          <w:tcPr>
            <w:tcW w:type="dxa" w:w="3592"/>
            <w:vAlign w:val="center"/>
            <w:tcMar>
              <w:top w:w="100" w:type="dxa"/>
              <w:left w:w="100" w:type="dxa"/>
              <w:bottom w:w="100" w:type="dxa"/>
              <w:right w:w="100" w:type="dxa"/>
            </w:tcMar>
          </w:tcPr>
          <w:p>
            <w:pPr>
              <w:spacing w:after="0" w:line="240" w:lineRule="auto"/>
              <w:jc w:val="left"/>
            </w:pPr>
            <w:r>
              <w:rPr>
                <w:rFonts w:ascii="Calibri" w:hAnsi="Calibri" w:cs="Calibri"/>
                <w:sz w:val="20"/>
              </w:rPr>
              <w:t>Equipos administrados</w:t>
            </w:r>
          </w:p>
        </w:tc>
        <w:tc>
          <w:tcPr>
            <w:tcW w:type="dxa" w:w="2172"/>
            <w:vAlign w:val="center"/>
            <w:tcMar>
              <w:top w:w="100" w:type="dxa"/>
              <w:left w:w="100" w:type="dxa"/>
              <w:bottom w:w="100" w:type="dxa"/>
              <w:right w:w="100" w:type="dxa"/>
            </w:tcMar>
          </w:tcPr>
          <w:p>
            <w:pPr>
              <w:spacing w:after="0" w:line="240" w:lineRule="auto"/>
              <w:jc w:val="right"/>
            </w:pPr>
            <w:r>
              <w:rPr>
                <w:rFonts w:ascii="Calibri" w:hAnsi="Calibri" w:cs="Calibri"/>
                <w:sz w:val="20"/>
              </w:rPr>
              <w:t>461</w:t>
            </w:r>
          </w:p>
        </w:tc>
        <w:tc>
          <w:tcPr>
            <w:tcW w:type="dxa" w:w="989"/>
            <w:vAlign w:val="center"/>
            <w:tcMar>
              <w:top w:w="100" w:type="dxa"/>
              <w:left w:w="100" w:type="dxa"/>
              <w:bottom w:w="100" w:type="dxa"/>
              <w:right w:w="100" w:type="dxa"/>
            </w:tcMar>
          </w:tcPr>
          <w:p>
            <w:pPr>
              <w:spacing w:after="0" w:line="240" w:lineRule="auto"/>
              <w:jc w:val="right"/>
            </w:pPr>
            <w:r>
              <w:rPr>
                <w:rFonts w:ascii="Calibri" w:hAnsi="Calibri" w:cs="Calibri"/>
                <w:sz w:val="20"/>
              </w:rPr>
              <w:t>450</w:t>
            </w:r>
          </w:p>
        </w:tc>
        <w:tc>
          <w:tcPr>
            <w:tcW w:type="dxa" w:w="1752"/>
            <w:vAlign w:val="center"/>
            <w:tcMar>
              <w:top w:w="100" w:type="dxa"/>
              <w:left w:w="100" w:type="dxa"/>
              <w:bottom w:w="100" w:type="dxa"/>
              <w:right w:w="100" w:type="dxa"/>
            </w:tcMar>
          </w:tcPr>
          <w:p>
            <w:pPr>
              <w:spacing w:after="0" w:line="240" w:lineRule="auto"/>
              <w:jc w:val="left"/>
            </w:pPr>
            <w:r>
              <w:rPr>
                <w:rFonts w:ascii="Calibri" w:hAnsi="Calibri" w:cs="Calibri"/>
                <w:sz w:val="20"/>
              </w:rPr>
              <w:t>+2,3 %</w:t>
            </w:r>
          </w:p>
        </w:tc>
      </w:tr>
    </w:tbl>
    <w:p>
      <w:pPr>
        <w:jc w:val="both"/>
      </w:pPr>
      <w:r>
        <w:rPr>
          <w:rFonts w:ascii="Calibri" w:hAnsi="Calibri" w:cs="Calibri"/>
        </w:rPr>
        <w:t>Los dos controles cierran, y la meta de equipos se corrigió.</w:t>
      </w:r>
      <w:r>
        <w:rPr>
          <w:rFonts w:ascii="Calibri" w:hAnsi="Calibri" w:cs="Calibri"/>
        </w:rPr>
        <w:t xml:space="preserve"> La versión anterior del documento fijaba 1.000 equipos al mes 12, y el modelo daba la mitad. No era un problema del modelo: </w:t>
      </w:r>
      <w:r>
        <w:rPr>
          <w:rFonts w:ascii="Calibri" w:hAnsi="Calibri" w:cs="Calibri"/>
        </w:rPr>
        <w:t>1.000 equipos entre 25 clientes son 40 equipos por cliente</w:t>
      </w:r>
      <w:r>
        <w:rPr>
          <w:rFonts w:ascii="Calibri" w:hAnsi="Calibri" w:cs="Calibri"/>
        </w:rPr>
        <w:t>, cuando el Plan Inicial —el del segmento principal— incluye 15 y el propio documento describe al Segmento A con parques de 18 a 24. Había una segunda consecuencia peor: con 40 equipos por cliente, cada uno pagaría 25 adicionales a $ 4.200, o sea $ 105.000 por encima de un abono de $ 89.000, y la facturación por equipo adicional superaría al abono. El plan quedaba vendiendo adicionales y llamándolo suscripción.</w:t>
      </w:r>
    </w:p>
    <w:p>
      <w:pPr>
        <w:jc w:val="both"/>
      </w:pPr>
      <w:r>
        <w:rPr>
          <w:rFonts w:ascii="Calibri" w:hAnsi="Calibri" w:cs="Calibri"/>
        </w:rPr>
        <w:t xml:space="preserve">La meta pasó a </w:t>
      </w:r>
      <w:r>
        <w:rPr>
          <w:rFonts w:ascii="Calibri" w:hAnsi="Calibri" w:cs="Calibri"/>
        </w:rPr>
        <w:t>450 equipos al mes 12</w:t>
      </w:r>
      <w:r>
        <w:rPr>
          <w:rFonts w:ascii="Calibri" w:hAnsi="Calibri" w:cs="Calibri"/>
        </w:rPr>
        <w:t xml:space="preserve"> —25 clientes por un parque de 18—, y los 1.000 quedaron como objetivo del segundo año, cuando la mezcla incorpore clientes del Segmento B, que traen parques de 90 a 120. El modelo da 461, un 2,3 % por encima. Los clientes quedan un 8,9 % por debajo de la meta de 25, y se deja escrito: es la consecuencia de haber sacado la demostración del embudo, que baja la conversión a cambio de sacarle el techo al volumen.</w:t>
      </w:r>
    </w:p>
    <w:p>
      <w:pPr>
        <w:pStyle w:val="Ttulo1"/>
        <w:pageBreakBefore/>
        <w:jc w:val="both"/>
      </w:pPr>
      <w:r>
        <w:rPr>
          <w:rFonts w:ascii="Calibri" w:hAnsi="Calibri" w:cs="Calibri"/>
          <w:b/>
          <w:color w:val="000000"/>
        </w:rPr>
        <w:t>4. Modelo de ingresos</w:t>
      </w:r>
    </w:p>
    <w:p>
      <w:pPr>
        <w:jc w:val="both"/>
      </w:pPr>
      <w:r>
        <w:rPr>
          <w:rFonts w:ascii="Calibri" w:hAnsi="Calibri" w:cs="Calibri"/>
        </w:rPr>
        <w:t>La facturación de cada línea, mes a mes:</w:t>
      </w:r>
    </w:p>
    <w:p>
      <w:pPr>
        <w:jc w:val="both"/>
      </w:pPr>
      <w:r>
        <w:rPr>
          <w:rFonts w:ascii="Calibri" w:hAnsi="Calibri" w:cs="Calibri"/>
        </w:rPr>
        <w:t>base activa × abono mensual + (equipos promedio − equipos incluidos) × precio del equipo adicional</w:t>
      </w:r>
    </w:p>
    <w:p>
      <w:pPr>
        <w:jc w:val="both"/>
      </w:pPr>
      <w:r>
        <w:rPr>
          <w:rFonts w:ascii="Calibri" w:hAnsi="Calibri" w:cs="Calibri"/>
        </w:rPr>
        <w:t xml:space="preserve">Las dos partes se informan por separado en la hoja </w:t>
      </w:r>
      <w:r>
        <w:rPr>
          <w:rFonts w:ascii="Calibri" w:hAnsi="Calibri" w:cs="Calibri"/>
        </w:rPr>
        <w:t>Modelo de ingresos</w:t>
      </w:r>
      <w:r>
        <w:rPr>
          <w:rFonts w:ascii="Calibri" w:hAnsi="Calibri" w:cs="Calibri"/>
        </w:rPr>
        <w:t>, porque responden preguntas distintas: la primera dice cuántos clientes hay y la segunda cuánto crece el parque que administran.</w:t>
      </w:r>
    </w:p>
    <w:p>
      <w:pPr>
        <w:jc w:val="both"/>
      </w:pPr>
      <w:r>
        <w:rPr>
          <w:rFonts w:ascii="Calibri" w:hAnsi="Calibri" w:cs="Calibri"/>
        </w:rPr>
        <w:t>Los precios se ajustan una vez por año por el supuesto de aumento de precios de lista del punto 1.1, no por inflación. Es una decisión de política comercial: la revisión es trimestral y va apenas por encima de la inflación proyectada, de modo que el precio real no se licúe.</w:t>
      </w:r>
    </w:p>
    <w:p>
      <w:pPr>
        <w:jc w:val="both"/>
      </w:pPr>
      <w:r>
        <w:rPr>
          <w:rFonts w:ascii="Calibri" w:hAnsi="Calibri" w:cs="Calibri"/>
        </w:rPr>
        <w:t>Ninguna línea factura antes de tener base activa, así que el mes 1 no tiene ingresos por definición.</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4134"/>
            <w:vAlign w:val="center"/>
            <w:tcMar>
              <w:top w:w="100" w:type="dxa"/>
              <w:left w:w="100" w:type="dxa"/>
              <w:bottom w:w="100" w:type="dxa"/>
              <w:right w:w="100" w:type="dxa"/>
            </w:tcMar>
            <w:tcBorders>
              <w:bottom w:val="single" w:sz="18" w:space="0" w:color="000000"/>
            </w:tcBorders>
          </w:tcPr>
          <w:p>
            <w:pPr>
              <w:spacing w:after="0" w:line="240" w:lineRule="auto"/>
              <w:jc w:val="center"/>
            </w:pPr>
          </w:p>
        </w:tc>
        <w:tc>
          <w:tcPr>
            <w:tcW w:type="dxa" w:w="952"/>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113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113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113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r>
      <w:tr>
        <w:tc>
          <w:tcPr>
            <w:tcW w:type="dxa" w:w="4134"/>
            <w:vAlign w:val="center"/>
            <w:tcMar>
              <w:top w:w="100" w:type="dxa"/>
              <w:left w:w="100" w:type="dxa"/>
              <w:bottom w:w="100" w:type="dxa"/>
              <w:right w:w="100" w:type="dxa"/>
            </w:tcMar>
          </w:tcPr>
          <w:p>
            <w:pPr>
              <w:spacing w:after="0" w:line="240" w:lineRule="auto"/>
              <w:jc w:val="left"/>
            </w:pPr>
            <w:r>
              <w:rPr>
                <w:rFonts w:ascii="Calibri" w:hAnsi="Calibri" w:cs="Calibri"/>
                <w:sz w:val="20"/>
              </w:rPr>
              <w:t>Ingresos</w:t>
            </w:r>
          </w:p>
        </w:tc>
        <w:tc>
          <w:tcPr>
            <w:tcW w:type="dxa" w:w="952"/>
            <w:vAlign w:val="center"/>
            <w:tcMar>
              <w:top w:w="100" w:type="dxa"/>
              <w:left w:w="100" w:type="dxa"/>
              <w:bottom w:w="100" w:type="dxa"/>
              <w:right w:w="100" w:type="dxa"/>
            </w:tcMar>
          </w:tcPr>
          <w:p>
            <w:pPr>
              <w:spacing w:after="0" w:line="240" w:lineRule="auto"/>
              <w:jc w:val="right"/>
            </w:pPr>
            <w:r>
              <w:rPr>
                <w:rFonts w:ascii="Calibri" w:hAnsi="Calibri" w:cs="Calibri"/>
                <w:sz w:val="20"/>
              </w:rPr>
              <w:t>10,4</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85,3</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280,8</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639,9</w:t>
            </w:r>
          </w:p>
        </w:tc>
      </w:tr>
      <w:tr>
        <w:tc>
          <w:tcPr>
            <w:tcW w:type="dxa" w:w="4134"/>
            <w:vAlign w:val="center"/>
            <w:tcMar>
              <w:top w:w="100" w:type="dxa"/>
              <w:left w:w="100" w:type="dxa"/>
              <w:bottom w:w="100" w:type="dxa"/>
              <w:right w:w="100" w:type="dxa"/>
            </w:tcMar>
          </w:tcPr>
          <w:p>
            <w:pPr>
              <w:spacing w:after="0" w:line="240" w:lineRule="auto"/>
              <w:jc w:val="left"/>
            </w:pPr>
            <w:r>
              <w:rPr>
                <w:rFonts w:ascii="Calibri" w:hAnsi="Calibri" w:cs="Calibri"/>
                <w:sz w:val="20"/>
              </w:rPr>
              <w:t>Clientes activos al cierre</w:t>
            </w:r>
          </w:p>
        </w:tc>
        <w:tc>
          <w:tcPr>
            <w:tcW w:type="dxa" w:w="952"/>
            <w:vAlign w:val="center"/>
            <w:tcMar>
              <w:top w:w="100" w:type="dxa"/>
              <w:left w:w="100" w:type="dxa"/>
              <w:bottom w:w="100" w:type="dxa"/>
              <w:right w:w="100" w:type="dxa"/>
            </w:tcMar>
          </w:tcPr>
          <w:p>
            <w:pPr>
              <w:spacing w:after="0" w:line="240" w:lineRule="auto"/>
              <w:jc w:val="right"/>
            </w:pPr>
            <w:r>
              <w:rPr>
                <w:rFonts w:ascii="Calibri" w:hAnsi="Calibri" w:cs="Calibri"/>
                <w:sz w:val="20"/>
              </w:rPr>
              <w:t>23</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84</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202</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350</w:t>
            </w:r>
          </w:p>
        </w:tc>
      </w:tr>
      <w:tr>
        <w:tc>
          <w:tcPr>
            <w:tcW w:type="dxa" w:w="4134"/>
            <w:vAlign w:val="center"/>
            <w:tcMar>
              <w:top w:w="100" w:type="dxa"/>
              <w:left w:w="100" w:type="dxa"/>
              <w:bottom w:w="100" w:type="dxa"/>
              <w:right w:w="100" w:type="dxa"/>
            </w:tcMar>
          </w:tcPr>
          <w:p>
            <w:pPr>
              <w:spacing w:after="0" w:line="240" w:lineRule="auto"/>
              <w:jc w:val="left"/>
            </w:pPr>
            <w:r>
              <w:rPr>
                <w:rFonts w:ascii="Calibri" w:hAnsi="Calibri" w:cs="Calibri"/>
                <w:sz w:val="20"/>
              </w:rPr>
              <w:t>Equipos administrados al cierre</w:t>
            </w:r>
          </w:p>
        </w:tc>
        <w:tc>
          <w:tcPr>
            <w:tcW w:type="dxa" w:w="952"/>
            <w:vAlign w:val="center"/>
            <w:tcMar>
              <w:top w:w="100" w:type="dxa"/>
              <w:left w:w="100" w:type="dxa"/>
              <w:bottom w:w="100" w:type="dxa"/>
              <w:right w:w="100" w:type="dxa"/>
            </w:tcMar>
          </w:tcPr>
          <w:p>
            <w:pPr>
              <w:spacing w:after="0" w:line="240" w:lineRule="auto"/>
              <w:jc w:val="right"/>
            </w:pPr>
            <w:r>
              <w:rPr>
                <w:rFonts w:ascii="Calibri" w:hAnsi="Calibri" w:cs="Calibri"/>
                <w:sz w:val="20"/>
              </w:rPr>
              <w:t>461</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1.898</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4.977</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9.370</w:t>
            </w:r>
          </w:p>
        </w:tc>
      </w:tr>
    </w:tbl>
    <w:p>
      <w:pPr>
        <w:jc w:val="both"/>
      </w:pPr>
      <w:r>
        <w:rPr>
          <w:rFonts w:ascii="Calibri" w:hAnsi="Calibri" w:cs="Calibri"/>
        </w:rPr>
        <w:t>La facturación crece más rápido que la base de clientes, y no es un error: cada año se suman clientes, cada cliente suma equipos y los precios se actualizan. Las tres cosas se multiplican.</w:t>
      </w:r>
    </w:p>
    <w:p>
      <w:pPr>
        <w:pStyle w:val="Ttulo1"/>
        <w:pageBreakBefore/>
        <w:jc w:val="both"/>
      </w:pPr>
      <w:r>
        <w:rPr>
          <w:rFonts w:ascii="Calibri" w:hAnsi="Calibri" w:cs="Calibri"/>
          <w:b/>
          <w:color w:val="000000"/>
        </w:rPr>
        <w:t>5. Modelo de egresos</w:t>
      </w:r>
    </w:p>
    <w:p>
      <w:pPr>
        <w:jc w:val="both"/>
      </w:pPr>
      <w:r>
        <w:rPr>
          <w:rFonts w:ascii="Calibri" w:hAnsi="Calibri" w:cs="Calibri"/>
        </w:rPr>
        <w:t>El modelo de egresos no carga ningún importe: consolida las tres estructuras de costo que siguen y las presenta en un solo lugar, mes a mes, con el total.</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tblHeader/>
        </w:trPr>
        <w:tc>
          <w:tcPr>
            <w:tcW w:type="dxa" w:w="169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Estructura</w:t>
            </w:r>
          </w:p>
        </w:tc>
        <w:tc>
          <w:tcPr>
            <w:tcW w:type="dxa" w:w="376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Qué incluye</w:t>
            </w:r>
          </w:p>
        </w:tc>
        <w:tc>
          <w:tcPr>
            <w:tcW w:type="dxa" w:w="305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De qué depende</w:t>
            </w:r>
          </w:p>
        </w:tc>
      </w:tr>
      <w:tr>
        <w:tc>
          <w:tcPr>
            <w:tcW w:type="dxa" w:w="1691"/>
            <w:vAlign w:val="center"/>
            <w:tcMar>
              <w:top w:w="100" w:type="dxa"/>
              <w:left w:w="100" w:type="dxa"/>
              <w:bottom w:w="100" w:type="dxa"/>
              <w:right w:w="100" w:type="dxa"/>
            </w:tcMar>
          </w:tcPr>
          <w:p>
            <w:pPr>
              <w:spacing w:after="0" w:line="240" w:lineRule="auto"/>
              <w:jc w:val="left"/>
            </w:pPr>
            <w:r>
              <w:rPr>
                <w:rFonts w:ascii="Calibri" w:hAnsi="Calibri" w:cs="Calibri"/>
                <w:sz w:val="20"/>
              </w:rPr>
              <w:t>Costos fijos</w:t>
            </w:r>
          </w:p>
        </w:tc>
        <w:tc>
          <w:tcPr>
            <w:tcW w:type="dxa" w:w="3760"/>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 base, herramientas, marketing, administración, operación</w:t>
            </w:r>
          </w:p>
        </w:tc>
        <w:tc>
          <w:tcPr>
            <w:tcW w:type="dxa" w:w="3053"/>
            <w:vAlign w:val="center"/>
            <w:tcMar>
              <w:top w:w="100" w:type="dxa"/>
              <w:left w:w="100" w:type="dxa"/>
              <w:bottom w:w="100" w:type="dxa"/>
              <w:right w:w="100" w:type="dxa"/>
            </w:tcMar>
          </w:tcPr>
          <w:p>
            <w:pPr>
              <w:spacing w:after="0" w:line="240" w:lineRule="auto"/>
              <w:jc w:val="left"/>
            </w:pPr>
            <w:r>
              <w:rPr>
                <w:rFonts w:ascii="Calibri" w:hAnsi="Calibri" w:cs="Calibri"/>
                <w:sz w:val="20"/>
              </w:rPr>
              <w:t>Del año, no del volumen</w:t>
            </w:r>
          </w:p>
        </w:tc>
      </w:tr>
      <w:tr>
        <w:tc>
          <w:tcPr>
            <w:tcW w:type="dxa" w:w="1691"/>
            <w:vAlign w:val="center"/>
            <w:tcMar>
              <w:top w:w="100" w:type="dxa"/>
              <w:left w:w="100" w:type="dxa"/>
              <w:bottom w:w="100" w:type="dxa"/>
              <w:right w:w="100" w:type="dxa"/>
            </w:tcMar>
          </w:tcPr>
          <w:p>
            <w:pPr>
              <w:spacing w:after="0" w:line="240" w:lineRule="auto"/>
              <w:jc w:val="left"/>
            </w:pPr>
            <w:r>
              <w:rPr>
                <w:rFonts w:ascii="Calibri" w:hAnsi="Calibri" w:cs="Calibri"/>
                <w:sz w:val="20"/>
              </w:rPr>
              <w:t>Costos variables</w:t>
            </w:r>
          </w:p>
        </w:tc>
        <w:tc>
          <w:tcPr>
            <w:tcW w:type="dxa" w:w="3760"/>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 por cliente, soporte y onboarding, servicio de IA</w:t>
            </w:r>
          </w:p>
        </w:tc>
        <w:tc>
          <w:tcPr>
            <w:tcW w:type="dxa" w:w="3053"/>
            <w:vAlign w:val="center"/>
            <w:tcMar>
              <w:top w:w="100" w:type="dxa"/>
              <w:left w:w="100" w:type="dxa"/>
              <w:bottom w:w="100" w:type="dxa"/>
              <w:right w:w="100" w:type="dxa"/>
            </w:tcMar>
          </w:tcPr>
          <w:p>
            <w:pPr>
              <w:spacing w:after="0" w:line="240" w:lineRule="auto"/>
              <w:jc w:val="left"/>
            </w:pPr>
            <w:r>
              <w:rPr>
                <w:rFonts w:ascii="Calibri" w:hAnsi="Calibri" w:cs="Calibri"/>
                <w:sz w:val="20"/>
              </w:rPr>
              <w:t>De la cantidad de clientes activos</w:t>
            </w:r>
          </w:p>
        </w:tc>
      </w:tr>
      <w:tr>
        <w:tc>
          <w:tcPr>
            <w:tcW w:type="dxa" w:w="1691"/>
            <w:vAlign w:val="center"/>
            <w:tcMar>
              <w:top w:w="100" w:type="dxa"/>
              <w:left w:w="100" w:type="dxa"/>
              <w:bottom w:w="100" w:type="dxa"/>
              <w:right w:w="100" w:type="dxa"/>
            </w:tcMar>
          </w:tcPr>
          <w:p>
            <w:pPr>
              <w:spacing w:after="0" w:line="240" w:lineRule="auto"/>
              <w:jc w:val="left"/>
            </w:pPr>
            <w:r>
              <w:rPr>
                <w:rFonts w:ascii="Calibri" w:hAnsi="Calibri" w:cs="Calibri"/>
                <w:sz w:val="20"/>
              </w:rPr>
              <w:t>Costos de RRHH</w:t>
            </w:r>
          </w:p>
        </w:tc>
        <w:tc>
          <w:tcPr>
            <w:tcW w:type="dxa" w:w="3760"/>
            <w:vAlign w:val="center"/>
            <w:tcMar>
              <w:top w:w="100" w:type="dxa"/>
              <w:left w:w="100" w:type="dxa"/>
              <w:bottom w:w="100" w:type="dxa"/>
              <w:right w:w="100" w:type="dxa"/>
            </w:tcMar>
          </w:tcPr>
          <w:p>
            <w:pPr>
              <w:spacing w:after="0" w:line="240" w:lineRule="auto"/>
              <w:jc w:val="left"/>
            </w:pPr>
            <w:r>
              <w:rPr>
                <w:rFonts w:ascii="Calibri" w:hAnsi="Calibri" w:cs="Calibri"/>
                <w:sz w:val="20"/>
              </w:rPr>
              <w:t>Salarios brutos y cargas sociales</w:t>
            </w:r>
          </w:p>
        </w:tc>
        <w:tc>
          <w:tcPr>
            <w:tcW w:type="dxa" w:w="3053"/>
            <w:vAlign w:val="center"/>
            <w:tcMar>
              <w:top w:w="100" w:type="dxa"/>
              <w:left w:w="100" w:type="dxa"/>
              <w:bottom w:w="100" w:type="dxa"/>
              <w:right w:w="100" w:type="dxa"/>
            </w:tcMar>
          </w:tcPr>
          <w:p>
            <w:pPr>
              <w:spacing w:after="0" w:line="240" w:lineRule="auto"/>
              <w:jc w:val="left"/>
            </w:pPr>
            <w:r>
              <w:rPr>
                <w:rFonts w:ascii="Calibri" w:hAnsi="Calibri" w:cs="Calibri"/>
                <w:sz w:val="20"/>
              </w:rPr>
              <w:t>De la plantilla y del mes de incorporación de cada rol</w:t>
            </w:r>
          </w:p>
        </w:tc>
      </w:tr>
    </w:tbl>
    <w:p>
      <w:pPr>
        <w:jc w:val="both"/>
      </w:pPr>
      <w:r>
        <w:rPr>
          <w:rFonts w:ascii="Calibri" w:hAnsi="Calibri" w:cs="Calibri"/>
        </w:rPr>
        <w:t>Están separadas porque se comportan distinto y porque el punto de equilibrio sólo se puede calcular si se distingue lo que crece con cada cliente de lo que no. Un modelo que suma todo en «gastos» no permite responder cuántos clientes hacen falta para cubrir la estructura.</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243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Estructura</w:t>
            </w:r>
          </w:p>
        </w:tc>
        <w:tc>
          <w:tcPr>
            <w:tcW w:type="dxa" w:w="140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1555"/>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1555"/>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1555"/>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r>
      <w:tr>
        <w:tc>
          <w:tcPr>
            <w:tcW w:type="dxa" w:w="2434"/>
            <w:vAlign w:val="center"/>
            <w:tcMar>
              <w:top w:w="100" w:type="dxa"/>
              <w:left w:w="100" w:type="dxa"/>
              <w:bottom w:w="100" w:type="dxa"/>
              <w:right w:w="100" w:type="dxa"/>
            </w:tcMar>
          </w:tcPr>
          <w:p>
            <w:pPr>
              <w:spacing w:after="0" w:line="240" w:lineRule="auto"/>
              <w:jc w:val="left"/>
            </w:pPr>
            <w:r>
              <w:rPr>
                <w:rFonts w:ascii="Calibri" w:hAnsi="Calibri" w:cs="Calibri"/>
                <w:sz w:val="20"/>
              </w:rPr>
              <w:t>Costos fijos</w:t>
            </w:r>
          </w:p>
        </w:tc>
        <w:tc>
          <w:tcPr>
            <w:tcW w:type="dxa" w:w="1404"/>
            <w:vAlign w:val="center"/>
            <w:tcMar>
              <w:top w:w="100" w:type="dxa"/>
              <w:left w:w="100" w:type="dxa"/>
              <w:bottom w:w="100" w:type="dxa"/>
              <w:right w:w="100" w:type="dxa"/>
            </w:tcMar>
          </w:tcPr>
          <w:p>
            <w:pPr>
              <w:spacing w:after="0" w:line="240" w:lineRule="auto"/>
              <w:jc w:val="right"/>
            </w:pPr>
            <w:r>
              <w:rPr>
                <w:rFonts w:ascii="Calibri" w:hAnsi="Calibri" w:cs="Calibri"/>
                <w:sz w:val="20"/>
              </w:rPr>
              <w:t>7,7</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11,5</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16,5</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21,5</w:t>
            </w:r>
          </w:p>
        </w:tc>
      </w:tr>
      <w:tr>
        <w:tc>
          <w:tcPr>
            <w:tcW w:type="dxa" w:w="2434"/>
            <w:vAlign w:val="center"/>
            <w:tcMar>
              <w:top w:w="100" w:type="dxa"/>
              <w:left w:w="100" w:type="dxa"/>
              <w:bottom w:w="100" w:type="dxa"/>
              <w:right w:w="100" w:type="dxa"/>
            </w:tcMar>
          </w:tcPr>
          <w:p>
            <w:pPr>
              <w:spacing w:after="0" w:line="240" w:lineRule="auto"/>
              <w:jc w:val="left"/>
            </w:pPr>
            <w:r>
              <w:rPr>
                <w:rFonts w:ascii="Calibri" w:hAnsi="Calibri" w:cs="Calibri"/>
                <w:sz w:val="20"/>
              </w:rPr>
              <w:t>Costos variables</w:t>
            </w:r>
          </w:p>
        </w:tc>
        <w:tc>
          <w:tcPr>
            <w:tcW w:type="dxa" w:w="1404"/>
            <w:vAlign w:val="center"/>
            <w:tcMar>
              <w:top w:w="100" w:type="dxa"/>
              <w:left w:w="100" w:type="dxa"/>
              <w:bottom w:w="100" w:type="dxa"/>
              <w:right w:w="100" w:type="dxa"/>
            </w:tcMar>
          </w:tcPr>
          <w:p>
            <w:pPr>
              <w:spacing w:after="0" w:line="240" w:lineRule="auto"/>
              <w:jc w:val="right"/>
            </w:pPr>
            <w:r>
              <w:rPr>
                <w:rFonts w:ascii="Calibri" w:hAnsi="Calibri" w:cs="Calibri"/>
                <w:sz w:val="20"/>
              </w:rPr>
              <w:t>0,9</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6,8</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20,9</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44,4</w:t>
            </w:r>
          </w:p>
        </w:tc>
      </w:tr>
      <w:tr>
        <w:tc>
          <w:tcPr>
            <w:tcW w:type="dxa" w:w="2434"/>
            <w:vAlign w:val="center"/>
            <w:tcMar>
              <w:top w:w="100" w:type="dxa"/>
              <w:left w:w="100" w:type="dxa"/>
              <w:bottom w:w="100" w:type="dxa"/>
              <w:right w:w="100" w:type="dxa"/>
            </w:tcMar>
          </w:tcPr>
          <w:p>
            <w:pPr>
              <w:spacing w:after="0" w:line="240" w:lineRule="auto"/>
              <w:jc w:val="left"/>
            </w:pPr>
            <w:r>
              <w:rPr>
                <w:rFonts w:ascii="Calibri" w:hAnsi="Calibri" w:cs="Calibri"/>
                <w:sz w:val="20"/>
              </w:rPr>
              <w:t>Costos de recursos humanos</w:t>
            </w:r>
          </w:p>
        </w:tc>
        <w:tc>
          <w:tcPr>
            <w:tcW w:type="dxa" w:w="1404"/>
            <w:vAlign w:val="center"/>
            <w:tcMar>
              <w:top w:w="100" w:type="dxa"/>
              <w:left w:w="100" w:type="dxa"/>
              <w:bottom w:w="100" w:type="dxa"/>
              <w:right w:w="100" w:type="dxa"/>
            </w:tcMar>
          </w:tcPr>
          <w:p>
            <w:pPr>
              <w:spacing w:after="0" w:line="240" w:lineRule="auto"/>
              <w:jc w:val="right"/>
            </w:pPr>
            <w:r>
              <w:rPr>
                <w:rFonts w:ascii="Calibri" w:hAnsi="Calibri" w:cs="Calibri"/>
                <w:sz w:val="20"/>
              </w:rPr>
              <w:t>23,9</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124,8</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244,8</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404,4</w:t>
            </w:r>
          </w:p>
        </w:tc>
      </w:tr>
      <w:tr>
        <w:tc>
          <w:tcPr>
            <w:tcW w:type="dxa" w:w="2434"/>
            <w:vAlign w:val="center"/>
            <w:tcMar>
              <w:top w:w="100" w:type="dxa"/>
              <w:left w:w="100" w:type="dxa"/>
              <w:bottom w:w="100" w:type="dxa"/>
              <w:right w:w="100" w:type="dxa"/>
            </w:tcMar>
          </w:tcPr>
          <w:p>
            <w:pPr>
              <w:spacing w:after="0" w:line="240" w:lineRule="auto"/>
              <w:jc w:val="left"/>
            </w:pPr>
            <w:r>
              <w:rPr>
                <w:rFonts w:ascii="Calibri" w:hAnsi="Calibri" w:cs="Calibri"/>
                <w:sz w:val="20"/>
              </w:rPr>
              <w:t>Total</w:t>
            </w:r>
          </w:p>
        </w:tc>
        <w:tc>
          <w:tcPr>
            <w:tcW w:type="dxa" w:w="1404"/>
            <w:vAlign w:val="center"/>
            <w:tcMar>
              <w:top w:w="100" w:type="dxa"/>
              <w:left w:w="100" w:type="dxa"/>
              <w:bottom w:w="100" w:type="dxa"/>
              <w:right w:w="100" w:type="dxa"/>
            </w:tcMar>
          </w:tcPr>
          <w:p>
            <w:pPr>
              <w:spacing w:after="0" w:line="240" w:lineRule="auto"/>
              <w:jc w:val="right"/>
            </w:pPr>
            <w:r>
              <w:rPr>
                <w:rFonts w:ascii="Calibri" w:hAnsi="Calibri" w:cs="Calibri"/>
                <w:sz w:val="20"/>
              </w:rPr>
              <w:t>32,4</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143,1</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282,2</w:t>
            </w:r>
          </w:p>
        </w:tc>
        <w:tc>
          <w:tcPr>
            <w:tcW w:type="dxa" w:w="1555"/>
            <w:vAlign w:val="center"/>
            <w:tcMar>
              <w:top w:w="100" w:type="dxa"/>
              <w:left w:w="100" w:type="dxa"/>
              <w:bottom w:w="100" w:type="dxa"/>
              <w:right w:w="100" w:type="dxa"/>
            </w:tcMar>
          </w:tcPr>
          <w:p>
            <w:pPr>
              <w:spacing w:after="0" w:line="240" w:lineRule="auto"/>
              <w:jc w:val="right"/>
            </w:pPr>
            <w:r>
              <w:rPr>
                <w:rFonts w:ascii="Calibri" w:hAnsi="Calibri" w:cs="Calibri"/>
                <w:sz w:val="20"/>
              </w:rPr>
              <w:t>470,3</w:t>
            </w:r>
          </w:p>
        </w:tc>
      </w:tr>
    </w:tbl>
    <w:p>
      <w:pPr>
        <w:jc w:val="both"/>
      </w:pPr>
      <w:r>
        <w:rPr>
          <w:rFonts w:ascii="Calibri" w:hAnsi="Calibri" w:cs="Calibri"/>
        </w:rPr>
        <w:t>La proporción es la que manda: los recursos humanos son el 73 % de los egresos del primer año y el 86 % del cuarto, y los costos variables —los únicos que crecen con cada cliente— no llegan al 10 % en ningún año. Eso dice dónde se decide la rentabilidad de este negocio, y no es en el precio: es en cuánta gente hace falta para sostener la cartera.</w:t>
      </w:r>
    </w:p>
    <w:p>
      <w:pPr>
        <w:pStyle w:val="Ttulo1"/>
        <w:pageBreakBefore/>
        <w:jc w:val="both"/>
      </w:pPr>
      <w:r>
        <w:rPr>
          <w:rFonts w:ascii="Calibri" w:hAnsi="Calibri" w:cs="Calibri"/>
          <w:b/>
          <w:color w:val="000000"/>
        </w:rPr>
        <w:t>6. Costos fijos</w:t>
      </w:r>
    </w:p>
    <w:p>
      <w:pPr>
        <w:jc w:val="both"/>
      </w:pPr>
      <w:r>
        <w:rPr>
          <w:rFonts w:ascii="Calibri" w:hAnsi="Calibri" w:cs="Calibri"/>
        </w:rPr>
        <w:t>No dependen del volumen de clientes. Se carga el importe mensual promedio de cada año y se mantiene plano dentro del año: el salto de un año al siguiente absorbe la inflación y el crecimiento de la estructura, que en estos conceptos no es gradual sino escalonado.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70"/>
        <w:gridCol w:w="1170"/>
        <w:gridCol w:w="1170"/>
        <w:gridCol w:w="1170"/>
        <w:gridCol w:w="1170"/>
        <w:gridCol w:w="1170"/>
        <w:gridCol w:w="1170"/>
        <w:gridCol w:w="1170"/>
      </w:tblGrid>
      <w:tr>
        <w:trPr>
          <w:tblHeader/>
        </w:trPr>
        <w:tc>
          <w:tcPr>
            <w:tcW w:type="dxa" w:w="157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Concepto</w:t>
            </w:r>
          </w:p>
        </w:tc>
        <w:tc>
          <w:tcPr>
            <w:tcW w:type="dxa" w:w="157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Rubro</w:t>
            </w:r>
          </w:p>
        </w:tc>
        <w:tc>
          <w:tcPr>
            <w:tcW w:type="dxa" w:w="111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CAPEX/OPEX</w:t>
            </w:r>
          </w:p>
        </w:tc>
        <w:tc>
          <w:tcPr>
            <w:tcW w:type="dxa" w:w="92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Origen</w:t>
            </w:r>
          </w:p>
        </w:tc>
        <w:tc>
          <w:tcPr>
            <w:tcW w:type="dxa" w:w="83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83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83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83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r>
      <w:tr>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 en la nube (base)</w:t>
            </w:r>
          </w:p>
        </w:tc>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w:t>
            </w:r>
          </w:p>
        </w:tc>
        <w:tc>
          <w:tcPr>
            <w:tcW w:type="dxa" w:w="1110"/>
            <w:vAlign w:val="center"/>
            <w:tcMar>
              <w:top w:w="100" w:type="dxa"/>
              <w:left w:w="100" w:type="dxa"/>
              <w:bottom w:w="100" w:type="dxa"/>
              <w:right w:w="100" w:type="dxa"/>
            </w:tcMar>
          </w:tcPr>
          <w:p>
            <w:pPr>
              <w:spacing w:after="0" w:line="240" w:lineRule="auto"/>
              <w:jc w:val="left"/>
            </w:pPr>
            <w:r>
              <w:rPr>
                <w:rFonts w:ascii="Calibri" w:hAnsi="Calibri" w:cs="Calibri"/>
                <w:sz w:val="20"/>
              </w:rPr>
              <w:t>OPEX</w:t>
            </w:r>
          </w:p>
        </w:tc>
        <w:tc>
          <w:tcPr>
            <w:tcW w:type="dxa" w:w="923"/>
            <w:vAlign w:val="center"/>
            <w:tcMar>
              <w:top w:w="100" w:type="dxa"/>
              <w:left w:w="100" w:type="dxa"/>
              <w:bottom w:w="100" w:type="dxa"/>
              <w:right w:w="100" w:type="dxa"/>
            </w:tcMar>
          </w:tcPr>
          <w:p>
            <w:pPr>
              <w:spacing w:after="0" w:line="240" w:lineRule="auto"/>
              <w:jc w:val="left"/>
            </w:pPr>
            <w:r>
              <w:rPr>
                <w:rFonts w:ascii="Calibri" w:hAnsi="Calibri" w:cs="Calibri"/>
                <w:sz w:val="20"/>
              </w:rPr>
              <w:t>Exterior</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$ 120.000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$ 200.000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$ 320.000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$ 430.000</w:t>
            </w:r>
          </w:p>
        </w:tc>
      </w:tr>
      <w:tr>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Herramientas y licencias de desarrollo</w:t>
            </w:r>
          </w:p>
        </w:tc>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w:t>
            </w:r>
          </w:p>
        </w:tc>
        <w:tc>
          <w:tcPr>
            <w:tcW w:type="dxa" w:w="1110"/>
            <w:vAlign w:val="center"/>
            <w:tcMar>
              <w:top w:w="100" w:type="dxa"/>
              <w:left w:w="100" w:type="dxa"/>
              <w:bottom w:w="100" w:type="dxa"/>
              <w:right w:w="100" w:type="dxa"/>
            </w:tcMar>
          </w:tcPr>
          <w:p>
            <w:pPr>
              <w:spacing w:after="0" w:line="240" w:lineRule="auto"/>
              <w:jc w:val="left"/>
            </w:pPr>
            <w:r>
              <w:rPr>
                <w:rFonts w:ascii="Calibri" w:hAnsi="Calibri" w:cs="Calibri"/>
                <w:sz w:val="20"/>
              </w:rPr>
              <w:t>OPEX</w:t>
            </w:r>
          </w:p>
        </w:tc>
        <w:tc>
          <w:tcPr>
            <w:tcW w:type="dxa" w:w="923"/>
            <w:vAlign w:val="center"/>
            <w:tcMar>
              <w:top w:w="100" w:type="dxa"/>
              <w:left w:w="100" w:type="dxa"/>
              <w:bottom w:w="100" w:type="dxa"/>
              <w:right w:w="100" w:type="dxa"/>
            </w:tcMar>
          </w:tcPr>
          <w:p>
            <w:pPr>
              <w:spacing w:after="0" w:line="240" w:lineRule="auto"/>
              <w:jc w:val="left"/>
            </w:pPr>
            <w:r>
              <w:rPr>
                <w:rFonts w:ascii="Calibri" w:hAnsi="Calibri" w:cs="Calibri"/>
                <w:sz w:val="20"/>
              </w:rPr>
              <w:t>Exterior</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$ 40.000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$ 60.000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$ 90.000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$ 120.000</w:t>
            </w:r>
          </w:p>
        </w:tc>
      </w:tr>
      <w:tr>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Herramientas de IA del equipo</w:t>
            </w:r>
          </w:p>
        </w:tc>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w:t>
            </w:r>
          </w:p>
        </w:tc>
        <w:tc>
          <w:tcPr>
            <w:tcW w:type="dxa" w:w="1110"/>
            <w:vAlign w:val="center"/>
            <w:tcMar>
              <w:top w:w="100" w:type="dxa"/>
              <w:left w:w="100" w:type="dxa"/>
              <w:bottom w:w="100" w:type="dxa"/>
              <w:right w:w="100" w:type="dxa"/>
            </w:tcMar>
          </w:tcPr>
          <w:p>
            <w:pPr>
              <w:spacing w:after="0" w:line="240" w:lineRule="auto"/>
              <w:jc w:val="left"/>
            </w:pPr>
            <w:r>
              <w:rPr>
                <w:rFonts w:ascii="Calibri" w:hAnsi="Calibri" w:cs="Calibri"/>
                <w:sz w:val="20"/>
              </w:rPr>
              <w:t>OPEX</w:t>
            </w:r>
          </w:p>
        </w:tc>
        <w:tc>
          <w:tcPr>
            <w:tcW w:type="dxa" w:w="923"/>
            <w:vAlign w:val="center"/>
            <w:tcMar>
              <w:top w:w="100" w:type="dxa"/>
              <w:left w:w="100" w:type="dxa"/>
              <w:bottom w:w="100" w:type="dxa"/>
              <w:right w:w="100" w:type="dxa"/>
            </w:tcMar>
          </w:tcPr>
          <w:p>
            <w:pPr>
              <w:spacing w:after="0" w:line="240" w:lineRule="auto"/>
              <w:jc w:val="left"/>
            </w:pPr>
            <w:r>
              <w:rPr>
                <w:rFonts w:ascii="Calibri" w:hAnsi="Calibri" w:cs="Calibri"/>
                <w:sz w:val="20"/>
              </w:rPr>
              <w:t>Exterior</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$ 90.000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$ 140.000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$ 200.000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$ 260.000</w:t>
            </w:r>
          </w:p>
        </w:tc>
      </w:tr>
      <w:tr>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Marketing y contenidos</w:t>
            </w:r>
          </w:p>
        </w:tc>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Comercial</w:t>
            </w:r>
          </w:p>
        </w:tc>
        <w:tc>
          <w:tcPr>
            <w:tcW w:type="dxa" w:w="1110"/>
            <w:vAlign w:val="center"/>
            <w:tcMar>
              <w:top w:w="100" w:type="dxa"/>
              <w:left w:w="100" w:type="dxa"/>
              <w:bottom w:w="100" w:type="dxa"/>
              <w:right w:w="100" w:type="dxa"/>
            </w:tcMar>
          </w:tcPr>
          <w:p>
            <w:pPr>
              <w:spacing w:after="0" w:line="240" w:lineRule="auto"/>
              <w:jc w:val="left"/>
            </w:pPr>
            <w:r>
              <w:rPr>
                <w:rFonts w:ascii="Calibri" w:hAnsi="Calibri" w:cs="Calibri"/>
                <w:sz w:val="20"/>
              </w:rPr>
              <w:t>OPEX</w:t>
            </w:r>
          </w:p>
        </w:tc>
        <w:tc>
          <w:tcPr>
            <w:tcW w:type="dxa" w:w="923"/>
            <w:vAlign w:val="center"/>
            <w:tcMar>
              <w:top w:w="100" w:type="dxa"/>
              <w:left w:w="100" w:type="dxa"/>
              <w:bottom w:w="100" w:type="dxa"/>
              <w:right w:w="100" w:type="dxa"/>
            </w:tcMar>
          </w:tcPr>
          <w:p>
            <w:pPr>
              <w:spacing w:after="0" w:line="240" w:lineRule="auto"/>
              <w:jc w:val="left"/>
            </w:pPr>
            <w:r>
              <w:rPr>
                <w:rFonts w:ascii="Calibri" w:hAnsi="Calibri" w:cs="Calibri"/>
                <w:sz w:val="20"/>
              </w:rPr>
              <w:t>Local</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$ 175.000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$ 260.000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$ 340.000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$ 420.000</w:t>
            </w:r>
          </w:p>
        </w:tc>
      </w:tr>
      <w:tr>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Estudio contable y legales</w:t>
            </w:r>
          </w:p>
        </w:tc>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Administración</w:t>
            </w:r>
          </w:p>
        </w:tc>
        <w:tc>
          <w:tcPr>
            <w:tcW w:type="dxa" w:w="1110"/>
            <w:vAlign w:val="center"/>
            <w:tcMar>
              <w:top w:w="100" w:type="dxa"/>
              <w:left w:w="100" w:type="dxa"/>
              <w:bottom w:w="100" w:type="dxa"/>
              <w:right w:w="100" w:type="dxa"/>
            </w:tcMar>
          </w:tcPr>
          <w:p>
            <w:pPr>
              <w:spacing w:after="0" w:line="240" w:lineRule="auto"/>
              <w:jc w:val="left"/>
            </w:pPr>
            <w:r>
              <w:rPr>
                <w:rFonts w:ascii="Calibri" w:hAnsi="Calibri" w:cs="Calibri"/>
                <w:sz w:val="20"/>
              </w:rPr>
              <w:t>OPEX</w:t>
            </w:r>
          </w:p>
        </w:tc>
        <w:tc>
          <w:tcPr>
            <w:tcW w:type="dxa" w:w="923"/>
            <w:vAlign w:val="center"/>
            <w:tcMar>
              <w:top w:w="100" w:type="dxa"/>
              <w:left w:w="100" w:type="dxa"/>
              <w:bottom w:w="100" w:type="dxa"/>
              <w:right w:w="100" w:type="dxa"/>
            </w:tcMar>
          </w:tcPr>
          <w:p>
            <w:pPr>
              <w:spacing w:after="0" w:line="240" w:lineRule="auto"/>
              <w:jc w:val="left"/>
            </w:pPr>
            <w:r>
              <w:rPr>
                <w:rFonts w:ascii="Calibri" w:hAnsi="Calibri" w:cs="Calibri"/>
                <w:sz w:val="20"/>
              </w:rPr>
              <w:t>Local</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$ 105.000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$ 130.000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$ 170.000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$ 210.000</w:t>
            </w:r>
          </w:p>
        </w:tc>
      </w:tr>
      <w:tr>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Espacio de trabajo y telefonía</w:t>
            </w:r>
          </w:p>
        </w:tc>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Operación</w:t>
            </w:r>
          </w:p>
        </w:tc>
        <w:tc>
          <w:tcPr>
            <w:tcW w:type="dxa" w:w="1110"/>
            <w:vAlign w:val="center"/>
            <w:tcMar>
              <w:top w:w="100" w:type="dxa"/>
              <w:left w:w="100" w:type="dxa"/>
              <w:bottom w:w="100" w:type="dxa"/>
              <w:right w:w="100" w:type="dxa"/>
            </w:tcMar>
          </w:tcPr>
          <w:p>
            <w:pPr>
              <w:spacing w:after="0" w:line="240" w:lineRule="auto"/>
              <w:jc w:val="left"/>
            </w:pPr>
            <w:r>
              <w:rPr>
                <w:rFonts w:ascii="Calibri" w:hAnsi="Calibri" w:cs="Calibri"/>
                <w:sz w:val="20"/>
              </w:rPr>
              <w:t>OPEX</w:t>
            </w:r>
          </w:p>
        </w:tc>
        <w:tc>
          <w:tcPr>
            <w:tcW w:type="dxa" w:w="923"/>
            <w:vAlign w:val="center"/>
            <w:tcMar>
              <w:top w:w="100" w:type="dxa"/>
              <w:left w:w="100" w:type="dxa"/>
              <w:bottom w:w="100" w:type="dxa"/>
              <w:right w:w="100" w:type="dxa"/>
            </w:tcMar>
          </w:tcPr>
          <w:p>
            <w:pPr>
              <w:spacing w:after="0" w:line="240" w:lineRule="auto"/>
              <w:jc w:val="left"/>
            </w:pPr>
            <w:r>
              <w:rPr>
                <w:rFonts w:ascii="Calibri" w:hAnsi="Calibri" w:cs="Calibri"/>
                <w:sz w:val="20"/>
              </w:rPr>
              <w:t>Local</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$ 45.000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$ 68.000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$ 105.000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$ 145.000</w:t>
            </w:r>
          </w:p>
        </w:tc>
      </w:tr>
      <w:tr>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Conectividad del equipo remoto</w:t>
            </w:r>
          </w:p>
        </w:tc>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Operación</w:t>
            </w:r>
          </w:p>
        </w:tc>
        <w:tc>
          <w:tcPr>
            <w:tcW w:type="dxa" w:w="1110"/>
            <w:vAlign w:val="center"/>
            <w:tcMar>
              <w:top w:w="100" w:type="dxa"/>
              <w:left w:w="100" w:type="dxa"/>
              <w:bottom w:w="100" w:type="dxa"/>
              <w:right w:w="100" w:type="dxa"/>
            </w:tcMar>
          </w:tcPr>
          <w:p>
            <w:pPr>
              <w:spacing w:after="0" w:line="240" w:lineRule="auto"/>
              <w:jc w:val="left"/>
            </w:pPr>
            <w:r>
              <w:rPr>
                <w:rFonts w:ascii="Calibri" w:hAnsi="Calibri" w:cs="Calibri"/>
                <w:sz w:val="20"/>
              </w:rPr>
              <w:t>OPEX</w:t>
            </w:r>
          </w:p>
        </w:tc>
        <w:tc>
          <w:tcPr>
            <w:tcW w:type="dxa" w:w="923"/>
            <w:vAlign w:val="center"/>
            <w:tcMar>
              <w:top w:w="100" w:type="dxa"/>
              <w:left w:w="100" w:type="dxa"/>
              <w:bottom w:w="100" w:type="dxa"/>
              <w:right w:w="100" w:type="dxa"/>
            </w:tcMar>
          </w:tcPr>
          <w:p>
            <w:pPr>
              <w:spacing w:after="0" w:line="240" w:lineRule="auto"/>
              <w:jc w:val="left"/>
            </w:pPr>
            <w:r>
              <w:rPr>
                <w:rFonts w:ascii="Calibri" w:hAnsi="Calibri" w:cs="Calibri"/>
                <w:sz w:val="20"/>
              </w:rPr>
              <w:t>Local</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$ 24.000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$ 40.000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$ 60.000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$ 84.000</w:t>
            </w:r>
          </w:p>
        </w:tc>
      </w:tr>
      <w:tr>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Otros gastos operativos</w:t>
            </w:r>
          </w:p>
        </w:tc>
        <w:tc>
          <w:tcPr>
            <w:tcW w:type="dxa" w:w="1576"/>
            <w:vAlign w:val="center"/>
            <w:tcMar>
              <w:top w:w="100" w:type="dxa"/>
              <w:left w:w="100" w:type="dxa"/>
              <w:bottom w:w="100" w:type="dxa"/>
              <w:right w:w="100" w:type="dxa"/>
            </w:tcMar>
          </w:tcPr>
          <w:p>
            <w:pPr>
              <w:spacing w:after="0" w:line="240" w:lineRule="auto"/>
              <w:jc w:val="left"/>
            </w:pPr>
            <w:r>
              <w:rPr>
                <w:rFonts w:ascii="Calibri" w:hAnsi="Calibri" w:cs="Calibri"/>
                <w:sz w:val="20"/>
              </w:rPr>
              <w:t>Operación</w:t>
            </w:r>
          </w:p>
        </w:tc>
        <w:tc>
          <w:tcPr>
            <w:tcW w:type="dxa" w:w="1110"/>
            <w:vAlign w:val="center"/>
            <w:tcMar>
              <w:top w:w="100" w:type="dxa"/>
              <w:left w:w="100" w:type="dxa"/>
              <w:bottom w:w="100" w:type="dxa"/>
              <w:right w:w="100" w:type="dxa"/>
            </w:tcMar>
          </w:tcPr>
          <w:p>
            <w:pPr>
              <w:spacing w:after="0" w:line="240" w:lineRule="auto"/>
              <w:jc w:val="left"/>
            </w:pPr>
            <w:r>
              <w:rPr>
                <w:rFonts w:ascii="Calibri" w:hAnsi="Calibri" w:cs="Calibri"/>
                <w:sz w:val="20"/>
              </w:rPr>
              <w:t>OPEX</w:t>
            </w:r>
          </w:p>
        </w:tc>
        <w:tc>
          <w:tcPr>
            <w:tcW w:type="dxa" w:w="923"/>
            <w:vAlign w:val="center"/>
            <w:tcMar>
              <w:top w:w="100" w:type="dxa"/>
              <w:left w:w="100" w:type="dxa"/>
              <w:bottom w:w="100" w:type="dxa"/>
              <w:right w:w="100" w:type="dxa"/>
            </w:tcMar>
          </w:tcPr>
          <w:p>
            <w:pPr>
              <w:spacing w:after="0" w:line="240" w:lineRule="auto"/>
              <w:jc w:val="left"/>
            </w:pPr>
            <w:r>
              <w:rPr>
                <w:rFonts w:ascii="Calibri" w:hAnsi="Calibri" w:cs="Calibri"/>
                <w:sz w:val="20"/>
              </w:rPr>
              <w:t>Local</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$ 40.000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$ 60.000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$ 90.000</w:t>
            </w:r>
          </w:p>
        </w:tc>
        <w:tc>
          <w:tcPr>
            <w:tcW w:type="dxa" w:w="830"/>
            <w:vAlign w:val="center"/>
            <w:tcMar>
              <w:top w:w="100" w:type="dxa"/>
              <w:left w:w="100" w:type="dxa"/>
              <w:bottom w:w="100" w:type="dxa"/>
              <w:right w:w="100" w:type="dxa"/>
            </w:tcMar>
          </w:tcPr>
          <w:p>
            <w:pPr>
              <w:spacing w:after="0" w:line="240" w:lineRule="auto"/>
              <w:jc w:val="right"/>
            </w:pPr>
            <w:r>
              <w:rPr>
                <w:rFonts w:ascii="Calibri" w:hAnsi="Calibri" w:cs="Calibri"/>
                <w:sz w:val="20"/>
              </w:rPr>
              <w:t>$ 120.000</w:t>
            </w:r>
          </w:p>
        </w:tc>
      </w:tr>
    </w:tbl>
    <w:p>
      <w:pPr>
        <w:jc w:val="both"/>
      </w:pPr>
      <w:r>
        <w:rPr>
          <w:rFonts w:ascii="Calibri" w:hAnsi="Calibri" w:cs="Calibri"/>
        </w:rPr>
        <w:t>Las dos columnas nuevas no son decorativas.</w:t>
      </w:r>
      <w:r>
        <w:rPr>
          <w:rFonts w:ascii="Calibri" w:hAnsi="Calibri" w:cs="Calibri"/>
        </w:rPr>
        <w:t xml:space="preserve"> La de CAPEX/OPEX responde a la distinción de la Clase 3: todo lo que hay acá es gasto que se consume en el período, no inversión que se activa y se amortiza. Lo que sí es CAPEX —equipamiento y desarrollo propio activado— vive en el modelo de inversión, que va en la Entrega 2. En un negocio de software esa frontera se corrió: la infraestructura dejó de comprarse y pasó a alquilarse, y con eso el CAPEX de arranque bajó y el OPEX mensual subió.</w:t>
      </w:r>
    </w:p>
    <w:p>
      <w:pPr>
        <w:jc w:val="both"/>
      </w:pPr>
      <w:r>
        <w:rPr>
          <w:rFonts w:ascii="Calibri" w:hAnsi="Calibri" w:cs="Calibri"/>
        </w:rPr>
        <w:t>La de Origen dice qué se paga al exterior, y de ahí sale un tratamiento impositivo propio: la nube, las licencias y las herramientas de IA son importación de servicios digitales y tributan IVA acrecentado y retención a beneficiarios del exterior. La hoja *Impuestos* del libro los toma de esta columna.</w:t>
      </w:r>
    </w:p>
    <w:p>
      <w:pPr>
        <w:jc w:val="both"/>
      </w:pPr>
      <w:r>
        <w:rPr>
          <w:rFonts w:ascii="Calibri" w:hAnsi="Calibri" w:cs="Calibri"/>
        </w:rPr>
        <w:t>Dos conceptos que no estaban y son reales.</w:t>
      </w:r>
      <w:r>
        <w:rPr>
          <w:rFonts w:ascii="Calibri" w:hAnsi="Calibri" w:cs="Calibri"/>
        </w:rPr>
        <w:t xml:space="preserve"> Las *herramientas de IA del equipo* —una licencia por persona de desarrollo y soporte— son hoy un costo de estructura de cualquier equipo de software, y omitirlas subestima el gasto. Y la *conectividad del equipo remoto*: el equipo trabaja distribuido, así que la conexión es una condición de trabajo y la paga la empresa, no cada persona de su bolsillo.</w:t>
      </w:r>
    </w:p>
    <w:p>
      <w:pPr>
        <w:jc w:val="both"/>
      </w:pPr>
      <w:r>
        <w:rPr>
          <w:rFonts w:ascii="Calibri" w:hAnsi="Calibri" w:cs="Calibri"/>
        </w:rPr>
        <w:t>La infraestructura aparece en las dos estructuras y no es un error: hay una parte que se paga exista o no un cliente —el entorno, las bases, el monitoreo— y otra que crece con cada cliente que se suma. Están separadas porque se comportan distinto.</w:t>
      </w:r>
    </w:p>
    <w:p>
      <w:pPr>
        <w:pStyle w:val="Ttulo1"/>
        <w:pageBreakBefore/>
        <w:jc w:val="both"/>
      </w:pPr>
      <w:r>
        <w:rPr>
          <w:rFonts w:ascii="Calibri" w:hAnsi="Calibri" w:cs="Calibri"/>
          <w:b/>
          <w:color w:val="000000"/>
        </w:rPr>
        <w:t>7. Costos variables</w:t>
      </w:r>
    </w:p>
    <w:p>
      <w:pPr>
        <w:jc w:val="both"/>
      </w:pPr>
      <w:r>
        <w:rPr>
          <w:rFonts w:ascii="Calibri" w:hAnsi="Calibri" w:cs="Calibri"/>
        </w:rPr>
        <w:t xml:space="preserve">Se mueven con cada cliente activo. Los importes unitarios no se cargan acá: se toman de la hoja </w:t>
      </w:r>
      <w:r>
        <w:rPr>
          <w:rFonts w:ascii="Calibri" w:hAnsi="Calibri" w:cs="Calibri"/>
        </w:rPr>
        <w:t>Planes</w:t>
      </w:r>
      <w:r>
        <w:rPr>
          <w:rFonts w:ascii="Calibri" w:hAnsi="Calibri" w:cs="Calibri"/>
        </w:rPr>
        <w:t>, para que no haya dos versiones del mismo número.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trPr>
        <w:tc>
          <w:tcPr>
            <w:tcW w:type="dxa" w:w="3828"/>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Concepto</w:t>
            </w:r>
          </w:p>
        </w:tc>
        <w:tc>
          <w:tcPr>
            <w:tcW w:type="dxa" w:w="1508"/>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Plan Inicial</w:t>
            </w:r>
          </w:p>
        </w:tc>
        <w:tc>
          <w:tcPr>
            <w:tcW w:type="dxa" w:w="166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Plan Estándar</w:t>
            </w:r>
          </w:p>
        </w:tc>
        <w:tc>
          <w:tcPr>
            <w:tcW w:type="dxa" w:w="1508"/>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Plan Partner</w:t>
            </w:r>
          </w:p>
        </w:tc>
      </w:tr>
      <w:tr>
        <w:tc>
          <w:tcPr>
            <w:tcW w:type="dxa" w:w="3828"/>
            <w:vAlign w:val="center"/>
            <w:tcMar>
              <w:top w:w="100" w:type="dxa"/>
              <w:left w:w="100" w:type="dxa"/>
              <w:bottom w:w="100" w:type="dxa"/>
              <w:right w:w="100" w:type="dxa"/>
            </w:tcMar>
          </w:tcPr>
          <w:p>
            <w:pPr>
              <w:spacing w:after="0" w:line="240" w:lineRule="auto"/>
              <w:jc w:val="left"/>
            </w:pPr>
            <w:r>
              <w:rPr>
                <w:rFonts w:ascii="Calibri" w:hAnsi="Calibri" w:cs="Calibri"/>
                <w:sz w:val="20"/>
              </w:rPr>
              <w:t>Infraestructura por cliente</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$ 3.000</w:t>
            </w:r>
          </w:p>
        </w:tc>
        <w:tc>
          <w:tcPr>
            <w:tcW w:type="dxa" w:w="1661"/>
            <w:vAlign w:val="center"/>
            <w:tcMar>
              <w:top w:w="100" w:type="dxa"/>
              <w:left w:w="100" w:type="dxa"/>
              <w:bottom w:w="100" w:type="dxa"/>
              <w:right w:w="100" w:type="dxa"/>
            </w:tcMar>
          </w:tcPr>
          <w:p>
            <w:pPr>
              <w:spacing w:after="0" w:line="240" w:lineRule="auto"/>
              <w:jc w:val="right"/>
            </w:pPr>
            <w:r>
              <w:rPr>
                <w:rFonts w:ascii="Calibri" w:hAnsi="Calibri" w:cs="Calibri"/>
                <w:sz w:val="20"/>
              </w:rPr>
              <w:t>$ 9.000</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$ 2.500</w:t>
            </w:r>
          </w:p>
        </w:tc>
      </w:tr>
      <w:tr>
        <w:tc>
          <w:tcPr>
            <w:tcW w:type="dxa" w:w="3828"/>
            <w:vAlign w:val="center"/>
            <w:tcMar>
              <w:top w:w="100" w:type="dxa"/>
              <w:left w:w="100" w:type="dxa"/>
              <w:bottom w:w="100" w:type="dxa"/>
              <w:right w:w="100" w:type="dxa"/>
            </w:tcMar>
          </w:tcPr>
          <w:p>
            <w:pPr>
              <w:spacing w:after="0" w:line="240" w:lineRule="auto"/>
              <w:jc w:val="left"/>
            </w:pPr>
            <w:r>
              <w:rPr>
                <w:rFonts w:ascii="Calibri" w:hAnsi="Calibri" w:cs="Calibri"/>
                <w:sz w:val="20"/>
              </w:rPr>
              <w:t>Soporte y onboarding</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$ 4.000</w:t>
            </w:r>
          </w:p>
        </w:tc>
        <w:tc>
          <w:tcPr>
            <w:tcW w:type="dxa" w:w="1661"/>
            <w:vAlign w:val="center"/>
            <w:tcMar>
              <w:top w:w="100" w:type="dxa"/>
              <w:left w:w="100" w:type="dxa"/>
              <w:bottom w:w="100" w:type="dxa"/>
              <w:right w:w="100" w:type="dxa"/>
            </w:tcMar>
          </w:tcPr>
          <w:p>
            <w:pPr>
              <w:spacing w:after="0" w:line="240" w:lineRule="auto"/>
              <w:jc w:val="right"/>
            </w:pPr>
            <w:r>
              <w:rPr>
                <w:rFonts w:ascii="Calibri" w:hAnsi="Calibri" w:cs="Calibri"/>
                <w:sz w:val="20"/>
              </w:rPr>
              <w:t>$ 12.000</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$ 2.500</w:t>
            </w:r>
          </w:p>
        </w:tc>
      </w:tr>
      <w:tr>
        <w:tc>
          <w:tcPr>
            <w:tcW w:type="dxa" w:w="3828"/>
            <w:vAlign w:val="center"/>
            <w:tcMar>
              <w:top w:w="100" w:type="dxa"/>
              <w:left w:w="100" w:type="dxa"/>
              <w:bottom w:w="100" w:type="dxa"/>
              <w:right w:w="100" w:type="dxa"/>
            </w:tcMar>
          </w:tcPr>
          <w:p>
            <w:pPr>
              <w:spacing w:after="0" w:line="240" w:lineRule="auto"/>
              <w:jc w:val="left"/>
            </w:pPr>
            <w:r>
              <w:rPr>
                <w:rFonts w:ascii="Calibri" w:hAnsi="Calibri" w:cs="Calibri"/>
                <w:sz w:val="20"/>
              </w:rPr>
              <w:t>Servicio externo de inteligencia artificial</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$ 1.500</w:t>
            </w:r>
          </w:p>
        </w:tc>
        <w:tc>
          <w:tcPr>
            <w:tcW w:type="dxa" w:w="1661"/>
            <w:vAlign w:val="center"/>
            <w:tcMar>
              <w:top w:w="100" w:type="dxa"/>
              <w:left w:w="100" w:type="dxa"/>
              <w:bottom w:w="100" w:type="dxa"/>
              <w:right w:w="100" w:type="dxa"/>
            </w:tcMar>
          </w:tcPr>
          <w:p>
            <w:pPr>
              <w:spacing w:after="0" w:line="240" w:lineRule="auto"/>
              <w:jc w:val="right"/>
            </w:pPr>
            <w:r>
              <w:rPr>
                <w:rFonts w:ascii="Calibri" w:hAnsi="Calibri" w:cs="Calibri"/>
                <w:sz w:val="20"/>
              </w:rPr>
              <w:t>$ 4.000</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$ 2.000</w:t>
            </w:r>
          </w:p>
        </w:tc>
      </w:tr>
      <w:tr>
        <w:tc>
          <w:tcPr>
            <w:tcW w:type="dxa" w:w="3828"/>
            <w:vAlign w:val="center"/>
            <w:tcMar>
              <w:top w:w="100" w:type="dxa"/>
              <w:left w:w="100" w:type="dxa"/>
              <w:bottom w:w="100" w:type="dxa"/>
              <w:right w:w="100" w:type="dxa"/>
            </w:tcMar>
          </w:tcPr>
          <w:p>
            <w:pPr>
              <w:spacing w:after="0" w:line="240" w:lineRule="auto"/>
              <w:jc w:val="left"/>
            </w:pPr>
            <w:r>
              <w:rPr>
                <w:rFonts w:ascii="Calibri" w:hAnsi="Calibri" w:cs="Calibri"/>
                <w:sz w:val="20"/>
              </w:rPr>
              <w:t>Total por cliente</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$ 8.500</w:t>
            </w:r>
          </w:p>
        </w:tc>
        <w:tc>
          <w:tcPr>
            <w:tcW w:type="dxa" w:w="1661"/>
            <w:vAlign w:val="center"/>
            <w:tcMar>
              <w:top w:w="100" w:type="dxa"/>
              <w:left w:w="100" w:type="dxa"/>
              <w:bottom w:w="100" w:type="dxa"/>
              <w:right w:w="100" w:type="dxa"/>
            </w:tcMar>
          </w:tcPr>
          <w:p>
            <w:pPr>
              <w:spacing w:after="0" w:line="240" w:lineRule="auto"/>
              <w:jc w:val="right"/>
            </w:pPr>
            <w:r>
              <w:rPr>
                <w:rFonts w:ascii="Calibri" w:hAnsi="Calibri" w:cs="Calibri"/>
                <w:sz w:val="20"/>
              </w:rPr>
              <w:t>$ 25.000</w:t>
            </w:r>
          </w:p>
        </w:tc>
        <w:tc>
          <w:tcPr>
            <w:tcW w:type="dxa" w:w="1508"/>
            <w:vAlign w:val="center"/>
            <w:tcMar>
              <w:top w:w="100" w:type="dxa"/>
              <w:left w:w="100" w:type="dxa"/>
              <w:bottom w:w="100" w:type="dxa"/>
              <w:right w:w="100" w:type="dxa"/>
            </w:tcMar>
          </w:tcPr>
          <w:p>
            <w:pPr>
              <w:spacing w:after="0" w:line="240" w:lineRule="auto"/>
              <w:jc w:val="right"/>
            </w:pPr>
            <w:r>
              <w:rPr>
                <w:rFonts w:ascii="Calibri" w:hAnsi="Calibri" w:cs="Calibri"/>
                <w:sz w:val="20"/>
              </w:rPr>
              <w:t>$ 7.000</w:t>
            </w:r>
          </w:p>
        </w:tc>
      </w:tr>
    </w:tbl>
    <w:p>
      <w:pPr>
        <w:jc w:val="both"/>
      </w:pPr>
      <w:r>
        <w:rPr>
          <w:rFonts w:ascii="Calibri" w:hAnsi="Calibri" w:cs="Calibri"/>
        </w:rPr>
        <w:t>Cada concepto se ajusta por el índice que le corresponde y no los tres por inflación: la infraestructura y el servicio de inteligencia artificial se pagan en dólares y siguen al tipo de cambio, y el soporte, que es trabajo local, sigue al índice de salarios. Ajustar los tres por inflación encarecía en dólares un servicio contratado en dólares cada vez que la inflación superaba a la devaluación.</w:t>
      </w:r>
    </w:p>
    <w:p>
      <w:pPr>
        <w:jc w:val="both"/>
      </w:pPr>
      <w:r>
        <w:rPr>
          <w:rFonts w:ascii="Calibri" w:hAnsi="Calibri" w:cs="Calibri"/>
        </w:rPr>
        <w:t xml:space="preserve">El costo del servicio de inteligencia artificial es además el único de todo el modelo que </w:t>
      </w:r>
      <w:r>
        <w:rPr>
          <w:rFonts w:ascii="Calibri" w:hAnsi="Calibri" w:cs="Calibri"/>
        </w:rPr>
        <w:t>el sistema mide por sí mismo</w:t>
      </w:r>
      <w:r>
        <w:rPr>
          <w:rFonts w:ascii="Calibri" w:hAnsi="Calibri" w:cs="Calibri"/>
        </w:rPr>
        <w:t>: cada consulta de clasificación, de asignación y de guía de reparación queda registrada, así que el supuesto se puede contrastar contra el consumo real en lugar de defenderse con una estimación.</w:t>
      </w:r>
    </w:p>
    <w:p>
      <w:pPr>
        <w:jc w:val="both"/>
      </w:pPr>
      <w:r>
        <w:rPr>
          <w:rFonts w:ascii="Calibri" w:hAnsi="Calibri" w:cs="Calibri"/>
        </w:rPr>
        <w:t>El soporte del Plan Partner es más bajo que el del Inicial aunque el parque sea parecido: el partner absorbe la primera atención, que es justamente lo que justifica su descuento.</w:t>
      </w:r>
    </w:p>
    <w:p>
      <w:pPr>
        <w:pStyle w:val="Ttulo1"/>
        <w:pageBreakBefore/>
        <w:jc w:val="both"/>
      </w:pPr>
      <w:r>
        <w:rPr>
          <w:rFonts w:ascii="Calibri" w:hAnsi="Calibri" w:cs="Calibri"/>
          <w:b/>
          <w:color w:val="000000"/>
        </w:rPr>
        <w:t>8. Costos de recursos humanos</w:t>
      </w:r>
    </w:p>
    <w:p>
      <w:pPr>
        <w:jc w:val="both"/>
      </w:pPr>
      <w:r>
        <w:rPr>
          <w:rFonts w:ascii="Calibri" w:hAnsi="Calibri" w:cs="Calibri"/>
        </w:rPr>
        <w:t xml:space="preserve">Los cuatro roles funcionales de la sección 7.6 del documento están cubiertos desde el primer mes: lo que cambia es </w:t>
      </w:r>
      <w:r>
        <w:rPr>
          <w:rFonts w:ascii="Calibri" w:hAnsi="Calibri" w:cs="Calibri"/>
        </w:rPr>
        <w:t>por cuántas personas</w:t>
      </w:r>
      <w:r>
        <w:rPr>
          <w:rFonts w:ascii="Calibri" w:hAnsi="Calibri" w:cs="Calibri"/>
        </w:rPr>
        <w:t>. En las primeras etapas los socios fundadores asumen más de un rol, y cada incorporación entra cuando la facturación la paga.</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trPr>
        <w:tc>
          <w:tcPr>
            <w:tcW w:type="dxa" w:w="381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Rol</w:t>
            </w:r>
          </w:p>
        </w:tc>
        <w:tc>
          <w:tcPr>
            <w:tcW w:type="dxa" w:w="2137"/>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Salario bruto mensual</w:t>
            </w:r>
          </w:p>
        </w:tc>
        <w:tc>
          <w:tcPr>
            <w:tcW w:type="dxa" w:w="113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Mes de alta</w:t>
            </w:r>
          </w:p>
        </w:tc>
        <w:tc>
          <w:tcPr>
            <w:tcW w:type="dxa" w:w="1418"/>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Vínculo</w:t>
            </w:r>
          </w:p>
        </w:tc>
      </w:tr>
      <w:tr>
        <w:tc>
          <w:tcPr>
            <w:tcW w:type="dxa" w:w="3810"/>
            <w:vAlign w:val="center"/>
            <w:tcMar>
              <w:top w:w="100" w:type="dxa"/>
              <w:left w:w="100" w:type="dxa"/>
              <w:bottom w:w="100" w:type="dxa"/>
              <w:right w:w="100" w:type="dxa"/>
            </w:tcMar>
          </w:tcPr>
          <w:p>
            <w:pPr>
              <w:spacing w:after="0" w:line="240" w:lineRule="auto"/>
              <w:jc w:val="left"/>
            </w:pPr>
            <w:r>
              <w:rPr>
                <w:rFonts w:ascii="Calibri" w:hAnsi="Calibri" w:cs="Calibri"/>
                <w:sz w:val="20"/>
              </w:rPr>
              <w:t>Responsable de Producto y Desarrollo</w:t>
            </w:r>
          </w:p>
        </w:tc>
        <w:tc>
          <w:tcPr>
            <w:tcW w:type="dxa" w:w="2137"/>
            <w:vAlign w:val="center"/>
            <w:tcMar>
              <w:top w:w="100" w:type="dxa"/>
              <w:left w:w="100" w:type="dxa"/>
              <w:bottom w:w="100" w:type="dxa"/>
              <w:right w:w="100" w:type="dxa"/>
            </w:tcMar>
          </w:tcPr>
          <w:p>
            <w:pPr>
              <w:spacing w:after="0" w:line="240" w:lineRule="auto"/>
              <w:jc w:val="right"/>
            </w:pPr>
            <w:r>
              <w:rPr>
                <w:rFonts w:ascii="Calibri" w:hAnsi="Calibri" w:cs="Calibri"/>
                <w:sz w:val="20"/>
              </w:rPr>
              <w:t>$ 4.200.000</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1</w:t>
            </w:r>
          </w:p>
        </w:tc>
        <w:tc>
          <w:tcPr>
            <w:tcW w:type="dxa" w:w="1418"/>
            <w:vAlign w:val="center"/>
            <w:tcMar>
              <w:top w:w="100" w:type="dxa"/>
              <w:left w:w="100" w:type="dxa"/>
              <w:bottom w:w="100" w:type="dxa"/>
              <w:right w:w="100" w:type="dxa"/>
            </w:tcMar>
          </w:tcPr>
          <w:p>
            <w:pPr>
              <w:spacing w:after="0" w:line="240" w:lineRule="auto"/>
              <w:jc w:val="left"/>
            </w:pPr>
            <w:r>
              <w:rPr>
                <w:rFonts w:ascii="Calibri" w:hAnsi="Calibri" w:cs="Calibri"/>
                <w:sz w:val="20"/>
              </w:rPr>
              <w:t>Socio</w:t>
            </w:r>
          </w:p>
        </w:tc>
      </w:tr>
      <w:tr>
        <w:tc>
          <w:tcPr>
            <w:tcW w:type="dxa" w:w="3810"/>
            <w:vAlign w:val="center"/>
            <w:tcMar>
              <w:top w:w="100" w:type="dxa"/>
              <w:left w:w="100" w:type="dxa"/>
              <w:bottom w:w="100" w:type="dxa"/>
              <w:right w:w="100" w:type="dxa"/>
            </w:tcMar>
          </w:tcPr>
          <w:p>
            <w:pPr>
              <w:spacing w:after="0" w:line="240" w:lineRule="auto"/>
              <w:jc w:val="left"/>
            </w:pPr>
            <w:r>
              <w:rPr>
                <w:rFonts w:ascii="Calibri" w:hAnsi="Calibri" w:cs="Calibri"/>
                <w:sz w:val="20"/>
              </w:rPr>
              <w:t>Responsable Comercial y de Cuentas</w:t>
            </w:r>
          </w:p>
        </w:tc>
        <w:tc>
          <w:tcPr>
            <w:tcW w:type="dxa" w:w="2137"/>
            <w:vAlign w:val="center"/>
            <w:tcMar>
              <w:top w:w="100" w:type="dxa"/>
              <w:left w:w="100" w:type="dxa"/>
              <w:bottom w:w="100" w:type="dxa"/>
              <w:right w:w="100" w:type="dxa"/>
            </w:tcMar>
          </w:tcPr>
          <w:p>
            <w:pPr>
              <w:spacing w:after="0" w:line="240" w:lineRule="auto"/>
              <w:jc w:val="right"/>
            </w:pPr>
            <w:r>
              <w:rPr>
                <w:rFonts w:ascii="Calibri" w:hAnsi="Calibri" w:cs="Calibri"/>
                <w:sz w:val="20"/>
              </w:rPr>
              <w:t>$ 3.600.000</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1</w:t>
            </w:r>
          </w:p>
        </w:tc>
        <w:tc>
          <w:tcPr>
            <w:tcW w:type="dxa" w:w="1418"/>
            <w:vAlign w:val="center"/>
            <w:tcMar>
              <w:top w:w="100" w:type="dxa"/>
              <w:left w:w="100" w:type="dxa"/>
              <w:bottom w:w="100" w:type="dxa"/>
              <w:right w:w="100" w:type="dxa"/>
            </w:tcMar>
          </w:tcPr>
          <w:p>
            <w:pPr>
              <w:spacing w:after="0" w:line="240" w:lineRule="auto"/>
              <w:jc w:val="left"/>
            </w:pPr>
            <w:r>
              <w:rPr>
                <w:rFonts w:ascii="Calibri" w:hAnsi="Calibri" w:cs="Calibri"/>
                <w:sz w:val="20"/>
              </w:rPr>
              <w:t>Socio</w:t>
            </w:r>
          </w:p>
        </w:tc>
      </w:tr>
      <w:tr>
        <w:tc>
          <w:tcPr>
            <w:tcW w:type="dxa" w:w="3810"/>
            <w:vAlign w:val="center"/>
            <w:tcMar>
              <w:top w:w="100" w:type="dxa"/>
              <w:left w:w="100" w:type="dxa"/>
              <w:bottom w:w="100" w:type="dxa"/>
              <w:right w:w="100" w:type="dxa"/>
            </w:tcMar>
          </w:tcPr>
          <w:p>
            <w:pPr>
              <w:spacing w:after="0" w:line="240" w:lineRule="auto"/>
              <w:jc w:val="left"/>
            </w:pPr>
            <w:r>
              <w:rPr>
                <w:rFonts w:ascii="Calibri" w:hAnsi="Calibri" w:cs="Calibri"/>
                <w:sz w:val="20"/>
              </w:rPr>
              <w:t>Responsable de Soporte y Onboarding</w:t>
            </w:r>
          </w:p>
        </w:tc>
        <w:tc>
          <w:tcPr>
            <w:tcW w:type="dxa" w:w="2137"/>
            <w:vAlign w:val="center"/>
            <w:tcMar>
              <w:top w:w="100" w:type="dxa"/>
              <w:left w:w="100" w:type="dxa"/>
              <w:bottom w:w="100" w:type="dxa"/>
              <w:right w:w="100" w:type="dxa"/>
            </w:tcMar>
          </w:tcPr>
          <w:p>
            <w:pPr>
              <w:spacing w:after="0" w:line="240" w:lineRule="auto"/>
              <w:jc w:val="right"/>
            </w:pPr>
            <w:r>
              <w:rPr>
                <w:rFonts w:ascii="Calibri" w:hAnsi="Calibri" w:cs="Calibri"/>
                <w:sz w:val="20"/>
              </w:rPr>
              <w:t>$ 2.400.000</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12</w:t>
            </w:r>
          </w:p>
        </w:tc>
        <w:tc>
          <w:tcPr>
            <w:tcW w:type="dxa" w:w="1418"/>
            <w:vAlign w:val="center"/>
            <w:tcMar>
              <w:top w:w="100" w:type="dxa"/>
              <w:left w:w="100" w:type="dxa"/>
              <w:bottom w:w="100" w:type="dxa"/>
              <w:right w:w="100" w:type="dxa"/>
            </w:tcMar>
          </w:tcPr>
          <w:p>
            <w:pPr>
              <w:spacing w:after="0" w:line="240" w:lineRule="auto"/>
              <w:jc w:val="left"/>
            </w:pPr>
            <w:r>
              <w:rPr>
                <w:rFonts w:ascii="Calibri" w:hAnsi="Calibri" w:cs="Calibri"/>
                <w:sz w:val="20"/>
              </w:rPr>
              <w:t>Empleado</w:t>
            </w:r>
          </w:p>
        </w:tc>
      </w:tr>
      <w:tr>
        <w:tc>
          <w:tcPr>
            <w:tcW w:type="dxa" w:w="3810"/>
            <w:vAlign w:val="center"/>
            <w:tcMar>
              <w:top w:w="100" w:type="dxa"/>
              <w:left w:w="100" w:type="dxa"/>
              <w:bottom w:w="100" w:type="dxa"/>
              <w:right w:w="100" w:type="dxa"/>
            </w:tcMar>
          </w:tcPr>
          <w:p>
            <w:pPr>
              <w:spacing w:after="0" w:line="240" w:lineRule="auto"/>
              <w:jc w:val="left"/>
            </w:pPr>
            <w:r>
              <w:rPr>
                <w:rFonts w:ascii="Calibri" w:hAnsi="Calibri" w:cs="Calibri"/>
                <w:sz w:val="20"/>
              </w:rPr>
              <w:t>Colaborador de desarrollo</w:t>
            </w:r>
          </w:p>
        </w:tc>
        <w:tc>
          <w:tcPr>
            <w:tcW w:type="dxa" w:w="2137"/>
            <w:vAlign w:val="center"/>
            <w:tcMar>
              <w:top w:w="100" w:type="dxa"/>
              <w:left w:w="100" w:type="dxa"/>
              <w:bottom w:w="100" w:type="dxa"/>
              <w:right w:w="100" w:type="dxa"/>
            </w:tcMar>
          </w:tcPr>
          <w:p>
            <w:pPr>
              <w:spacing w:after="0" w:line="240" w:lineRule="auto"/>
              <w:jc w:val="right"/>
            </w:pPr>
            <w:r>
              <w:rPr>
                <w:rFonts w:ascii="Calibri" w:hAnsi="Calibri" w:cs="Calibri"/>
                <w:sz w:val="20"/>
              </w:rPr>
              <w:t>$ 2.900.000</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20</w:t>
            </w:r>
          </w:p>
        </w:tc>
        <w:tc>
          <w:tcPr>
            <w:tcW w:type="dxa" w:w="1418"/>
            <w:vAlign w:val="center"/>
            <w:tcMar>
              <w:top w:w="100" w:type="dxa"/>
              <w:left w:w="100" w:type="dxa"/>
              <w:bottom w:w="100" w:type="dxa"/>
              <w:right w:w="100" w:type="dxa"/>
            </w:tcMar>
          </w:tcPr>
          <w:p>
            <w:pPr>
              <w:spacing w:after="0" w:line="240" w:lineRule="auto"/>
              <w:jc w:val="left"/>
            </w:pPr>
            <w:r>
              <w:rPr>
                <w:rFonts w:ascii="Calibri" w:hAnsi="Calibri" w:cs="Calibri"/>
                <w:sz w:val="20"/>
              </w:rPr>
              <w:t>Empleado</w:t>
            </w:r>
          </w:p>
        </w:tc>
      </w:tr>
      <w:tr>
        <w:tc>
          <w:tcPr>
            <w:tcW w:type="dxa" w:w="3810"/>
            <w:vAlign w:val="center"/>
            <w:tcMar>
              <w:top w:w="100" w:type="dxa"/>
              <w:left w:w="100" w:type="dxa"/>
              <w:bottom w:w="100" w:type="dxa"/>
              <w:right w:w="100" w:type="dxa"/>
            </w:tcMar>
          </w:tcPr>
          <w:p>
            <w:pPr>
              <w:spacing w:after="0" w:line="240" w:lineRule="auto"/>
              <w:jc w:val="left"/>
            </w:pPr>
            <w:r>
              <w:rPr>
                <w:rFonts w:ascii="Calibri" w:hAnsi="Calibri" w:cs="Calibri"/>
                <w:sz w:val="20"/>
              </w:rPr>
              <w:t>Responsable de Marketing y Contenidos (medio tiempo)</w:t>
            </w:r>
          </w:p>
        </w:tc>
        <w:tc>
          <w:tcPr>
            <w:tcW w:type="dxa" w:w="2137"/>
            <w:vAlign w:val="center"/>
            <w:tcMar>
              <w:top w:w="100" w:type="dxa"/>
              <w:left w:w="100" w:type="dxa"/>
              <w:bottom w:w="100" w:type="dxa"/>
              <w:right w:w="100" w:type="dxa"/>
            </w:tcMar>
          </w:tcPr>
          <w:p>
            <w:pPr>
              <w:spacing w:after="0" w:line="240" w:lineRule="auto"/>
              <w:jc w:val="right"/>
            </w:pPr>
            <w:r>
              <w:rPr>
                <w:rFonts w:ascii="Calibri" w:hAnsi="Calibri" w:cs="Calibri"/>
                <w:sz w:val="20"/>
              </w:rPr>
              <w:t>$ 1.100.000</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30</w:t>
            </w:r>
          </w:p>
        </w:tc>
        <w:tc>
          <w:tcPr>
            <w:tcW w:type="dxa" w:w="1418"/>
            <w:vAlign w:val="center"/>
            <w:tcMar>
              <w:top w:w="100" w:type="dxa"/>
              <w:left w:w="100" w:type="dxa"/>
              <w:bottom w:w="100" w:type="dxa"/>
              <w:right w:w="100" w:type="dxa"/>
            </w:tcMar>
          </w:tcPr>
          <w:p>
            <w:pPr>
              <w:spacing w:after="0" w:line="240" w:lineRule="auto"/>
              <w:jc w:val="left"/>
            </w:pPr>
            <w:r>
              <w:rPr>
                <w:rFonts w:ascii="Calibri" w:hAnsi="Calibri" w:cs="Calibri"/>
                <w:sz w:val="20"/>
              </w:rPr>
              <w:t>Empleado</w:t>
            </w:r>
          </w:p>
        </w:tc>
      </w:tr>
      <w:tr>
        <w:tc>
          <w:tcPr>
            <w:tcW w:type="dxa" w:w="3810"/>
            <w:vAlign w:val="center"/>
            <w:tcMar>
              <w:top w:w="100" w:type="dxa"/>
              <w:left w:w="100" w:type="dxa"/>
              <w:bottom w:w="100" w:type="dxa"/>
              <w:right w:w="100" w:type="dxa"/>
            </w:tcMar>
          </w:tcPr>
          <w:p>
            <w:pPr>
              <w:spacing w:after="0" w:line="240" w:lineRule="auto"/>
              <w:jc w:val="left"/>
            </w:pPr>
            <w:r>
              <w:rPr>
                <w:rFonts w:ascii="Calibri" w:hAnsi="Calibri" w:cs="Calibri"/>
                <w:sz w:val="20"/>
              </w:rPr>
              <w:t>Segundo colaborador de soporte</w:t>
            </w:r>
          </w:p>
        </w:tc>
        <w:tc>
          <w:tcPr>
            <w:tcW w:type="dxa" w:w="2137"/>
            <w:vAlign w:val="center"/>
            <w:tcMar>
              <w:top w:w="100" w:type="dxa"/>
              <w:left w:w="100" w:type="dxa"/>
              <w:bottom w:w="100" w:type="dxa"/>
              <w:right w:w="100" w:type="dxa"/>
            </w:tcMar>
          </w:tcPr>
          <w:p>
            <w:pPr>
              <w:spacing w:after="0" w:line="240" w:lineRule="auto"/>
              <w:jc w:val="right"/>
            </w:pPr>
            <w:r>
              <w:rPr>
                <w:rFonts w:ascii="Calibri" w:hAnsi="Calibri" w:cs="Calibri"/>
                <w:sz w:val="20"/>
              </w:rPr>
              <w:t>$ 1.800.000</w:t>
            </w:r>
          </w:p>
        </w:tc>
        <w:tc>
          <w:tcPr>
            <w:tcW w:type="dxa" w:w="1139"/>
            <w:vAlign w:val="center"/>
            <w:tcMar>
              <w:top w:w="100" w:type="dxa"/>
              <w:left w:w="100" w:type="dxa"/>
              <w:bottom w:w="100" w:type="dxa"/>
              <w:right w:w="100" w:type="dxa"/>
            </w:tcMar>
          </w:tcPr>
          <w:p>
            <w:pPr>
              <w:spacing w:after="0" w:line="240" w:lineRule="auto"/>
              <w:jc w:val="right"/>
            </w:pPr>
            <w:r>
              <w:rPr>
                <w:rFonts w:ascii="Calibri" w:hAnsi="Calibri" w:cs="Calibri"/>
                <w:sz w:val="20"/>
              </w:rPr>
              <w:t>42</w:t>
            </w:r>
          </w:p>
        </w:tc>
        <w:tc>
          <w:tcPr>
            <w:tcW w:type="dxa" w:w="1418"/>
            <w:vAlign w:val="center"/>
            <w:tcMar>
              <w:top w:w="100" w:type="dxa"/>
              <w:left w:w="100" w:type="dxa"/>
              <w:bottom w:w="100" w:type="dxa"/>
              <w:right w:w="100" w:type="dxa"/>
            </w:tcMar>
          </w:tcPr>
          <w:p>
            <w:pPr>
              <w:spacing w:after="0" w:line="240" w:lineRule="auto"/>
              <w:jc w:val="left"/>
            </w:pPr>
            <w:r>
              <w:rPr>
                <w:rFonts w:ascii="Calibri" w:hAnsi="Calibri" w:cs="Calibri"/>
                <w:sz w:val="20"/>
              </w:rPr>
              <w:t>Empleado</w:t>
            </w:r>
          </w:p>
        </w:tc>
      </w:tr>
    </w:tbl>
    <w:p>
      <w:pPr>
        <w:jc w:val="both"/>
      </w:pPr>
      <w:r>
        <w:rPr>
          <w:rFonts w:ascii="Calibri" w:hAnsi="Calibri" w:cs="Calibri"/>
        </w:rPr>
        <w:t>Eso deja tres personas al cierre del primer año, cuatro al del segundo, cinco al del tercero y seis al del cuarto.</w:t>
      </w:r>
    </w:p>
    <w:p>
      <w:pPr>
        <w:jc w:val="both"/>
      </w:pPr>
      <w:r>
        <w:rPr>
          <w:rFonts w:ascii="Calibri" w:hAnsi="Calibri" w:cs="Calibri"/>
        </w:rPr>
        <w:t>El calendario de incorporaciones es la decisión que hace financiable el proyecto, y conviene explicar por qué.</w:t>
      </w:r>
      <w:r>
        <w:rPr>
          <w:rFonts w:ascii="Calibri" w:hAnsi="Calibri" w:cs="Calibri"/>
        </w:rPr>
        <w:t xml:space="preserve"> Una versión anterior del modelo incorporaba tres personas dentro del primer año —meses 6 y 9—, cuando la base activa es de ocho a quince clientes. Con esa estructura la pérdida acumulada de los tres primeros años pasaba de 400 millones: una cifra que dos socios no financian y que convierte el plan en una ronda de inversión.</w:t>
      </w:r>
    </w:p>
    <w:p>
      <w:pPr>
        <w:jc w:val="both"/>
      </w:pPr>
      <w:r>
        <w:rPr>
          <w:rFonts w:ascii="Calibri" w:hAnsi="Calibri" w:cs="Calibri"/>
        </w:rPr>
        <w:t xml:space="preserve">Atando cada alta al momento en que el negocio la paga, con la </w:t>
      </w:r>
      <w:r>
        <w:rPr>
          <w:rFonts w:ascii="Calibri" w:hAnsi="Calibri" w:cs="Calibri"/>
        </w:rPr>
        <w:t>misma</w:t>
      </w:r>
      <w:r>
        <w:rPr>
          <w:rFonts w:ascii="Calibri" w:hAnsi="Calibri" w:cs="Calibri"/>
        </w:rPr>
        <w:t xml:space="preserve"> proyección de ingresos, esa misma pérdida acumulada de tres años baja a </w:t>
      </w:r>
      <w:r>
        <w:rPr>
          <w:rFonts w:ascii="Calibri" w:hAnsi="Calibri" w:cs="Calibri"/>
        </w:rPr>
        <w:t>81 millones</w:t>
      </w:r>
      <w:r>
        <w:rPr>
          <w:rFonts w:ascii="Calibri" w:hAnsi="Calibri" w:cs="Calibri"/>
        </w:rPr>
        <w:t>. No es un ajuste para que el número cierre: es lo que hace cualquiera que arranca. Con veintitrés clientes al cierre del primer año, el soporte lo hacen los socios.</w:t>
      </w:r>
    </w:p>
    <w:p>
      <w:pPr>
        <w:jc w:val="both"/>
      </w:pPr>
      <w:r>
        <w:rPr>
          <w:rFonts w:ascii="Calibri" w:hAnsi="Calibri" w:cs="Calibri"/>
        </w:rPr>
        <w:t>Lo que hay que poder sostener es la contracara: que seis personas atiendan 350 clientes y 9.370 equipos en 2030, y que dos de ellas sean todo el soporte. Hay dos números que lo respaldan, y van acá porque de otro modo el argumento sería una opinión:</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4209"/>
            <w:vAlign w:val="center"/>
            <w:tcMar>
              <w:top w:w="100" w:type="dxa"/>
              <w:left w:w="100" w:type="dxa"/>
              <w:bottom w:w="100" w:type="dxa"/>
              <w:right w:w="100" w:type="dxa"/>
            </w:tcMar>
            <w:tcBorders>
              <w:bottom w:val="single" w:sz="18" w:space="0" w:color="000000"/>
            </w:tcBorders>
          </w:tcPr>
          <w:p>
            <w:pPr>
              <w:spacing w:after="0" w:line="240" w:lineRule="auto"/>
              <w:jc w:val="center"/>
            </w:pPr>
          </w:p>
        </w:tc>
        <w:tc>
          <w:tcPr>
            <w:tcW w:type="dxa" w:w="107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107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107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107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r>
      <w:tr>
        <w:tc>
          <w:tcPr>
            <w:tcW w:type="dxa" w:w="4209"/>
            <w:vAlign w:val="center"/>
            <w:tcMar>
              <w:top w:w="100" w:type="dxa"/>
              <w:left w:w="100" w:type="dxa"/>
              <w:bottom w:w="100" w:type="dxa"/>
              <w:right w:w="100" w:type="dxa"/>
            </w:tcMar>
          </w:tcPr>
          <w:p>
            <w:pPr>
              <w:spacing w:after="0" w:line="240" w:lineRule="auto"/>
              <w:jc w:val="left"/>
            </w:pPr>
            <w:r>
              <w:rPr>
                <w:rFonts w:ascii="Calibri" w:hAnsi="Calibri" w:cs="Calibri"/>
                <w:sz w:val="20"/>
              </w:rPr>
              <w:t>Relación LTV / CAC</w:t>
            </w:r>
          </w:p>
        </w:tc>
        <w:tc>
          <w:tcPr>
            <w:tcW w:type="dxa" w:w="1074"/>
            <w:vAlign w:val="center"/>
            <w:tcMar>
              <w:top w:w="100" w:type="dxa"/>
              <w:left w:w="100" w:type="dxa"/>
              <w:bottom w:w="100" w:type="dxa"/>
              <w:right w:w="100" w:type="dxa"/>
            </w:tcMar>
          </w:tcPr>
          <w:p>
            <w:pPr>
              <w:spacing w:after="0" w:line="240" w:lineRule="auto"/>
              <w:jc w:val="right"/>
            </w:pPr>
            <w:r>
              <w:rPr>
                <w:rFonts w:ascii="Calibri" w:hAnsi="Calibri" w:cs="Calibri"/>
                <w:sz w:val="20"/>
              </w:rPr>
              <w:t>3,3</w:t>
            </w:r>
          </w:p>
        </w:tc>
        <w:tc>
          <w:tcPr>
            <w:tcW w:type="dxa" w:w="1074"/>
            <w:vAlign w:val="center"/>
            <w:tcMar>
              <w:top w:w="100" w:type="dxa"/>
              <w:left w:w="100" w:type="dxa"/>
              <w:bottom w:w="100" w:type="dxa"/>
              <w:right w:w="100" w:type="dxa"/>
            </w:tcMar>
          </w:tcPr>
          <w:p>
            <w:pPr>
              <w:spacing w:after="0" w:line="240" w:lineRule="auto"/>
              <w:jc w:val="right"/>
            </w:pPr>
            <w:r>
              <w:rPr>
                <w:rFonts w:ascii="Calibri" w:hAnsi="Calibri" w:cs="Calibri"/>
                <w:sz w:val="20"/>
              </w:rPr>
              <w:t>6,4</w:t>
            </w:r>
          </w:p>
        </w:tc>
        <w:tc>
          <w:tcPr>
            <w:tcW w:type="dxa" w:w="1074"/>
            <w:vAlign w:val="center"/>
            <w:tcMar>
              <w:top w:w="100" w:type="dxa"/>
              <w:left w:w="100" w:type="dxa"/>
              <w:bottom w:w="100" w:type="dxa"/>
              <w:right w:w="100" w:type="dxa"/>
            </w:tcMar>
          </w:tcPr>
          <w:p>
            <w:pPr>
              <w:spacing w:after="0" w:line="240" w:lineRule="auto"/>
              <w:jc w:val="right"/>
            </w:pPr>
            <w:r>
              <w:rPr>
                <w:rFonts w:ascii="Calibri" w:hAnsi="Calibri" w:cs="Calibri"/>
                <w:sz w:val="20"/>
              </w:rPr>
              <w:t>7,7</w:t>
            </w:r>
          </w:p>
        </w:tc>
        <w:tc>
          <w:tcPr>
            <w:tcW w:type="dxa" w:w="1074"/>
            <w:vAlign w:val="center"/>
            <w:tcMar>
              <w:top w:w="100" w:type="dxa"/>
              <w:left w:w="100" w:type="dxa"/>
              <w:bottom w:w="100" w:type="dxa"/>
              <w:right w:w="100" w:type="dxa"/>
            </w:tcMar>
          </w:tcPr>
          <w:p>
            <w:pPr>
              <w:spacing w:after="0" w:line="240" w:lineRule="auto"/>
              <w:jc w:val="right"/>
            </w:pPr>
            <w:r>
              <w:rPr>
                <w:rFonts w:ascii="Calibri" w:hAnsi="Calibri" w:cs="Calibri"/>
                <w:sz w:val="20"/>
              </w:rPr>
              <w:t>6,3</w:t>
            </w:r>
          </w:p>
        </w:tc>
      </w:tr>
      <w:tr>
        <w:tc>
          <w:tcPr>
            <w:tcW w:type="dxa" w:w="4209"/>
            <w:vAlign w:val="center"/>
            <w:tcMar>
              <w:top w:w="100" w:type="dxa"/>
              <w:left w:w="100" w:type="dxa"/>
              <w:bottom w:w="100" w:type="dxa"/>
              <w:right w:w="100" w:type="dxa"/>
            </w:tcMar>
          </w:tcPr>
          <w:p>
            <w:pPr>
              <w:spacing w:after="0" w:line="240" w:lineRule="auto"/>
              <w:jc w:val="left"/>
            </w:pPr>
            <w:r>
              <w:rPr>
                <w:rFonts w:ascii="Calibri" w:hAnsi="Calibri" w:cs="Calibri"/>
                <w:sz w:val="20"/>
              </w:rPr>
              <w:t>Meses para recuperar el CAC</w:t>
            </w:r>
          </w:p>
        </w:tc>
        <w:tc>
          <w:tcPr>
            <w:tcW w:type="dxa" w:w="1074"/>
            <w:vAlign w:val="center"/>
            <w:tcMar>
              <w:top w:w="100" w:type="dxa"/>
              <w:left w:w="100" w:type="dxa"/>
              <w:bottom w:w="100" w:type="dxa"/>
              <w:right w:w="100" w:type="dxa"/>
            </w:tcMar>
          </w:tcPr>
          <w:p>
            <w:pPr>
              <w:spacing w:after="0" w:line="240" w:lineRule="auto"/>
              <w:jc w:val="right"/>
            </w:pPr>
            <w:r>
              <w:rPr>
                <w:rFonts w:ascii="Calibri" w:hAnsi="Calibri" w:cs="Calibri"/>
                <w:sz w:val="20"/>
              </w:rPr>
              <w:t>4,3</w:t>
            </w:r>
          </w:p>
        </w:tc>
        <w:tc>
          <w:tcPr>
            <w:tcW w:type="dxa" w:w="1074"/>
            <w:vAlign w:val="center"/>
            <w:tcMar>
              <w:top w:w="100" w:type="dxa"/>
              <w:left w:w="100" w:type="dxa"/>
              <w:bottom w:w="100" w:type="dxa"/>
              <w:right w:w="100" w:type="dxa"/>
            </w:tcMar>
          </w:tcPr>
          <w:p>
            <w:pPr>
              <w:spacing w:after="0" w:line="240" w:lineRule="auto"/>
              <w:jc w:val="right"/>
            </w:pPr>
            <w:r>
              <w:rPr>
                <w:rFonts w:ascii="Calibri" w:hAnsi="Calibri" w:cs="Calibri"/>
                <w:sz w:val="20"/>
              </w:rPr>
              <w:t>3,1</w:t>
            </w:r>
          </w:p>
        </w:tc>
        <w:tc>
          <w:tcPr>
            <w:tcW w:type="dxa" w:w="1074"/>
            <w:vAlign w:val="center"/>
            <w:tcMar>
              <w:top w:w="100" w:type="dxa"/>
              <w:left w:w="100" w:type="dxa"/>
              <w:bottom w:w="100" w:type="dxa"/>
              <w:right w:w="100" w:type="dxa"/>
            </w:tcMar>
          </w:tcPr>
          <w:p>
            <w:pPr>
              <w:spacing w:after="0" w:line="240" w:lineRule="auto"/>
              <w:jc w:val="right"/>
            </w:pPr>
            <w:r>
              <w:rPr>
                <w:rFonts w:ascii="Calibri" w:hAnsi="Calibri" w:cs="Calibri"/>
                <w:sz w:val="20"/>
              </w:rPr>
              <w:t>3,2</w:t>
            </w:r>
          </w:p>
        </w:tc>
        <w:tc>
          <w:tcPr>
            <w:tcW w:type="dxa" w:w="1074"/>
            <w:vAlign w:val="center"/>
            <w:tcMar>
              <w:top w:w="100" w:type="dxa"/>
              <w:left w:w="100" w:type="dxa"/>
              <w:bottom w:w="100" w:type="dxa"/>
              <w:right w:w="100" w:type="dxa"/>
            </w:tcMar>
          </w:tcPr>
          <w:p>
            <w:pPr>
              <w:spacing w:after="0" w:line="240" w:lineRule="auto"/>
              <w:jc w:val="right"/>
            </w:pPr>
            <w:r>
              <w:rPr>
                <w:rFonts w:ascii="Calibri" w:hAnsi="Calibri" w:cs="Calibri"/>
                <w:sz w:val="20"/>
              </w:rPr>
              <w:t>4,0</w:t>
            </w:r>
          </w:p>
        </w:tc>
      </w:tr>
    </w:tbl>
    <w:p>
      <w:pPr>
        <w:jc w:val="both"/>
      </w:pPr>
      <w:r>
        <w:rPr>
          <w:rFonts w:ascii="Calibri" w:hAnsi="Calibri" w:cs="Calibri"/>
        </w:rPr>
        <w:t>La regla del sector es que la relación entre lo que vale un cliente a lo largo de su vida y lo que cuesta conseguirlo sea de 3 o más, y que el costo de adquisición se recupere en menos de doce meses de margen bruto. Los dos se cumplen en los cuatro años. El cálculo completo está en la hoja *Métricas SaaS* del libro, que se entrega con la evaluación.</w:t>
      </w:r>
    </w:p>
    <w:p>
      <w:pPr>
        <w:jc w:val="both"/>
      </w:pPr>
      <w:r>
        <w:rPr>
          <w:rFonts w:ascii="Calibri" w:hAnsi="Calibri" w:cs="Calibri"/>
        </w:rPr>
        <w:t>El producto es de mantenimiento predictivo y su promesa es justamente que el trabajo por cliente no crece igual que la cartera; si eso no se cumpliera, la primera consecuencia sería tener que adelantar el segundo colaborador de soporte.</w:t>
      </w:r>
    </w:p>
    <w:p>
      <w:pPr>
        <w:jc w:val="both"/>
      </w:pPr>
      <w:r>
        <w:rPr>
          <w:rFonts w:ascii="Calibri" w:hAnsi="Calibri" w:cs="Calibri"/>
        </w:rPr>
        <w:t xml:space="preserve">Este calendario </w:t>
      </w:r>
      <w:r>
        <w:rPr>
          <w:rFonts w:ascii="Calibri" w:hAnsi="Calibri" w:cs="Calibri"/>
        </w:rPr>
        <w:t>ya está bajado a la sección 7.6 del documento principal</w:t>
      </w:r>
      <w:r>
        <w:rPr>
          <w:rFonts w:ascii="Calibri" w:hAnsi="Calibri" w:cs="Calibri"/>
        </w:rPr>
        <w:t>, junto con las cargas sociales del 28,30 % y el encuadre laboral. El documento y esta planilla dicen lo mismo.</w:t>
      </w:r>
    </w:p>
    <w:p>
      <w:pPr>
        <w:pStyle w:val="Ttulo2"/>
        <w:jc w:val="both"/>
      </w:pPr>
      <w:r>
        <w:rPr>
          <w:rFonts w:ascii="Calibri" w:hAnsi="Calibri" w:cs="Calibri"/>
          <w:b/>
          <w:color w:val="000000"/>
        </w:rPr>
        <w:t>8.1. El retiro de los socios</w:t>
      </w:r>
    </w:p>
    <w:p>
      <w:pPr>
        <w:jc w:val="both"/>
      </w:pPr>
      <w:r>
        <w:rPr>
          <w:rFonts w:ascii="Calibri" w:hAnsi="Calibri" w:cs="Calibri"/>
        </w:rPr>
        <w:t>Los dos socios no cobran su salario de mercado desde el primer mes. Se carga el porcentaje que retiran efectivamente: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72"/>
        <w:gridCol w:w="1872"/>
        <w:gridCol w:w="1872"/>
        <w:gridCol w:w="1872"/>
        <w:gridCol w:w="1872"/>
      </w:tblGrid>
      <w:tr>
        <w:trPr>
          <w:tblHeader/>
        </w:trPr>
        <w:tc>
          <w:tcPr>
            <w:tcW w:type="dxa" w:w="4651"/>
            <w:vAlign w:val="center"/>
            <w:tcMar>
              <w:top w:w="100" w:type="dxa"/>
              <w:left w:w="100" w:type="dxa"/>
              <w:bottom w:w="100" w:type="dxa"/>
              <w:right w:w="100" w:type="dxa"/>
            </w:tcMar>
            <w:tcBorders>
              <w:bottom w:val="single" w:sz="18" w:space="0" w:color="000000"/>
            </w:tcBorders>
          </w:tcPr>
          <w:p>
            <w:pPr>
              <w:spacing w:after="0" w:line="240" w:lineRule="auto"/>
              <w:jc w:val="center"/>
            </w:pPr>
          </w:p>
        </w:tc>
        <w:tc>
          <w:tcPr>
            <w:tcW w:type="dxa" w:w="94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2027</w:t>
            </w:r>
          </w:p>
        </w:tc>
        <w:tc>
          <w:tcPr>
            <w:tcW w:type="dxa" w:w="94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2028</w:t>
            </w:r>
          </w:p>
        </w:tc>
        <w:tc>
          <w:tcPr>
            <w:tcW w:type="dxa" w:w="94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2029</w:t>
            </w:r>
          </w:p>
        </w:tc>
        <w:tc>
          <w:tcPr>
            <w:tcW w:type="dxa" w:w="102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2030</w:t>
            </w:r>
          </w:p>
        </w:tc>
      </w:tr>
      <w:tr>
        <w:tc>
          <w:tcPr>
            <w:tcW w:type="dxa" w:w="4651"/>
            <w:vAlign w:val="center"/>
            <w:tcMar>
              <w:top w:w="100" w:type="dxa"/>
              <w:left w:w="100" w:type="dxa"/>
              <w:bottom w:w="100" w:type="dxa"/>
              <w:right w:w="100" w:type="dxa"/>
            </w:tcMar>
          </w:tcPr>
          <w:p>
            <w:pPr>
              <w:spacing w:after="0" w:line="240" w:lineRule="auto"/>
              <w:jc w:val="left"/>
            </w:pPr>
            <w:r>
              <w:rPr>
                <w:rFonts w:ascii="Calibri" w:hAnsi="Calibri" w:cs="Calibri"/>
                <w:sz w:val="20"/>
              </w:rPr>
              <w:t>% del salario de mercado que retira cada socio</w:t>
            </w:r>
          </w:p>
        </w:tc>
        <w:tc>
          <w:tcPr>
            <w:tcW w:type="dxa" w:w="943"/>
            <w:vAlign w:val="center"/>
            <w:tcMar>
              <w:top w:w="100" w:type="dxa"/>
              <w:left w:w="100" w:type="dxa"/>
              <w:bottom w:w="100" w:type="dxa"/>
              <w:right w:w="100" w:type="dxa"/>
            </w:tcMar>
          </w:tcPr>
          <w:p>
            <w:pPr>
              <w:spacing w:after="0" w:line="240" w:lineRule="auto"/>
              <w:jc w:val="right"/>
            </w:pPr>
            <w:r>
              <w:rPr>
                <w:rFonts w:ascii="Calibri" w:hAnsi="Calibri" w:cs="Calibri"/>
                <w:sz w:val="20"/>
              </w:rPr>
              <w:t>15 %</w:t>
            </w:r>
          </w:p>
        </w:tc>
        <w:tc>
          <w:tcPr>
            <w:tcW w:type="dxa" w:w="943"/>
            <w:vAlign w:val="center"/>
            <w:tcMar>
              <w:top w:w="100" w:type="dxa"/>
              <w:left w:w="100" w:type="dxa"/>
              <w:bottom w:w="100" w:type="dxa"/>
              <w:right w:w="100" w:type="dxa"/>
            </w:tcMar>
          </w:tcPr>
          <w:p>
            <w:pPr>
              <w:spacing w:after="0" w:line="240" w:lineRule="auto"/>
              <w:jc w:val="right"/>
            </w:pPr>
            <w:r>
              <w:rPr>
                <w:rFonts w:ascii="Calibri" w:hAnsi="Calibri" w:cs="Calibri"/>
                <w:sz w:val="20"/>
              </w:rPr>
              <w:t>35 %</w:t>
            </w:r>
          </w:p>
        </w:tc>
        <w:tc>
          <w:tcPr>
            <w:tcW w:type="dxa" w:w="943"/>
            <w:vAlign w:val="center"/>
            <w:tcMar>
              <w:top w:w="100" w:type="dxa"/>
              <w:left w:w="100" w:type="dxa"/>
              <w:bottom w:w="100" w:type="dxa"/>
              <w:right w:w="100" w:type="dxa"/>
            </w:tcMar>
          </w:tcPr>
          <w:p>
            <w:pPr>
              <w:spacing w:after="0" w:line="240" w:lineRule="auto"/>
              <w:jc w:val="right"/>
            </w:pPr>
            <w:r>
              <w:rPr>
                <w:rFonts w:ascii="Calibri" w:hAnsi="Calibri" w:cs="Calibri"/>
                <w:sz w:val="20"/>
              </w:rPr>
              <w:t>60 %</w:t>
            </w:r>
          </w:p>
        </w:tc>
        <w:tc>
          <w:tcPr>
            <w:tcW w:type="dxa" w:w="1024"/>
            <w:vAlign w:val="center"/>
            <w:tcMar>
              <w:top w:w="100" w:type="dxa"/>
              <w:left w:w="100" w:type="dxa"/>
              <w:bottom w:w="100" w:type="dxa"/>
              <w:right w:w="100" w:type="dxa"/>
            </w:tcMar>
          </w:tcPr>
          <w:p>
            <w:pPr>
              <w:spacing w:after="0" w:line="240" w:lineRule="auto"/>
              <w:jc w:val="right"/>
            </w:pPr>
            <w:r>
              <w:rPr>
                <w:rFonts w:ascii="Calibri" w:hAnsi="Calibri" w:cs="Calibri"/>
                <w:sz w:val="20"/>
              </w:rPr>
              <w:t>100 %</w:t>
            </w:r>
          </w:p>
        </w:tc>
      </w:tr>
    </w:tbl>
    <w:p>
      <w:pPr>
        <w:jc w:val="both"/>
      </w:pPr>
      <w:r>
        <w:rPr>
          <w:rFonts w:ascii="Calibri" w:hAnsi="Calibri" w:cs="Calibri"/>
        </w:rPr>
        <w:t>El primer año es un retiro de subsistencia, y hay que decir lo que supone: que durante ese año los socios se sostienen con otro ingreso. Es la situación real de cualquier proyecto que arranca sin capital externo, y esconderla detrás de un retiro mayor sólo trasladaría el problema al capital que hay que poner.</w:t>
      </w:r>
    </w:p>
    <w:p>
      <w:pPr>
        <w:jc w:val="both"/>
      </w:pPr>
      <w:r>
        <w:rPr>
          <w:rFonts w:ascii="Calibri" w:hAnsi="Calibri" w:cs="Calibri"/>
        </w:rPr>
        <w:t xml:space="preserve">La brecha entre lo que retiran y lo que valdría su trabajo en el mercado es el aporte de capital de los socios, y está registrada como tal en lugar de quedar escondida en un costo laboral irrealmente bajo. Medida sobre los cuatro años, esa brecha suma </w:t>
      </w:r>
      <w:r>
        <w:rPr>
          <w:rFonts w:ascii="Calibri" w:hAnsi="Calibri" w:cs="Calibri"/>
        </w:rPr>
        <w:t>221 millones</w:t>
      </w:r>
      <w:r>
        <w:rPr>
          <w:rFonts w:ascii="Calibri" w:hAnsi="Calibri" w:cs="Calibri"/>
        </w:rPr>
        <w:t xml:space="preserve"> —86 el primer año, 79 el segundo, 57 el tercero y nada el cuarto—: casi el doble del capital en efectivo que hay que poner. Es la inversión que los socios hacen en horas antes de poner un peso, y es lo que la tasa de corte del valor actual neto tiene que remunerar cuando se evalúe el proyecto en la Entrega 2.</w:t>
      </w:r>
    </w:p>
    <w:p>
      <w:pPr>
        <w:pStyle w:val="Ttulo2"/>
        <w:jc w:val="both"/>
      </w:pPr>
      <w:r>
        <w:rPr>
          <w:rFonts w:ascii="Calibri" w:hAnsi="Calibri" w:cs="Calibri"/>
          <w:b/>
          <w:color w:val="000000"/>
        </w:rPr>
        <w:t>8.2. Cargas sociales</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tblHeader/>
        </w:trPr>
        <w:tc>
          <w:tcPr>
            <w:tcW w:type="dxa" w:w="362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Concepto</w:t>
            </w:r>
          </w:p>
        </w:tc>
        <w:tc>
          <w:tcPr>
            <w:tcW w:type="dxa" w:w="195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Alícuota</w:t>
            </w:r>
          </w:p>
        </w:tc>
        <w:tc>
          <w:tcPr>
            <w:tcW w:type="dxa" w:w="2929"/>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Norma</w:t>
            </w:r>
          </w:p>
        </w:tc>
      </w:tr>
      <w:tr>
        <w:tc>
          <w:tcPr>
            <w:tcW w:type="dxa" w:w="3621"/>
            <w:vAlign w:val="center"/>
            <w:tcMar>
              <w:top w:w="100" w:type="dxa"/>
              <w:left w:w="100" w:type="dxa"/>
              <w:bottom w:w="100" w:type="dxa"/>
              <w:right w:w="100" w:type="dxa"/>
            </w:tcMar>
          </w:tcPr>
          <w:p>
            <w:pPr>
              <w:spacing w:after="0" w:line="240" w:lineRule="auto"/>
              <w:jc w:val="left"/>
            </w:pPr>
            <w:r>
              <w:rPr>
                <w:rFonts w:ascii="Calibri" w:hAnsi="Calibri" w:cs="Calibri"/>
                <w:sz w:val="20"/>
              </w:rPr>
              <w:t>Jubilación (SIPA)</w:t>
            </w:r>
          </w:p>
        </w:tc>
        <w:tc>
          <w:tcPr>
            <w:tcW w:type="dxa" w:w="1954"/>
            <w:vAlign w:val="center"/>
            <w:tcMar>
              <w:top w:w="100" w:type="dxa"/>
              <w:left w:w="100" w:type="dxa"/>
              <w:bottom w:w="100" w:type="dxa"/>
              <w:right w:w="100" w:type="dxa"/>
            </w:tcMar>
          </w:tcPr>
          <w:p>
            <w:pPr>
              <w:spacing w:after="0" w:line="240" w:lineRule="auto"/>
              <w:jc w:val="right"/>
            </w:pPr>
            <w:r>
              <w:rPr>
                <w:rFonts w:ascii="Calibri" w:hAnsi="Calibri" w:cs="Calibri"/>
                <w:sz w:val="20"/>
              </w:rPr>
              <w:t>10,17 %</w:t>
            </w:r>
          </w:p>
        </w:tc>
        <w:tc>
          <w:tcPr>
            <w:tcW w:type="dxa" w:w="2929"/>
            <w:vAlign w:val="center"/>
            <w:tcMar>
              <w:top w:w="100" w:type="dxa"/>
              <w:left w:w="100" w:type="dxa"/>
              <w:bottom w:w="100" w:type="dxa"/>
              <w:right w:w="100" w:type="dxa"/>
            </w:tcMar>
          </w:tcPr>
          <w:p>
            <w:pPr>
              <w:spacing w:after="0" w:line="240" w:lineRule="auto"/>
              <w:jc w:val="left"/>
            </w:pPr>
            <w:r>
              <w:rPr>
                <w:rFonts w:ascii="Calibri" w:hAnsi="Calibri" w:cs="Calibri"/>
                <w:sz w:val="20"/>
              </w:rPr>
              <w:t>Decreto 814/01, inciso b</w:t>
            </w:r>
          </w:p>
        </w:tc>
      </w:tr>
      <w:tr>
        <w:tc>
          <w:tcPr>
            <w:tcW w:type="dxa" w:w="3621"/>
            <w:vAlign w:val="center"/>
            <w:tcMar>
              <w:top w:w="100" w:type="dxa"/>
              <w:left w:w="100" w:type="dxa"/>
              <w:bottom w:w="100" w:type="dxa"/>
              <w:right w:w="100" w:type="dxa"/>
            </w:tcMar>
          </w:tcPr>
          <w:p>
            <w:pPr>
              <w:spacing w:after="0" w:line="240" w:lineRule="auto"/>
              <w:jc w:val="left"/>
            </w:pPr>
            <w:r>
              <w:rPr>
                <w:rFonts w:ascii="Calibri" w:hAnsi="Calibri" w:cs="Calibri"/>
                <w:sz w:val="20"/>
              </w:rPr>
              <w:t>PAMI (Ley 19.032)</w:t>
            </w:r>
          </w:p>
        </w:tc>
        <w:tc>
          <w:tcPr>
            <w:tcW w:type="dxa" w:w="1954"/>
            <w:vAlign w:val="center"/>
            <w:tcMar>
              <w:top w:w="100" w:type="dxa"/>
              <w:left w:w="100" w:type="dxa"/>
              <w:bottom w:w="100" w:type="dxa"/>
              <w:right w:w="100" w:type="dxa"/>
            </w:tcMar>
          </w:tcPr>
          <w:p>
            <w:pPr>
              <w:spacing w:after="0" w:line="240" w:lineRule="auto"/>
              <w:jc w:val="right"/>
            </w:pPr>
            <w:r>
              <w:rPr>
                <w:rFonts w:ascii="Calibri" w:hAnsi="Calibri" w:cs="Calibri"/>
                <w:sz w:val="20"/>
              </w:rPr>
              <w:t>1,50 %</w:t>
            </w:r>
          </w:p>
        </w:tc>
        <w:tc>
          <w:tcPr>
            <w:tcW w:type="dxa" w:w="2929"/>
            <w:vAlign w:val="center"/>
            <w:tcMar>
              <w:top w:w="100" w:type="dxa"/>
              <w:left w:w="100" w:type="dxa"/>
              <w:bottom w:w="100" w:type="dxa"/>
              <w:right w:w="100" w:type="dxa"/>
            </w:tcMar>
          </w:tcPr>
          <w:p>
            <w:pPr>
              <w:spacing w:after="0" w:line="240" w:lineRule="auto"/>
              <w:jc w:val="left"/>
            </w:pPr>
            <w:r>
              <w:rPr>
                <w:rFonts w:ascii="Calibri" w:hAnsi="Calibri" w:cs="Calibri"/>
                <w:sz w:val="20"/>
              </w:rPr>
              <w:t>Decreto 814/01, inciso b</w:t>
            </w:r>
          </w:p>
        </w:tc>
      </w:tr>
      <w:tr>
        <w:tc>
          <w:tcPr>
            <w:tcW w:type="dxa" w:w="3621"/>
            <w:vAlign w:val="center"/>
            <w:tcMar>
              <w:top w:w="100" w:type="dxa"/>
              <w:left w:w="100" w:type="dxa"/>
              <w:bottom w:w="100" w:type="dxa"/>
              <w:right w:w="100" w:type="dxa"/>
            </w:tcMar>
          </w:tcPr>
          <w:p>
            <w:pPr>
              <w:spacing w:after="0" w:line="240" w:lineRule="auto"/>
              <w:jc w:val="left"/>
            </w:pPr>
            <w:r>
              <w:rPr>
                <w:rFonts w:ascii="Calibri" w:hAnsi="Calibri" w:cs="Calibri"/>
                <w:sz w:val="20"/>
              </w:rPr>
              <w:t>Asignaciones familiares</w:t>
            </w:r>
          </w:p>
        </w:tc>
        <w:tc>
          <w:tcPr>
            <w:tcW w:type="dxa" w:w="1954"/>
            <w:vAlign w:val="center"/>
            <w:tcMar>
              <w:top w:w="100" w:type="dxa"/>
              <w:left w:w="100" w:type="dxa"/>
              <w:bottom w:w="100" w:type="dxa"/>
              <w:right w:w="100" w:type="dxa"/>
            </w:tcMar>
          </w:tcPr>
          <w:p>
            <w:pPr>
              <w:spacing w:after="0" w:line="240" w:lineRule="auto"/>
              <w:jc w:val="right"/>
            </w:pPr>
            <w:r>
              <w:rPr>
                <w:rFonts w:ascii="Calibri" w:hAnsi="Calibri" w:cs="Calibri"/>
                <w:sz w:val="20"/>
              </w:rPr>
              <w:t>4,44 %</w:t>
            </w:r>
          </w:p>
        </w:tc>
        <w:tc>
          <w:tcPr>
            <w:tcW w:type="dxa" w:w="2929"/>
            <w:vAlign w:val="center"/>
            <w:tcMar>
              <w:top w:w="100" w:type="dxa"/>
              <w:left w:w="100" w:type="dxa"/>
              <w:bottom w:w="100" w:type="dxa"/>
              <w:right w:w="100" w:type="dxa"/>
            </w:tcMar>
          </w:tcPr>
          <w:p>
            <w:pPr>
              <w:spacing w:after="0" w:line="240" w:lineRule="auto"/>
              <w:jc w:val="left"/>
            </w:pPr>
            <w:r>
              <w:rPr>
                <w:rFonts w:ascii="Calibri" w:hAnsi="Calibri" w:cs="Calibri"/>
                <w:sz w:val="20"/>
              </w:rPr>
              <w:t>Decreto 814/01, inciso b</w:t>
            </w:r>
          </w:p>
        </w:tc>
      </w:tr>
      <w:tr>
        <w:tc>
          <w:tcPr>
            <w:tcW w:type="dxa" w:w="3621"/>
            <w:vAlign w:val="center"/>
            <w:tcMar>
              <w:top w:w="100" w:type="dxa"/>
              <w:left w:w="100" w:type="dxa"/>
              <w:bottom w:w="100" w:type="dxa"/>
              <w:right w:w="100" w:type="dxa"/>
            </w:tcMar>
          </w:tcPr>
          <w:p>
            <w:pPr>
              <w:spacing w:after="0" w:line="240" w:lineRule="auto"/>
              <w:jc w:val="left"/>
            </w:pPr>
            <w:r>
              <w:rPr>
                <w:rFonts w:ascii="Calibri" w:hAnsi="Calibri" w:cs="Calibri"/>
                <w:sz w:val="20"/>
              </w:rPr>
              <w:t>Fondo Nacional de Empleo</w:t>
            </w:r>
          </w:p>
        </w:tc>
        <w:tc>
          <w:tcPr>
            <w:tcW w:type="dxa" w:w="1954"/>
            <w:vAlign w:val="center"/>
            <w:tcMar>
              <w:top w:w="100" w:type="dxa"/>
              <w:left w:w="100" w:type="dxa"/>
              <w:bottom w:w="100" w:type="dxa"/>
              <w:right w:w="100" w:type="dxa"/>
            </w:tcMar>
          </w:tcPr>
          <w:p>
            <w:pPr>
              <w:spacing w:after="0" w:line="240" w:lineRule="auto"/>
              <w:jc w:val="right"/>
            </w:pPr>
            <w:r>
              <w:rPr>
                <w:rFonts w:ascii="Calibri" w:hAnsi="Calibri" w:cs="Calibri"/>
                <w:sz w:val="20"/>
              </w:rPr>
              <w:t>0,89 %</w:t>
            </w:r>
          </w:p>
        </w:tc>
        <w:tc>
          <w:tcPr>
            <w:tcW w:type="dxa" w:w="2929"/>
            <w:vAlign w:val="center"/>
            <w:tcMar>
              <w:top w:w="100" w:type="dxa"/>
              <w:left w:w="100" w:type="dxa"/>
              <w:bottom w:w="100" w:type="dxa"/>
              <w:right w:w="100" w:type="dxa"/>
            </w:tcMar>
          </w:tcPr>
          <w:p>
            <w:pPr>
              <w:spacing w:after="0" w:line="240" w:lineRule="auto"/>
              <w:jc w:val="left"/>
            </w:pPr>
            <w:r>
              <w:rPr>
                <w:rFonts w:ascii="Calibri" w:hAnsi="Calibri" w:cs="Calibri"/>
                <w:sz w:val="20"/>
              </w:rPr>
              <w:t>Decreto 814/01, inciso b</w:t>
            </w:r>
          </w:p>
        </w:tc>
      </w:tr>
      <w:tr>
        <w:tc>
          <w:tcPr>
            <w:tcW w:type="dxa" w:w="3621"/>
            <w:vAlign w:val="center"/>
            <w:tcMar>
              <w:top w:w="100" w:type="dxa"/>
              <w:left w:w="100" w:type="dxa"/>
              <w:bottom w:w="100" w:type="dxa"/>
              <w:right w:w="100" w:type="dxa"/>
            </w:tcMar>
          </w:tcPr>
          <w:p>
            <w:pPr>
              <w:spacing w:after="0" w:line="240" w:lineRule="auto"/>
              <w:jc w:val="left"/>
            </w:pPr>
            <w:r>
              <w:rPr>
                <w:rFonts w:ascii="Calibri" w:hAnsi="Calibri" w:cs="Calibri"/>
                <w:sz w:val="20"/>
              </w:rPr>
              <w:t>Obra social</w:t>
            </w:r>
          </w:p>
        </w:tc>
        <w:tc>
          <w:tcPr>
            <w:tcW w:type="dxa" w:w="1954"/>
            <w:vAlign w:val="center"/>
            <w:tcMar>
              <w:top w:w="100" w:type="dxa"/>
              <w:left w:w="100" w:type="dxa"/>
              <w:bottom w:w="100" w:type="dxa"/>
              <w:right w:w="100" w:type="dxa"/>
            </w:tcMar>
          </w:tcPr>
          <w:p>
            <w:pPr>
              <w:spacing w:after="0" w:line="240" w:lineRule="auto"/>
              <w:jc w:val="right"/>
            </w:pPr>
            <w:r>
              <w:rPr>
                <w:rFonts w:ascii="Calibri" w:hAnsi="Calibri" w:cs="Calibri"/>
                <w:sz w:val="20"/>
              </w:rPr>
              <w:t>6,00 %</w:t>
            </w:r>
          </w:p>
        </w:tc>
        <w:tc>
          <w:tcPr>
            <w:tcW w:type="dxa" w:w="2929"/>
            <w:vAlign w:val="center"/>
            <w:tcMar>
              <w:top w:w="100" w:type="dxa"/>
              <w:left w:w="100" w:type="dxa"/>
              <w:bottom w:w="100" w:type="dxa"/>
              <w:right w:w="100" w:type="dxa"/>
            </w:tcMar>
          </w:tcPr>
          <w:p>
            <w:pPr>
              <w:spacing w:after="0" w:line="240" w:lineRule="auto"/>
              <w:jc w:val="left"/>
            </w:pPr>
            <w:r>
              <w:rPr>
                <w:rFonts w:ascii="Calibri" w:hAnsi="Calibri" w:cs="Calibri"/>
                <w:sz w:val="20"/>
              </w:rPr>
              <w:t>Ley 23.660</w:t>
            </w:r>
          </w:p>
        </w:tc>
      </w:tr>
      <w:tr>
        <w:tc>
          <w:tcPr>
            <w:tcW w:type="dxa" w:w="3621"/>
            <w:vAlign w:val="center"/>
            <w:tcMar>
              <w:top w:w="100" w:type="dxa"/>
              <w:left w:w="100" w:type="dxa"/>
              <w:bottom w:w="100" w:type="dxa"/>
              <w:right w:w="100" w:type="dxa"/>
            </w:tcMar>
          </w:tcPr>
          <w:p>
            <w:pPr>
              <w:spacing w:after="0" w:line="240" w:lineRule="auto"/>
              <w:jc w:val="left"/>
            </w:pPr>
            <w:r>
              <w:rPr>
                <w:rFonts w:ascii="Calibri" w:hAnsi="Calibri" w:cs="Calibri"/>
                <w:sz w:val="20"/>
              </w:rPr>
              <w:t>ART</w:t>
            </w:r>
          </w:p>
        </w:tc>
        <w:tc>
          <w:tcPr>
            <w:tcW w:type="dxa" w:w="1954"/>
            <w:vAlign w:val="center"/>
            <w:tcMar>
              <w:top w:w="100" w:type="dxa"/>
              <w:left w:w="100" w:type="dxa"/>
              <w:bottom w:w="100" w:type="dxa"/>
              <w:right w:w="100" w:type="dxa"/>
            </w:tcMar>
          </w:tcPr>
          <w:p>
            <w:pPr>
              <w:spacing w:after="0" w:line="240" w:lineRule="auto"/>
              <w:jc w:val="right"/>
            </w:pPr>
            <w:r>
              <w:rPr>
                <w:rFonts w:ascii="Calibri" w:hAnsi="Calibri" w:cs="Calibri"/>
                <w:sz w:val="20"/>
              </w:rPr>
              <w:t>3,50 %</w:t>
            </w:r>
          </w:p>
        </w:tc>
        <w:tc>
          <w:tcPr>
            <w:tcW w:type="dxa" w:w="2929"/>
            <w:vAlign w:val="center"/>
            <w:tcMar>
              <w:top w:w="100" w:type="dxa"/>
              <w:left w:w="100" w:type="dxa"/>
              <w:bottom w:w="100" w:type="dxa"/>
              <w:right w:w="100" w:type="dxa"/>
            </w:tcMar>
          </w:tcPr>
          <w:p>
            <w:pPr>
              <w:spacing w:after="0" w:line="240" w:lineRule="auto"/>
              <w:jc w:val="left"/>
            </w:pPr>
            <w:r>
              <w:rPr>
                <w:rFonts w:ascii="Calibri" w:hAnsi="Calibri" w:cs="Calibri"/>
                <w:sz w:val="20"/>
              </w:rPr>
              <w:t>Ley 24.557</w:t>
            </w:r>
          </w:p>
        </w:tc>
      </w:tr>
      <w:tr>
        <w:tc>
          <w:tcPr>
            <w:tcW w:type="dxa" w:w="3621"/>
            <w:vAlign w:val="center"/>
            <w:tcMar>
              <w:top w:w="100" w:type="dxa"/>
              <w:left w:w="100" w:type="dxa"/>
              <w:bottom w:w="100" w:type="dxa"/>
              <w:right w:w="100" w:type="dxa"/>
            </w:tcMar>
          </w:tcPr>
          <w:p>
            <w:pPr>
              <w:spacing w:after="0" w:line="240" w:lineRule="auto"/>
              <w:jc w:val="left"/>
            </w:pPr>
            <w:r>
              <w:rPr>
                <w:rFonts w:ascii="Calibri" w:hAnsi="Calibri" w:cs="Calibri"/>
                <w:sz w:val="20"/>
              </w:rPr>
              <w:t>Seguro de vida obligatorio</w:t>
            </w:r>
          </w:p>
        </w:tc>
        <w:tc>
          <w:tcPr>
            <w:tcW w:type="dxa" w:w="1954"/>
            <w:vAlign w:val="center"/>
            <w:tcMar>
              <w:top w:w="100" w:type="dxa"/>
              <w:left w:w="100" w:type="dxa"/>
              <w:bottom w:w="100" w:type="dxa"/>
              <w:right w:w="100" w:type="dxa"/>
            </w:tcMar>
          </w:tcPr>
          <w:p>
            <w:pPr>
              <w:spacing w:after="0" w:line="240" w:lineRule="auto"/>
              <w:jc w:val="right"/>
            </w:pPr>
            <w:r>
              <w:rPr>
                <w:rFonts w:ascii="Calibri" w:hAnsi="Calibri" w:cs="Calibri"/>
                <w:sz w:val="20"/>
              </w:rPr>
              <w:t>0,30 %</w:t>
            </w:r>
          </w:p>
        </w:tc>
        <w:tc>
          <w:tcPr>
            <w:tcW w:type="dxa" w:w="2929"/>
            <w:vAlign w:val="center"/>
            <w:tcMar>
              <w:top w:w="100" w:type="dxa"/>
              <w:left w:w="100" w:type="dxa"/>
              <w:bottom w:w="100" w:type="dxa"/>
              <w:right w:w="100" w:type="dxa"/>
            </w:tcMar>
          </w:tcPr>
          <w:p>
            <w:pPr>
              <w:spacing w:after="0" w:line="240" w:lineRule="auto"/>
              <w:jc w:val="left"/>
            </w:pPr>
            <w:r>
              <w:rPr>
                <w:rFonts w:ascii="Calibri" w:hAnsi="Calibri" w:cs="Calibri"/>
                <w:sz w:val="20"/>
              </w:rPr>
              <w:t>Decreto 1567/74</w:t>
            </w:r>
          </w:p>
        </w:tc>
      </w:tr>
      <w:tr>
        <w:tc>
          <w:tcPr>
            <w:tcW w:type="dxa" w:w="3621"/>
            <w:vAlign w:val="center"/>
            <w:tcMar>
              <w:top w:w="100" w:type="dxa"/>
              <w:left w:w="100" w:type="dxa"/>
              <w:bottom w:w="100" w:type="dxa"/>
              <w:right w:w="100" w:type="dxa"/>
            </w:tcMar>
          </w:tcPr>
          <w:p>
            <w:pPr>
              <w:spacing w:after="0" w:line="240" w:lineRule="auto"/>
              <w:jc w:val="left"/>
            </w:pPr>
            <w:r>
              <w:rPr>
                <w:rFonts w:ascii="Calibri" w:hAnsi="Calibri" w:cs="Calibri"/>
                <w:sz w:val="20"/>
              </w:rPr>
              <w:t>Total</w:t>
            </w:r>
          </w:p>
        </w:tc>
        <w:tc>
          <w:tcPr>
            <w:tcW w:type="dxa" w:w="1954"/>
            <w:vAlign w:val="center"/>
            <w:tcMar>
              <w:top w:w="100" w:type="dxa"/>
              <w:left w:w="100" w:type="dxa"/>
              <w:bottom w:w="100" w:type="dxa"/>
              <w:right w:w="100" w:type="dxa"/>
            </w:tcMar>
          </w:tcPr>
          <w:p>
            <w:pPr>
              <w:spacing w:after="0" w:line="240" w:lineRule="auto"/>
              <w:jc w:val="right"/>
            </w:pPr>
            <w:r>
              <w:rPr>
                <w:rFonts w:ascii="Calibri" w:hAnsi="Calibri" w:cs="Calibri"/>
                <w:sz w:val="20"/>
              </w:rPr>
              <w:t>28,30 %</w:t>
            </w:r>
          </w:p>
        </w:tc>
        <w:tc>
          <w:tcPr>
            <w:tcW w:type="dxa" w:w="2929"/>
            <w:vAlign w:val="center"/>
            <w:tcMar>
              <w:top w:w="100" w:type="dxa"/>
              <w:left w:w="100" w:type="dxa"/>
              <w:bottom w:w="100" w:type="dxa"/>
              <w:right w:w="100" w:type="dxa"/>
            </w:tcMar>
          </w:tcPr>
          <w:p>
            <w:pPr>
              <w:spacing w:after="0" w:line="240" w:lineRule="auto"/>
              <w:jc w:val="left"/>
            </w:pPr>
          </w:p>
        </w:tc>
      </w:tr>
    </w:tbl>
    <w:p>
      <w:pPr>
        <w:jc w:val="both"/>
      </w:pPr>
      <w:r>
        <w:rPr>
          <w:rFonts w:ascii="Calibri" w:hAnsi="Calibri" w:cs="Calibri"/>
        </w:rPr>
        <w:t>La ART faltaba, y es lo que dejaba el total fuera de rango.</w:t>
      </w:r>
      <w:r>
        <w:rPr>
          <w:rFonts w:ascii="Calibri" w:hAnsi="Calibri" w:cs="Calibri"/>
        </w:rPr>
        <w:t xml:space="preserve"> Con 23 % el modelo quedaba por debajo del 25 % al 30 % en que se ubican las contribuciones patronales de una empresa de servicios. La cobertura de riesgos del trabajo es obligatoria y se paga sobre la misma base que el resto.</w:t>
      </w:r>
    </w:p>
    <w:p>
      <w:pPr>
        <w:jc w:val="both"/>
      </w:pPr>
      <w:r>
        <w:rPr>
          <w:rFonts w:ascii="Calibri" w:hAnsi="Calibri" w:cs="Calibri"/>
        </w:rPr>
        <w:t>Encuadre laboral.</w:t>
      </w:r>
      <w:r>
        <w:rPr>
          <w:rFonts w:ascii="Calibri" w:hAnsi="Calibri" w:cs="Calibri"/>
        </w:rPr>
        <w:t xml:space="preserve"> El personal se contrata </w:t>
      </w:r>
      <w:r>
        <w:rPr>
          <w:rFonts w:ascii="Calibri" w:hAnsi="Calibri" w:cs="Calibri"/>
        </w:rPr>
        <w:t>fuera de convenio</w:t>
      </w:r>
      <w:r>
        <w:rPr>
          <w:rFonts w:ascii="Calibri" w:hAnsi="Calibri" w:cs="Calibri"/>
        </w:rPr>
        <w:t xml:space="preserve">, bajo el régimen general de la Ley de Contrato de Trabajo 20.744. No existe un convenio colectivo propio de la actividad del software en la Argentina, y el CCT 130/75 —Empleados de Comercio— alcanzaría sólo a personal administrativo, que esta plantilla no tiene. Eso tiene una consecuencia sobre el modelo que conviene decir: </w:t>
      </w:r>
      <w:r>
        <w:rPr>
          <w:rFonts w:ascii="Calibri" w:hAnsi="Calibri" w:cs="Calibri"/>
        </w:rPr>
        <w:t>los aumentos salariales no siguen una paritaria</w:t>
      </w:r>
      <w:r>
        <w:rPr>
          <w:rFonts w:ascii="Calibri" w:hAnsi="Calibri" w:cs="Calibri"/>
        </w:rPr>
        <w:t>, son política propia, y por eso el supuesto del punto 1.1 los fija sobre la inflación en lugar de tomarlos de un acuerdo firmado.</w:t>
      </w:r>
    </w:p>
    <w:p>
      <w:pPr>
        <w:jc w:val="both"/>
      </w:pPr>
      <w:r>
        <w:rPr>
          <w:rFonts w:ascii="Calibri" w:hAnsi="Calibri" w:cs="Calibri"/>
        </w:rPr>
        <w:t>El aguinaldo también está en el modelo</w:t>
      </w:r>
      <w:r>
        <w:rPr>
          <w:rFonts w:ascii="Calibri" w:hAnsi="Calibri" w:cs="Calibri"/>
        </w:rPr>
        <w:t>, aunque no sea una alícuota: junio y diciembre pagan un sueldo y medio, así que el año son trece sueldos y no doce. Sobre el costo laboral anual pesa alrededor de un 8 %, y es la razón de que en la planilla esos dos meses se salgan de la línea.</w:t>
      </w:r>
    </w:p>
    <w:p>
      <w:pPr>
        <w:jc w:val="both"/>
      </w:pPr>
      <w:r>
        <w:rPr>
          <w:rFonts w:ascii="Calibri" w:hAnsi="Calibri" w:cs="Calibri"/>
        </w:rPr>
        <w:t xml:space="preserve">Los salarios se ajustan una vez por año por el supuesto de aumento del punto 1.1, que es el más alto de los tres índices del modelo. El costo de recursos humanos es el que más pesa en toda la estructura: </w:t>
      </w:r>
      <w:r>
        <w:rPr>
          <w:rFonts w:ascii="Calibri" w:hAnsi="Calibri" w:cs="Calibri"/>
        </w:rPr>
        <w:t>el 73 % de los egresos del primer año y el 86 % del cuarto</w:t>
      </w:r>
      <w:r>
        <w:rPr>
          <w:rFonts w:ascii="Calibri" w:hAnsi="Calibri" w:cs="Calibri"/>
        </w:rPr>
        <w:t>. Es lo esperable en un negocio de software, donde no hay materia prima, y es también lo que explica que el punto de equilibrio dependa mucho más del tamaño del equipo que del precio.</w:t>
      </w:r>
    </w:p>
    <w:p>
      <w:pPr>
        <w:pStyle w:val="Ttulo1"/>
        <w:pageBreakBefore/>
        <w:jc w:val="both"/>
      </w:pPr>
      <w:r>
        <w:rPr>
          <w:rFonts w:ascii="Calibri" w:hAnsi="Calibri" w:cs="Calibri"/>
          <w:b/>
          <w:color w:val="000000"/>
        </w:rPr>
        <w:t>9. Qué no entra en esta entrega</w:t>
      </w:r>
    </w:p>
    <w:p>
      <w:pPr>
        <w:jc w:val="both"/>
      </w:pPr>
      <w:r>
        <w:rPr>
          <w:rFonts w:ascii="Calibri" w:hAnsi="Calibri" w:cs="Calibri"/>
        </w:rPr>
        <w:t>Se declara para que no se lea como algo faltante: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tblHeader/>
        </w:trPr>
        <w:tc>
          <w:tcPr>
            <w:tcW w:type="dxa" w:w="428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Contenido</w:t>
            </w:r>
          </w:p>
        </w:tc>
        <w:tc>
          <w:tcPr>
            <w:tcW w:type="dxa" w:w="422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Entrega</w:t>
            </w:r>
          </w:p>
        </w:tc>
      </w:tr>
      <w:tr>
        <w:tc>
          <w:tcPr>
            <w:tcW w:type="dxa" w:w="4281"/>
            <w:vAlign w:val="center"/>
            <w:tcMar>
              <w:top w:w="100" w:type="dxa"/>
              <w:left w:w="100" w:type="dxa"/>
              <w:bottom w:w="100" w:type="dxa"/>
              <w:right w:w="100" w:type="dxa"/>
            </w:tcMar>
          </w:tcPr>
          <w:p>
            <w:pPr>
              <w:spacing w:after="0" w:line="240" w:lineRule="auto"/>
              <w:jc w:val="left"/>
            </w:pPr>
            <w:r>
              <w:rPr>
                <w:rFonts w:ascii="Calibri" w:hAnsi="Calibri" w:cs="Calibri"/>
                <w:sz w:val="20"/>
              </w:rPr>
              <w:t>Hipótesis, proyección de ventas y líneas de servicio</w:t>
            </w:r>
          </w:p>
        </w:tc>
        <w:tc>
          <w:tcPr>
            <w:tcW w:type="dxa" w:w="4223"/>
            <w:vAlign w:val="center"/>
            <w:tcMar>
              <w:top w:w="100" w:type="dxa"/>
              <w:left w:w="100" w:type="dxa"/>
              <w:bottom w:w="100" w:type="dxa"/>
              <w:right w:w="100" w:type="dxa"/>
            </w:tcMar>
          </w:tcPr>
          <w:p>
            <w:pPr>
              <w:spacing w:after="0" w:line="240" w:lineRule="auto"/>
              <w:jc w:val="right"/>
            </w:pPr>
            <w:r>
              <w:rPr>
                <w:rFonts w:ascii="Calibri" w:hAnsi="Calibri" w:cs="Calibri"/>
                <w:sz w:val="20"/>
              </w:rPr>
              <w:t>1 — esta</w:t>
            </w:r>
          </w:p>
        </w:tc>
      </w:tr>
      <w:tr>
        <w:tc>
          <w:tcPr>
            <w:tcW w:type="dxa" w:w="4281"/>
            <w:vAlign w:val="center"/>
            <w:tcMar>
              <w:top w:w="100" w:type="dxa"/>
              <w:left w:w="100" w:type="dxa"/>
              <w:bottom w:w="100" w:type="dxa"/>
              <w:right w:w="100" w:type="dxa"/>
            </w:tcMar>
          </w:tcPr>
          <w:p>
            <w:pPr>
              <w:spacing w:after="0" w:line="240" w:lineRule="auto"/>
              <w:jc w:val="left"/>
            </w:pPr>
            <w:r>
              <w:rPr>
                <w:rFonts w:ascii="Calibri" w:hAnsi="Calibri" w:cs="Calibri"/>
                <w:sz w:val="20"/>
              </w:rPr>
              <w:t>Modelo de ingresos y de egresos</w:t>
            </w:r>
          </w:p>
        </w:tc>
        <w:tc>
          <w:tcPr>
            <w:tcW w:type="dxa" w:w="4223"/>
            <w:vAlign w:val="center"/>
            <w:tcMar>
              <w:top w:w="100" w:type="dxa"/>
              <w:left w:w="100" w:type="dxa"/>
              <w:bottom w:w="100" w:type="dxa"/>
              <w:right w:w="100" w:type="dxa"/>
            </w:tcMar>
          </w:tcPr>
          <w:p>
            <w:pPr>
              <w:spacing w:after="0" w:line="240" w:lineRule="auto"/>
              <w:jc w:val="right"/>
            </w:pPr>
            <w:r>
              <w:rPr>
                <w:rFonts w:ascii="Calibri" w:hAnsi="Calibri" w:cs="Calibri"/>
                <w:sz w:val="20"/>
              </w:rPr>
              <w:t>1 — esta</w:t>
            </w:r>
          </w:p>
        </w:tc>
      </w:tr>
      <w:tr>
        <w:tc>
          <w:tcPr>
            <w:tcW w:type="dxa" w:w="4281"/>
            <w:vAlign w:val="center"/>
            <w:tcMar>
              <w:top w:w="100" w:type="dxa"/>
              <w:left w:w="100" w:type="dxa"/>
              <w:bottom w:w="100" w:type="dxa"/>
              <w:right w:w="100" w:type="dxa"/>
            </w:tcMar>
          </w:tcPr>
          <w:p>
            <w:pPr>
              <w:spacing w:after="0" w:line="240" w:lineRule="auto"/>
              <w:jc w:val="left"/>
            </w:pPr>
            <w:r>
              <w:rPr>
                <w:rFonts w:ascii="Calibri" w:hAnsi="Calibri" w:cs="Calibri"/>
                <w:sz w:val="20"/>
              </w:rPr>
              <w:t>Costos fijos, variables y de RRHH</w:t>
            </w:r>
          </w:p>
        </w:tc>
        <w:tc>
          <w:tcPr>
            <w:tcW w:type="dxa" w:w="4223"/>
            <w:vAlign w:val="center"/>
            <w:tcMar>
              <w:top w:w="100" w:type="dxa"/>
              <w:left w:w="100" w:type="dxa"/>
              <w:bottom w:w="100" w:type="dxa"/>
              <w:right w:w="100" w:type="dxa"/>
            </w:tcMar>
          </w:tcPr>
          <w:p>
            <w:pPr>
              <w:spacing w:after="0" w:line="240" w:lineRule="auto"/>
              <w:jc w:val="right"/>
            </w:pPr>
            <w:r>
              <w:rPr>
                <w:rFonts w:ascii="Calibri" w:hAnsi="Calibri" w:cs="Calibri"/>
                <w:sz w:val="20"/>
              </w:rPr>
              <w:t>1 — esta</w:t>
            </w:r>
          </w:p>
        </w:tc>
      </w:tr>
      <w:tr>
        <w:tc>
          <w:tcPr>
            <w:tcW w:type="dxa" w:w="4281"/>
            <w:vAlign w:val="center"/>
            <w:tcMar>
              <w:top w:w="100" w:type="dxa"/>
              <w:left w:w="100" w:type="dxa"/>
              <w:bottom w:w="100" w:type="dxa"/>
              <w:right w:w="100" w:type="dxa"/>
            </w:tcMar>
          </w:tcPr>
          <w:p>
            <w:pPr>
              <w:spacing w:after="0" w:line="240" w:lineRule="auto"/>
              <w:jc w:val="left"/>
            </w:pPr>
            <w:r>
              <w:rPr>
                <w:rFonts w:ascii="Calibri" w:hAnsi="Calibri" w:cs="Calibri"/>
                <w:sz w:val="20"/>
              </w:rPr>
              <w:t>Modelo de inversión</w:t>
            </w:r>
          </w:p>
        </w:tc>
        <w:tc>
          <w:tcPr>
            <w:tcW w:type="dxa" w:w="4223"/>
            <w:vAlign w:val="center"/>
            <w:tcMar>
              <w:top w:w="100" w:type="dxa"/>
              <w:left w:w="100" w:type="dxa"/>
              <w:bottom w:w="100" w:type="dxa"/>
              <w:right w:w="100" w:type="dxa"/>
            </w:tcMar>
          </w:tcPr>
          <w:p>
            <w:pPr>
              <w:spacing w:after="0" w:line="240" w:lineRule="auto"/>
              <w:jc w:val="right"/>
            </w:pPr>
            <w:r>
              <w:rPr>
                <w:rFonts w:ascii="Calibri" w:hAnsi="Calibri" w:cs="Calibri"/>
                <w:sz w:val="20"/>
              </w:rPr>
              <w:t>2</w:t>
            </w:r>
          </w:p>
        </w:tc>
      </w:tr>
      <w:tr>
        <w:tc>
          <w:tcPr>
            <w:tcW w:type="dxa" w:w="4281"/>
            <w:vAlign w:val="center"/>
            <w:tcMar>
              <w:top w:w="100" w:type="dxa"/>
              <w:left w:w="100" w:type="dxa"/>
              <w:bottom w:w="100" w:type="dxa"/>
              <w:right w:w="100" w:type="dxa"/>
            </w:tcMar>
          </w:tcPr>
          <w:p>
            <w:pPr>
              <w:spacing w:after="0" w:line="240" w:lineRule="auto"/>
              <w:jc w:val="left"/>
            </w:pPr>
            <w:r>
              <w:rPr>
                <w:rFonts w:ascii="Calibri" w:hAnsi="Calibri" w:cs="Calibri"/>
                <w:sz w:val="20"/>
              </w:rPr>
              <w:t>Flujo de fondos</w:t>
            </w:r>
          </w:p>
        </w:tc>
        <w:tc>
          <w:tcPr>
            <w:tcW w:type="dxa" w:w="4223"/>
            <w:vAlign w:val="center"/>
            <w:tcMar>
              <w:top w:w="100" w:type="dxa"/>
              <w:left w:w="100" w:type="dxa"/>
              <w:bottom w:w="100" w:type="dxa"/>
              <w:right w:w="100" w:type="dxa"/>
            </w:tcMar>
          </w:tcPr>
          <w:p>
            <w:pPr>
              <w:spacing w:after="0" w:line="240" w:lineRule="auto"/>
              <w:jc w:val="right"/>
            </w:pPr>
            <w:r>
              <w:rPr>
                <w:rFonts w:ascii="Calibri" w:hAnsi="Calibri" w:cs="Calibri"/>
                <w:sz w:val="20"/>
              </w:rPr>
              <w:t>2</w:t>
            </w:r>
          </w:p>
        </w:tc>
      </w:tr>
      <w:tr>
        <w:tc>
          <w:tcPr>
            <w:tcW w:type="dxa" w:w="4281"/>
            <w:vAlign w:val="center"/>
            <w:tcMar>
              <w:top w:w="100" w:type="dxa"/>
              <w:left w:w="100" w:type="dxa"/>
              <w:bottom w:w="100" w:type="dxa"/>
              <w:right w:w="100" w:type="dxa"/>
            </w:tcMar>
          </w:tcPr>
          <w:p>
            <w:pPr>
              <w:spacing w:after="0" w:line="240" w:lineRule="auto"/>
              <w:jc w:val="left"/>
            </w:pPr>
            <w:r>
              <w:rPr>
                <w:rFonts w:ascii="Calibri" w:hAnsi="Calibri" w:cs="Calibri"/>
                <w:sz w:val="20"/>
              </w:rPr>
              <w:t>Amortizaciones</w:t>
            </w:r>
          </w:p>
        </w:tc>
        <w:tc>
          <w:tcPr>
            <w:tcW w:type="dxa" w:w="4223"/>
            <w:vAlign w:val="center"/>
            <w:tcMar>
              <w:top w:w="100" w:type="dxa"/>
              <w:left w:w="100" w:type="dxa"/>
              <w:bottom w:w="100" w:type="dxa"/>
              <w:right w:w="100" w:type="dxa"/>
            </w:tcMar>
          </w:tcPr>
          <w:p>
            <w:pPr>
              <w:spacing w:after="0" w:line="240" w:lineRule="auto"/>
              <w:jc w:val="right"/>
            </w:pPr>
            <w:r>
              <w:rPr>
                <w:rFonts w:ascii="Calibri" w:hAnsi="Calibri" w:cs="Calibri"/>
                <w:sz w:val="20"/>
              </w:rPr>
              <w:t>2</w:t>
            </w:r>
          </w:p>
        </w:tc>
      </w:tr>
      <w:tr>
        <w:tc>
          <w:tcPr>
            <w:tcW w:type="dxa" w:w="4281"/>
            <w:vAlign w:val="center"/>
            <w:tcMar>
              <w:top w:w="100" w:type="dxa"/>
              <w:left w:w="100" w:type="dxa"/>
              <w:bottom w:w="100" w:type="dxa"/>
              <w:right w:w="100" w:type="dxa"/>
            </w:tcMar>
          </w:tcPr>
          <w:p>
            <w:pPr>
              <w:spacing w:after="0" w:line="240" w:lineRule="auto"/>
              <w:jc w:val="left"/>
            </w:pPr>
            <w:r>
              <w:rPr>
                <w:rFonts w:ascii="Calibri" w:hAnsi="Calibri" w:cs="Calibri"/>
                <w:sz w:val="20"/>
              </w:rPr>
              <w:t>Impuestos y régimen de promoción</w:t>
            </w:r>
          </w:p>
        </w:tc>
        <w:tc>
          <w:tcPr>
            <w:tcW w:type="dxa" w:w="4223"/>
            <w:vAlign w:val="center"/>
            <w:tcMar>
              <w:top w:w="100" w:type="dxa"/>
              <w:left w:w="100" w:type="dxa"/>
              <w:bottom w:w="100" w:type="dxa"/>
              <w:right w:w="100" w:type="dxa"/>
            </w:tcMar>
          </w:tcPr>
          <w:p>
            <w:pPr>
              <w:spacing w:after="0" w:line="240" w:lineRule="auto"/>
              <w:jc w:val="right"/>
            </w:pPr>
            <w:r>
              <w:rPr>
                <w:rFonts w:ascii="Calibri" w:hAnsi="Calibri" w:cs="Calibri"/>
                <w:sz w:val="20"/>
              </w:rPr>
              <w:t>2</w:t>
            </w:r>
          </w:p>
        </w:tc>
      </w:tr>
      <w:tr>
        <w:tc>
          <w:tcPr>
            <w:tcW w:type="dxa" w:w="4281"/>
            <w:vAlign w:val="center"/>
            <w:tcMar>
              <w:top w:w="100" w:type="dxa"/>
              <w:left w:w="100" w:type="dxa"/>
              <w:bottom w:w="100" w:type="dxa"/>
              <w:right w:w="100" w:type="dxa"/>
            </w:tcMar>
          </w:tcPr>
          <w:p>
            <w:pPr>
              <w:spacing w:after="0" w:line="240" w:lineRule="auto"/>
              <w:jc w:val="left"/>
            </w:pPr>
            <w:r>
              <w:rPr>
                <w:rFonts w:ascii="Calibri" w:hAnsi="Calibri" w:cs="Calibri"/>
                <w:sz w:val="20"/>
              </w:rPr>
              <w:t>Matriz de riesgos</w:t>
            </w:r>
          </w:p>
        </w:tc>
        <w:tc>
          <w:tcPr>
            <w:tcW w:type="dxa" w:w="4223"/>
            <w:vAlign w:val="center"/>
            <w:tcMar>
              <w:top w:w="100" w:type="dxa"/>
              <w:left w:w="100" w:type="dxa"/>
              <w:bottom w:w="100" w:type="dxa"/>
              <w:right w:w="100" w:type="dxa"/>
            </w:tcMar>
          </w:tcPr>
          <w:p>
            <w:pPr>
              <w:spacing w:after="0" w:line="240" w:lineRule="auto"/>
              <w:jc w:val="right"/>
            </w:pPr>
            <w:r>
              <w:rPr>
                <w:rFonts w:ascii="Calibri" w:hAnsi="Calibri" w:cs="Calibri"/>
                <w:sz w:val="20"/>
              </w:rPr>
              <w:t>2</w:t>
            </w:r>
          </w:p>
        </w:tc>
      </w:tr>
      <w:tr>
        <w:tc>
          <w:tcPr>
            <w:tcW w:type="dxa" w:w="4281"/>
            <w:vAlign w:val="center"/>
            <w:tcMar>
              <w:top w:w="100" w:type="dxa"/>
              <w:left w:w="100" w:type="dxa"/>
              <w:bottom w:w="100" w:type="dxa"/>
              <w:right w:w="100" w:type="dxa"/>
            </w:tcMar>
          </w:tcPr>
          <w:p>
            <w:pPr>
              <w:spacing w:after="0" w:line="240" w:lineRule="auto"/>
              <w:jc w:val="left"/>
            </w:pPr>
            <w:r>
              <w:rPr>
                <w:rFonts w:ascii="Calibri" w:hAnsi="Calibri" w:cs="Calibri"/>
                <w:sz w:val="20"/>
              </w:rPr>
              <w:t>Tres escenarios completos con sus planes de contingencia</w:t>
            </w:r>
          </w:p>
        </w:tc>
        <w:tc>
          <w:tcPr>
            <w:tcW w:type="dxa" w:w="4223"/>
            <w:vAlign w:val="center"/>
            <w:tcMar>
              <w:top w:w="100" w:type="dxa"/>
              <w:left w:w="100" w:type="dxa"/>
              <w:bottom w:w="100" w:type="dxa"/>
              <w:right w:w="100" w:type="dxa"/>
            </w:tcMar>
          </w:tcPr>
          <w:p>
            <w:pPr>
              <w:spacing w:after="0" w:line="240" w:lineRule="auto"/>
              <w:jc w:val="right"/>
            </w:pPr>
            <w:r>
              <w:rPr>
                <w:rFonts w:ascii="Calibri" w:hAnsi="Calibri" w:cs="Calibri"/>
                <w:sz w:val="20"/>
              </w:rPr>
              <w:t>Final — ya escritos en el libro y en el apartado 7.8 del documento</w:t>
            </w:r>
          </w:p>
        </w:tc>
      </w:tr>
    </w:tbl>
    <w:p>
      <w:pPr>
        <w:jc w:val="both"/>
      </w:pPr>
      <w:r>
        <w:rPr>
          <w:rFonts w:ascii="Calibri" w:hAnsi="Calibri" w:cs="Calibri"/>
        </w:rPr>
        <w:t xml:space="preserve">El libro de cálculo de esta entrega tiene </w:t>
      </w:r>
      <w:r>
        <w:rPr>
          <w:rFonts w:ascii="Calibri" w:hAnsi="Calibri" w:cs="Calibri"/>
        </w:rPr>
        <w:t>diez hojas</w:t>
      </w:r>
      <w:r>
        <w:rPr>
          <w:rFonts w:ascii="Calibri" w:hAnsi="Calibri" w:cs="Calibri"/>
        </w:rPr>
        <w:t xml:space="preserve"> —las nueve del modelo más la de gráficos— y llega hasta los costos de recursos humanos. Las hojas de inversión, amortizaciones, flujo de fondos, riesgos, escenarios y contingencia existen y están calculadas, pero no se incluyen acá: van en la entrega que las pide.</w:t>
      </w:r>
    </w:p>
    <w:p>
      <w:pPr>
        <w:jc w:val="both"/>
      </w:pPr>
      <w:r>
        <w:rPr>
          <w:rFonts w:ascii="Calibri" w:hAnsi="Calibri" w:cs="Calibri"/>
        </w:rPr>
        <w:t xml:space="preserve">Eso tiene una consecuencia que corresponde decir. Sin flujo de fondos no hay valor actual neto, ni tasa interna de retorno, ni período de repago, y por lo tanto esta entrega </w:t>
      </w:r>
      <w:r>
        <w:rPr>
          <w:rFonts w:ascii="Calibri" w:hAnsi="Calibri" w:cs="Calibri"/>
        </w:rPr>
        <w:t>no afirma que el proyecto sea viable</w:t>
      </w:r>
      <w:r>
        <w:rPr>
          <w:rFonts w:ascii="Calibri" w:hAnsi="Calibri" w:cs="Calibri"/>
        </w:rPr>
        <w:t>: establece con qué supuestos se va a evaluar, cuánto cuesta operarlo y cuánto capital hace falta hasta que se sostenga solo. La evaluación es el objeto de la Entrega 2, y de ahí sale también de dónde viene ese capital: aporte de los socios, financiamiento, o las dos cosas.</w:t>
      </w:r>
    </w:p>
    <w:p>
      <w:pPr>
        <w:jc w:val="both"/>
      </w:pPr>
      <w:r>
        <w:rPr>
          <w:rFonts w:ascii="Calibri" w:hAnsi="Calibri" w:cs="Calibri"/>
        </w:rPr>
        <w:t>Los impuestos están calculados, y no se incluyen acá a propósito.</w:t>
      </w:r>
      <w:r>
        <w:rPr>
          <w:rFonts w:ascii="Calibri" w:hAnsi="Calibri" w:cs="Calibri"/>
        </w:rPr>
        <w:t xml:space="preserve"> El libro completo tiene una hoja que liquida IVA, ingresos brutos por Convenio Multilateral, sellos, impuesto al cheque, retención a beneficiarios del exterior y ganancias, con el régimen de la Ley de Economía del Conocimiento aplicado. Va con el flujo de fondos, que es donde los impuestos se convierten en caja. Lo que sí entra en esta entrega son las </w:t>
      </w:r>
      <w:r>
        <w:rPr>
          <w:rFonts w:ascii="Calibri" w:hAnsi="Calibri" w:cs="Calibri"/>
        </w:rPr>
        <w:t>cargas sociales</w:t>
      </w:r>
      <w:r>
        <w:rPr>
          <w:rFonts w:ascii="Calibri" w:hAnsi="Calibri" w:cs="Calibri"/>
        </w:rPr>
        <w:t>, porque son parte del costo de recursos humanos y ése es uno de los siete puntos pedidos.</w:t>
      </w:r>
    </w:p>
    <w:p>
      <w:pPr>
        <w:jc w:val="both"/>
      </w:pPr>
      <w:r>
        <w:rPr>
          <w:rFonts w:ascii="Calibri" w:hAnsi="Calibri" w:cs="Calibri"/>
        </w:rPr>
        <w:t xml:space="preserve">Lo mismo con las </w:t>
      </w:r>
      <w:r>
        <w:rPr>
          <w:rFonts w:ascii="Calibri" w:hAnsi="Calibri" w:cs="Calibri"/>
        </w:rPr>
        <w:t>métricas del negocio por suscripción</w:t>
      </w:r>
      <w:r>
        <w:rPr>
          <w:rFonts w:ascii="Calibri" w:hAnsi="Calibri" w:cs="Calibri"/>
        </w:rPr>
        <w:t xml:space="preserve"> —MRR, ARR, ARPU, churn, LTV, CAC y margen bruto—: están calculadas en el libro completo y se entregan con la evaluación, que es donde explican el resultado. Las dos que sostienen un argumento de esta entrega —la relación LTV/CAC y los meses de recuperación del CAC— están transcriptas en el punto 7, para que el argumento no dependa de una hoja que no se acompaña.</w:t>
      </w:r>
    </w:p>
    <w:p>
      <w:pPr>
        <w:jc w:val="both"/>
      </w:pPr>
      <w:r>
        <w:rPr>
          <w:rFonts w:ascii="Calibri" w:hAnsi="Calibri" w:cs="Calibri"/>
        </w:rPr>
        <w:t>Las cuatro decisiones de negocio que este plan venía declarando sin resolver quedaron resueltas</w:t>
      </w:r>
      <w:r>
        <w:rPr>
          <w:rFonts w:ascii="Calibri" w:hAnsi="Calibri" w:cs="Calibri"/>
        </w:rPr>
        <w:t>, y cada una está explicada donde corresponde: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tblHeader/>
        </w:trPr>
        <w:tc>
          <w:tcPr>
            <w:tcW w:type="dxa" w:w="2827"/>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Decisión</w:t>
            </w:r>
          </w:p>
        </w:tc>
        <w:tc>
          <w:tcPr>
            <w:tcW w:type="dxa" w:w="4815"/>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Cómo se resolvió</w:t>
            </w:r>
          </w:p>
        </w:tc>
        <w:tc>
          <w:tcPr>
            <w:tcW w:type="dxa" w:w="86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Dónde</w:t>
            </w:r>
          </w:p>
        </w:tc>
      </w:tr>
      <w:tr>
        <w:tc>
          <w:tcPr>
            <w:tcW w:type="dxa" w:w="2827"/>
            <w:vAlign w:val="center"/>
            <w:tcMar>
              <w:top w:w="100" w:type="dxa"/>
              <w:left w:w="100" w:type="dxa"/>
              <w:bottom w:w="100" w:type="dxa"/>
              <w:right w:w="100" w:type="dxa"/>
            </w:tcMar>
          </w:tcPr>
          <w:p>
            <w:pPr>
              <w:spacing w:after="0" w:line="240" w:lineRule="auto"/>
              <w:jc w:val="left"/>
            </w:pPr>
            <w:r>
              <w:rPr>
                <w:rFonts w:ascii="Calibri" w:hAnsi="Calibri" w:cs="Calibri"/>
                <w:sz w:val="20"/>
              </w:rPr>
              <w:t>La meta de equipos al mes 12</w:t>
            </w:r>
          </w:p>
        </w:tc>
        <w:tc>
          <w:tcPr>
            <w:tcW w:type="dxa" w:w="4815"/>
            <w:vAlign w:val="center"/>
            <w:tcMar>
              <w:top w:w="100" w:type="dxa"/>
              <w:left w:w="100" w:type="dxa"/>
              <w:bottom w:w="100" w:type="dxa"/>
              <w:right w:w="100" w:type="dxa"/>
            </w:tcMar>
          </w:tcPr>
          <w:p>
            <w:pPr>
              <w:spacing w:after="0" w:line="240" w:lineRule="auto"/>
              <w:jc w:val="left"/>
            </w:pPr>
            <w:r>
              <w:rPr>
                <w:rFonts w:ascii="Calibri" w:hAnsi="Calibri" w:cs="Calibri"/>
                <w:sz w:val="20"/>
              </w:rPr>
              <w:t>450 y no 1.000. Con 25 clientes, 1.000 equipos daban 40 por cliente y la facturación por adicionales superaba al abono</w:t>
            </w:r>
          </w:p>
        </w:tc>
        <w:tc>
          <w:tcPr>
            <w:tcW w:type="dxa" w:w="863"/>
            <w:vAlign w:val="center"/>
            <w:tcMar>
              <w:top w:w="100" w:type="dxa"/>
              <w:left w:w="100" w:type="dxa"/>
              <w:bottom w:w="100" w:type="dxa"/>
              <w:right w:w="100" w:type="dxa"/>
            </w:tcMar>
          </w:tcPr>
          <w:p>
            <w:pPr>
              <w:spacing w:after="0" w:line="240" w:lineRule="auto"/>
              <w:jc w:val="right"/>
            </w:pPr>
            <w:r>
              <w:rPr>
                <w:rFonts w:ascii="Calibri" w:hAnsi="Calibri" w:cs="Calibri"/>
                <w:sz w:val="20"/>
              </w:rPr>
              <w:t>2.2</w:t>
            </w:r>
          </w:p>
        </w:tc>
      </w:tr>
      <w:tr>
        <w:tc>
          <w:tcPr>
            <w:tcW w:type="dxa" w:w="2827"/>
            <w:vAlign w:val="center"/>
            <w:tcMar>
              <w:top w:w="100" w:type="dxa"/>
              <w:left w:w="100" w:type="dxa"/>
              <w:bottom w:w="100" w:type="dxa"/>
              <w:right w:w="100" w:type="dxa"/>
            </w:tcMar>
          </w:tcPr>
          <w:p>
            <w:pPr>
              <w:spacing w:after="0" w:line="240" w:lineRule="auto"/>
              <w:jc w:val="left"/>
            </w:pPr>
            <w:r>
              <w:rPr>
                <w:rFonts w:ascii="Calibri" w:hAnsi="Calibri" w:cs="Calibri"/>
                <w:sz w:val="20"/>
              </w:rPr>
              <w:t>La participación de mercado objetivo</w:t>
            </w:r>
          </w:p>
        </w:tc>
        <w:tc>
          <w:tcPr>
            <w:tcW w:type="dxa" w:w="4815"/>
            <w:vAlign w:val="center"/>
            <w:tcMar>
              <w:top w:w="100" w:type="dxa"/>
              <w:left w:w="100" w:type="dxa"/>
              <w:bottom w:w="100" w:type="dxa"/>
              <w:right w:w="100" w:type="dxa"/>
            </w:tcMar>
          </w:tcPr>
          <w:p>
            <w:pPr>
              <w:spacing w:after="0" w:line="240" w:lineRule="auto"/>
              <w:jc w:val="left"/>
            </w:pPr>
            <w:r>
              <w:rPr>
                <w:rFonts w:ascii="Calibri" w:hAnsi="Calibri" w:cs="Calibri"/>
                <w:sz w:val="20"/>
              </w:rPr>
              <w:t>1,4 %, el punto medio entre el 1,1 % declarado y el 1,66 % proyectado</w:t>
            </w:r>
          </w:p>
        </w:tc>
        <w:tc>
          <w:tcPr>
            <w:tcW w:type="dxa" w:w="863"/>
            <w:vAlign w:val="center"/>
            <w:tcMar>
              <w:top w:w="100" w:type="dxa"/>
              <w:left w:w="100" w:type="dxa"/>
              <w:bottom w:w="100" w:type="dxa"/>
              <w:right w:w="100" w:type="dxa"/>
            </w:tcMar>
          </w:tcPr>
          <w:p>
            <w:pPr>
              <w:spacing w:after="0" w:line="240" w:lineRule="auto"/>
              <w:jc w:val="right"/>
            </w:pPr>
            <w:r>
              <w:rPr>
                <w:rFonts w:ascii="Calibri" w:hAnsi="Calibri" w:cs="Calibri"/>
                <w:sz w:val="20"/>
              </w:rPr>
              <w:t>1.2</w:t>
            </w:r>
          </w:p>
        </w:tc>
      </w:tr>
      <w:tr>
        <w:tc>
          <w:tcPr>
            <w:tcW w:type="dxa" w:w="2827"/>
            <w:vAlign w:val="center"/>
            <w:tcMar>
              <w:top w:w="100" w:type="dxa"/>
              <w:left w:w="100" w:type="dxa"/>
              <w:bottom w:w="100" w:type="dxa"/>
              <w:right w:w="100" w:type="dxa"/>
            </w:tcMar>
          </w:tcPr>
          <w:p>
            <w:pPr>
              <w:spacing w:after="0" w:line="240" w:lineRule="auto"/>
              <w:jc w:val="left"/>
            </w:pPr>
            <w:r>
              <w:rPr>
                <w:rFonts w:ascii="Calibri" w:hAnsi="Calibri" w:cs="Calibri"/>
                <w:sz w:val="20"/>
              </w:rPr>
              <w:t>El embudo pedía 108 demostraciones por mes</w:t>
            </w:r>
          </w:p>
        </w:tc>
        <w:tc>
          <w:tcPr>
            <w:tcW w:type="dxa" w:w="4815"/>
            <w:vAlign w:val="center"/>
            <w:tcMar>
              <w:top w:w="100" w:type="dxa"/>
              <w:left w:w="100" w:type="dxa"/>
              <w:bottom w:w="100" w:type="dxa"/>
              <w:right w:w="100" w:type="dxa"/>
            </w:tcMar>
          </w:tcPr>
          <w:p>
            <w:pPr>
              <w:spacing w:after="0" w:line="240" w:lineRule="auto"/>
              <w:jc w:val="left"/>
            </w:pPr>
            <w:r>
              <w:rPr>
                <w:rFonts w:ascii="Calibri" w:hAnsi="Calibri" w:cs="Calibri"/>
                <w:sz w:val="20"/>
              </w:rPr>
              <w:t>Sale la demostración: la prueba gratuita se inicia desde el sitio</w:t>
            </w:r>
          </w:p>
        </w:tc>
        <w:tc>
          <w:tcPr>
            <w:tcW w:type="dxa" w:w="863"/>
            <w:vAlign w:val="center"/>
            <w:tcMar>
              <w:top w:w="100" w:type="dxa"/>
              <w:left w:w="100" w:type="dxa"/>
              <w:bottom w:w="100" w:type="dxa"/>
              <w:right w:w="100" w:type="dxa"/>
            </w:tcMar>
          </w:tcPr>
          <w:p>
            <w:pPr>
              <w:spacing w:after="0" w:line="240" w:lineRule="auto"/>
              <w:jc w:val="right"/>
            </w:pPr>
            <w:r>
              <w:rPr>
                <w:rFonts w:ascii="Calibri" w:hAnsi="Calibri" w:cs="Calibri"/>
                <w:sz w:val="20"/>
              </w:rPr>
              <w:t>1.3</w:t>
            </w:r>
          </w:p>
        </w:tc>
      </w:tr>
      <w:tr>
        <w:tc>
          <w:tcPr>
            <w:tcW w:type="dxa" w:w="2827"/>
            <w:vAlign w:val="center"/>
            <w:tcMar>
              <w:top w:w="100" w:type="dxa"/>
              <w:left w:w="100" w:type="dxa"/>
              <w:bottom w:w="100" w:type="dxa"/>
              <w:right w:w="100" w:type="dxa"/>
            </w:tcMar>
          </w:tcPr>
          <w:p>
            <w:pPr>
              <w:spacing w:after="0" w:line="240" w:lineRule="auto"/>
              <w:jc w:val="left"/>
            </w:pPr>
            <w:r>
              <w:rPr>
                <w:rFonts w:ascii="Calibri" w:hAnsi="Calibri" w:cs="Calibri"/>
                <w:sz w:val="20"/>
              </w:rPr>
              <w:t>El universo de PyMEs no tenía fuente</w:t>
            </w:r>
          </w:p>
        </w:tc>
        <w:tc>
          <w:tcPr>
            <w:tcW w:type="dxa" w:w="4815"/>
            <w:vAlign w:val="center"/>
            <w:tcMar>
              <w:top w:w="100" w:type="dxa"/>
              <w:left w:w="100" w:type="dxa"/>
              <w:bottom w:w="100" w:type="dxa"/>
              <w:right w:w="100" w:type="dxa"/>
            </w:tcMar>
          </w:tcPr>
          <w:p>
            <w:pPr>
              <w:spacing w:after="0" w:line="240" w:lineRule="auto"/>
              <w:jc w:val="left"/>
            </w:pPr>
            <w:r>
              <w:rPr>
                <w:rFonts w:ascii="Calibri" w:hAnsi="Calibri" w:cs="Calibri"/>
                <w:sz w:val="20"/>
              </w:rPr>
              <w:t>Se deriva de los datos de SEPYME, con los dos supuestos propios declarados</w:t>
            </w:r>
          </w:p>
        </w:tc>
        <w:tc>
          <w:tcPr>
            <w:tcW w:type="dxa" w:w="863"/>
            <w:vAlign w:val="center"/>
            <w:tcMar>
              <w:top w:w="100" w:type="dxa"/>
              <w:left w:w="100" w:type="dxa"/>
              <w:bottom w:w="100" w:type="dxa"/>
              <w:right w:w="100" w:type="dxa"/>
            </w:tcMar>
          </w:tcPr>
          <w:p>
            <w:pPr>
              <w:spacing w:after="0" w:line="240" w:lineRule="auto"/>
              <w:jc w:val="right"/>
            </w:pPr>
            <w:r>
              <w:rPr>
                <w:rFonts w:ascii="Calibri" w:hAnsi="Calibri" w:cs="Calibri"/>
                <w:sz w:val="20"/>
              </w:rPr>
              <w:t>1.2</w:t>
            </w:r>
          </w:p>
        </w:tc>
      </w:tr>
    </w:tbl>
    <w:p>
      <w:pPr>
        <w:jc w:val="both"/>
      </w:pPr>
      <w:r>
        <w:rPr>
          <w:rFonts w:ascii="Calibri" w:hAnsi="Calibri" w:cs="Calibri"/>
        </w:rPr>
        <w:t xml:space="preserve">Ninguna se resolvió moviendo un supuesto para que el desvío desapareciera. Las dos primeras corrigieron la meta y no la proyección; la tercera cambió el modelo de venta y costó veinte clientes; la cuarta bajó el universo, que es la dirección que </w:t>
      </w:r>
      <w:r>
        <w:rPr>
          <w:rFonts w:ascii="Calibri" w:hAnsi="Calibri" w:cs="Calibri"/>
        </w:rPr>
        <w:t>endurece</w:t>
      </w:r>
      <w:r>
        <w:rPr>
          <w:rFonts w:ascii="Calibri" w:hAnsi="Calibri" w:cs="Calibri"/>
        </w:rPr>
        <w:t xml:space="preserve"> el objetivo de participación en lugar de aflojarlo.</w:t>
      </w:r>
    </w:p>
    <w:p>
      <w:pPr>
        <w:pStyle w:val="Ttulo1"/>
        <w:pageBreakBefore/>
        <w:jc w:val="both"/>
      </w:pPr>
      <w:r>
        <w:rPr>
          <w:rFonts w:ascii="Calibri" w:hAnsi="Calibri" w:cs="Calibri"/>
          <w:b/>
          <w:color w:val="000000"/>
        </w:rPr>
        <w:t>10. Fuentes</w:t>
      </w:r>
    </w:p>
    <w:p>
      <w:pPr>
        <w:jc w:val="both"/>
      </w:pPr>
      <w:r>
        <w:rPr>
          <w:rFonts w:ascii="Calibri" w:hAnsi="Calibri" w:cs="Calibri"/>
        </w:rPr>
        <w:t>Banco Central de la República Argentina. (2026). *Relevamiento de expectativas de mercado (REM). Informe de agosto de 2026*. Publicado el 4 de septiembre de 2026, sobre 47 participantes. https://www.bcra.gob.ar/PublicacionesEstadisticas/Relevamiento_Expectativas_de_Mercado.asp</w:t>
      </w:r>
    </w:p>
    <w:p>
      <w:pPr>
        <w:jc w:val="both"/>
      </w:pPr>
      <w:r>
        <w:rPr>
          <w:rFonts w:ascii="Calibri" w:hAnsi="Calibri" w:cs="Calibri"/>
        </w:rPr>
        <w:t>De esta fuente salen las tres filas macroeconómicas del punto 1.1 para 2027 y 2028.</w:t>
      </w:r>
    </w:p>
    <w:p>
      <w:pPr>
        <w:jc w:val="both"/>
      </w:pPr>
      <w:r>
        <w:rPr>
          <w:rFonts w:ascii="Calibri" w:hAnsi="Calibri" w:cs="Calibri"/>
        </w:rPr>
        <w:t>Secretaría de la Pequeña y Mediana Empresa y los Emprendedores / Centro de Estudios para la Producción XXI. (2024). *Informe de estadísticas de PyMEs, emprendedores y economía del conocimiento*, con datos de 2023. https://www.argentina.gob.ar/produccion/pymes</w:t>
      </w:r>
    </w:p>
    <w:p>
      <w:pPr>
        <w:jc w:val="both"/>
      </w:pPr>
      <w:r>
        <w:rPr>
          <w:rFonts w:ascii="Calibri" w:hAnsi="Calibri" w:cs="Calibri"/>
        </w:rPr>
        <w:t>De esta fuente salen las 549.100 PyMEs empleadoras del país, su distribución por tamaño —85 % de 1 a 9 empleados, 12 % de 10 a 49, 2,5 % de 50 a 199— y su distribución geográfica —17,2 % en la Ciudad de Buenos Aires y 32,3 % en la provincia de Buenos Aires—, que son la base del dimensionamiento del mercado del punto 1.2.</w:t>
      </w:r>
    </w:p>
    <w:p>
      <w:pPr>
        <w:jc w:val="both"/>
      </w:pPr>
      <w:r>
        <w:rPr>
          <w:rFonts w:ascii="Calibri" w:hAnsi="Calibri" w:cs="Calibri"/>
        </w:rPr>
        <w:t>Ya no queda ninguna fila sin fuente en esta entrega.</w:t>
      </w:r>
      <w:r>
        <w:rPr>
          <w:rFonts w:ascii="Calibri" w:hAnsi="Calibri" w:cs="Calibri"/>
        </w:rPr>
        <w:t xml:space="preserve"> El universo de PyMEs del Segmento A era la última, y pasó de ser un número cargado a mano —72.000, sin respaldo— a derivarse de los datos de arriba. Los dos recortes que la estadística oficial no cubre —qué proporción de las microempresas tiene entre 5 y 9 empleados, y qué proporción de la provincia de Buenos Aires cae dentro del AMBA— están declarados como supuestos propios en su propia fila, con el rango que abren.</w:t>
      </w:r>
    </w:p>
    <w:p>
      <w:pPr>
        <w:jc w:val="both"/>
      </w:pPr>
      <w:r>
        <w:rPr>
          <w:rFonts w:ascii="Calibri" w:hAnsi="Calibri" w:cs="Calibri"/>
        </w:rPr>
        <w:t>El resto de los supuestos del modelo son política propia o decisión de negocio, y cada tabla dice cuál es cuál.</w:t>
      </w:r>
    </w:p>
    <w:sectPr w:rsidR="002554B2" w:rsidRPr="002554B2">
      <w:headerReference w:type="default" r:id="rId70"/>
      <w:footerReference w:type="default" r:id="rId7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443C" w14:textId="77777777" w:rsidR="002E6436" w:rsidRDefault="002E6436" w:rsidP="002D2CDF">
      <w:pPr>
        <w:spacing w:after="0" w:line="240" w:lineRule="auto"/>
      </w:pPr>
      <w:r>
        <w:separator/>
      </w:r>
    </w:p>
  </w:endnote>
  <w:endnote w:type="continuationSeparator" w:id="0">
    <w:p w14:paraId="6D9D31EE" w14:textId="77777777" w:rsidR="002E6436" w:rsidRDefault="002E6436" w:rsidP="002D2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568869"/>
      <w:docPartObj>
        <w:docPartGallery w:val="Page Numbers (Bottom of Page)"/>
        <w:docPartUnique/>
      </w:docPartObj>
    </w:sdtPr>
    <w:sdtEndPr/>
    <w:sdtContent>
      <w:p w14:paraId="20B6C332" w14:textId="77777777" w:rsidR="00375C56" w:rsidRDefault="00375C56">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BA81C" w14:textId="77777777" w:rsidR="002E6436" w:rsidRDefault="002E6436" w:rsidP="002D2CDF">
      <w:pPr>
        <w:spacing w:after="0" w:line="240" w:lineRule="auto"/>
      </w:pPr>
      <w:r>
        <w:separator/>
      </w:r>
    </w:p>
  </w:footnote>
  <w:footnote w:type="continuationSeparator" w:id="0">
    <w:p w14:paraId="408D7A7C" w14:textId="77777777" w:rsidR="002E6436" w:rsidRDefault="002E6436" w:rsidP="002D2C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Look w:val="04A0" w:firstRow="1" w:lastRow="0" w:firstColumn="1" w:lastColumn="0" w:noHBand="0" w:noVBand="1"/>
    </w:tblPr>
    <w:tblGrid>
      <w:gridCol w:w="2117"/>
      <w:gridCol w:w="1424"/>
      <w:gridCol w:w="1846"/>
      <w:gridCol w:w="1559"/>
      <w:gridCol w:w="2410"/>
      <w:gridCol w:w="1417"/>
    </w:tblGrid>
    <w:tr w:rsidR="002D2CDF" w:rsidRPr="002D2CDF" w14:paraId="5C064030" w14:textId="77777777" w:rsidTr="002D2CDF">
      <w:trPr>
        <w:jc w:val="center"/>
      </w:trPr>
      <w:tc>
        <w:tcPr>
          <w:tcW w:w="10773" w:type="dxa"/>
          <w:gridSpan w:val="6"/>
          <w:tcBorders>
            <w:top w:val="single" w:sz="8" w:space="0" w:color="auto"/>
            <w:left w:val="single" w:sz="8" w:space="0" w:color="auto"/>
            <w:bottom w:val="single" w:sz="8" w:space="0" w:color="auto"/>
            <w:right w:val="single" w:sz="8" w:space="0" w:color="auto"/>
          </w:tcBorders>
          <w:hideMark/>
        </w:tcPr>
        <w:p w14:paraId="5F94BE81"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UNIVERSIDAD ABIERTA INTERAMERICANA</w:t>
          </w:r>
        </w:p>
        <w:p w14:paraId="685D3D51"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Facultad de Tecnología Informática</w:t>
          </w:r>
        </w:p>
      </w:tc>
    </w:tr>
    <w:tr w:rsidR="002D2CDF" w:rsidRPr="002D2CDF" w14:paraId="4C13BB9E" w14:textId="77777777" w:rsidTr="002D2CDF">
      <w:trPr>
        <w:trHeight w:val="729"/>
        <w:jc w:val="center"/>
      </w:trPr>
      <w:tc>
        <w:tcPr>
          <w:tcW w:w="2117" w:type="dxa"/>
          <w:vMerge w:val="restart"/>
          <w:tcBorders>
            <w:top w:val="single" w:sz="8" w:space="0" w:color="auto"/>
            <w:left w:val="single" w:sz="8" w:space="0" w:color="auto"/>
            <w:bottom w:val="single" w:sz="8" w:space="0" w:color="auto"/>
            <w:right w:val="single" w:sz="8" w:space="0" w:color="auto"/>
          </w:tcBorders>
          <w:hideMark/>
        </w:tcPr>
        <w:p w14:paraId="76D963A0" w14:textId="77777777" w:rsidR="002D2CDF" w:rsidRPr="002D2CDF" w:rsidRDefault="002D2CDF" w:rsidP="002D2CDF">
          <w:pPr>
            <w:pStyle w:val="Encabezado"/>
            <w:rPr>
              <w:rFonts w:ascii="Calibri" w:hAnsi="Calibri" w:cs="Calibri"/>
              <w:sz w:val="22"/>
              <w:szCs w:val="22"/>
            </w:rPr>
          </w:pPr>
          <w:r w:rsidRPr="002D2CDF">
            <w:rPr>
              <w:rFonts w:ascii="Calibri" w:hAnsi="Calibri" w:cs="Calibri"/>
              <w:noProof/>
              <w:sz w:val="22"/>
              <w:szCs w:val="22"/>
            </w:rPr>
            <w:drawing>
              <wp:inline distT="0" distB="0" distL="0" distR="0" wp14:anchorId="53A99A7C" wp14:editId="2C987B7D">
                <wp:extent cx="1089660" cy="1043940"/>
                <wp:effectExtent l="0" t="0" r="0" b="3810"/>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660" cy="1043940"/>
                        </a:xfrm>
                        <a:prstGeom prst="rect">
                          <a:avLst/>
                        </a:prstGeom>
                        <a:noFill/>
                        <a:ln>
                          <a:noFill/>
                        </a:ln>
                      </pic:spPr>
                    </pic:pic>
                  </a:graphicData>
                </a:graphic>
              </wp:inline>
            </w:drawing>
          </w:r>
        </w:p>
      </w:tc>
      <w:tc>
        <w:tcPr>
          <w:tcW w:w="3270" w:type="dxa"/>
          <w:gridSpan w:val="2"/>
          <w:tcBorders>
            <w:top w:val="single" w:sz="8" w:space="0" w:color="auto"/>
            <w:left w:val="single" w:sz="8" w:space="0" w:color="auto"/>
            <w:bottom w:val="single" w:sz="8" w:space="0" w:color="auto"/>
            <w:right w:val="single" w:sz="8" w:space="0" w:color="auto"/>
          </w:tcBorders>
          <w:hideMark/>
        </w:tcPr>
        <w:p w14:paraId="0CCFEA70"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 xml:space="preserve">Materia: </w:t>
          </w:r>
          <w:r w:rsidRPr="002D2CDF">
            <w:rPr>
              <w:rFonts w:ascii="Calibri" w:hAnsi="Calibri" w:cs="Calibri"/>
              <w:b/>
              <w:bCs/>
              <w:sz w:val="22"/>
              <w:szCs w:val="22"/>
            </w:rPr>
            <w:t>Trabajo Final</w:t>
          </w:r>
          <w:r w:rsidR="00375C56">
            <w:rPr>
              <w:rFonts w:ascii="Calibri" w:hAnsi="Calibri" w:cs="Calibri"/>
              <w:b/>
              <w:bCs/>
              <w:sz w:val="22"/>
              <w:szCs w:val="22"/>
            </w:rPr>
            <w:t xml:space="preserve"> de Ingeniería</w:t>
          </w:r>
        </w:p>
      </w:tc>
      <w:tc>
        <w:tcPr>
          <w:tcW w:w="3969" w:type="dxa"/>
          <w:gridSpan w:val="2"/>
          <w:tcBorders>
            <w:top w:val="single" w:sz="8" w:space="0" w:color="auto"/>
            <w:left w:val="single" w:sz="8" w:space="0" w:color="auto"/>
            <w:bottom w:val="single" w:sz="8" w:space="0" w:color="auto"/>
            <w:right w:val="single" w:sz="8" w:space="0" w:color="auto"/>
          </w:tcBorders>
          <w:hideMark/>
        </w:tcPr>
        <w:p w14:paraId="1F61812A"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Docentes:</w:t>
          </w:r>
        </w:p>
        <w:p w14:paraId="7AA4DDC1" w14:textId="77777777" w:rsidR="002D2CDF" w:rsidRPr="002D2CDF" w:rsidRDefault="002D2CDF" w:rsidP="002D2CDF">
          <w:pPr>
            <w:pStyle w:val="Encabezado"/>
            <w:jc w:val="center"/>
            <w:rPr>
              <w:rFonts w:ascii="Calibri" w:hAnsi="Calibri" w:cs="Calibri"/>
              <w:b/>
              <w:bCs/>
              <w:sz w:val="22"/>
              <w:szCs w:val="22"/>
            </w:rPr>
          </w:pPr>
          <w:r w:rsidRPr="002D2CDF">
            <w:rPr>
              <w:rFonts w:ascii="Calibri" w:hAnsi="Calibri" w:cs="Calibri"/>
              <w:b/>
              <w:bCs/>
              <w:sz w:val="22"/>
              <w:szCs w:val="22"/>
            </w:rPr>
            <w:t>Romero, Martin - Weingand, Gastón</w:t>
          </w:r>
        </w:p>
      </w:tc>
      <w:tc>
        <w:tcPr>
          <w:tcW w:w="1417" w:type="dxa"/>
          <w:vMerge w:val="restart"/>
          <w:tcBorders>
            <w:top w:val="single" w:sz="8" w:space="0" w:color="auto"/>
            <w:left w:val="single" w:sz="8" w:space="0" w:color="auto"/>
            <w:bottom w:val="single" w:sz="8" w:space="0" w:color="auto"/>
            <w:right w:val="single" w:sz="8" w:space="0" w:color="auto"/>
          </w:tcBorders>
          <w:hideMark/>
        </w:tcPr>
        <w:p w14:paraId="21DC297B"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Fecha: </w:t>
          </w:r>
        </w:p>
        <w:p w14:paraId="16300A9C" w14:textId="77777777" w:rsidR="002D2CDF" w:rsidRPr="002D2CDF" w:rsidRDefault="00E93003" w:rsidP="002D2CDF">
          <w:pPr>
            <w:pStyle w:val="Encabezado"/>
            <w:rPr>
              <w:rFonts w:ascii="Calibri" w:hAnsi="Calibri" w:cs="Calibri"/>
              <w:sz w:val="22"/>
              <w:szCs w:val="22"/>
            </w:rPr>
          </w:pPr>
          <w:r>
            <w:rPr>
              <w:rFonts w:ascii="Calibri" w:hAnsi="Calibri" w:cs="Calibri"/>
              <w:sz w:val="22"/>
              <w:szCs w:val="22"/>
            </w:rPr>
            <w:t>13</w:t>
          </w:r>
          <w:r w:rsidR="002D2CDF" w:rsidRPr="002D2CDF">
            <w:rPr>
              <w:rFonts w:ascii="Calibri" w:hAnsi="Calibri" w:cs="Calibri"/>
              <w:sz w:val="22"/>
              <w:szCs w:val="22"/>
            </w:rPr>
            <w:t>/</w:t>
          </w:r>
          <w:r>
            <w:rPr>
              <w:rFonts w:ascii="Calibri" w:hAnsi="Calibri" w:cs="Calibri"/>
              <w:sz w:val="22"/>
              <w:szCs w:val="22"/>
            </w:rPr>
            <w:t>06</w:t>
          </w:r>
          <w:r w:rsidR="002D2CDF" w:rsidRPr="002D2CDF">
            <w:rPr>
              <w:rFonts w:ascii="Calibri" w:hAnsi="Calibri" w:cs="Calibri"/>
              <w:sz w:val="22"/>
              <w:szCs w:val="22"/>
            </w:rPr>
            <w:t>/2026</w:t>
          </w:r>
        </w:p>
      </w:tc>
    </w:tr>
    <w:tr w:rsidR="002D2CDF" w:rsidRPr="002D2CDF" w14:paraId="5E5C925A" w14:textId="77777777" w:rsidTr="002D2CDF">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C11780A" w14:textId="77777777" w:rsidR="002D2CDF" w:rsidRPr="002D2CDF" w:rsidRDefault="002D2CDF" w:rsidP="002D2CDF">
          <w:pPr>
            <w:pStyle w:val="Encabezado"/>
            <w:rPr>
              <w:rFonts w:ascii="Calibri" w:hAnsi="Calibri" w:cs="Calibri"/>
              <w:sz w:val="22"/>
              <w:szCs w:val="22"/>
            </w:rPr>
          </w:pPr>
        </w:p>
      </w:tc>
      <w:tc>
        <w:tcPr>
          <w:tcW w:w="4829" w:type="dxa"/>
          <w:gridSpan w:val="3"/>
          <w:tcBorders>
            <w:top w:val="single" w:sz="8" w:space="0" w:color="auto"/>
            <w:left w:val="single" w:sz="8" w:space="0" w:color="auto"/>
            <w:bottom w:val="single" w:sz="8" w:space="0" w:color="auto"/>
            <w:right w:val="single" w:sz="8" w:space="0" w:color="auto"/>
          </w:tcBorders>
          <w:hideMark/>
        </w:tcPr>
        <w:p w14:paraId="3536D0BB"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Alumno:</w:t>
          </w:r>
          <w:r w:rsidRPr="002D2CDF">
            <w:rPr>
              <w:rFonts w:ascii="Calibri" w:hAnsi="Calibri" w:cs="Calibri"/>
              <w:b/>
              <w:bCs/>
              <w:sz w:val="22"/>
              <w:szCs w:val="22"/>
            </w:rPr>
            <w:t xml:space="preserve"> Pettini, Patricio Ezequiel</w:t>
          </w:r>
        </w:p>
      </w:tc>
      <w:tc>
        <w:tcPr>
          <w:tcW w:w="2410" w:type="dxa"/>
          <w:tcBorders>
            <w:top w:val="single" w:sz="8" w:space="0" w:color="auto"/>
            <w:left w:val="single" w:sz="8" w:space="0" w:color="auto"/>
            <w:bottom w:val="single" w:sz="8" w:space="0" w:color="auto"/>
            <w:right w:val="single" w:sz="8" w:space="0" w:color="auto"/>
          </w:tcBorders>
          <w:hideMark/>
        </w:tcPr>
        <w:p w14:paraId="12F25926"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Legajo: </w:t>
          </w:r>
          <w:r w:rsidRPr="002D2CDF">
            <w:rPr>
              <w:rFonts w:ascii="Calibri" w:hAnsi="Calibri" w:cs="Calibri"/>
              <w:b/>
              <w:bCs/>
              <w:sz w:val="22"/>
              <w:szCs w:val="22"/>
            </w:rPr>
            <w:t>B00072710-T1</w:t>
          </w: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7652B7A8" w14:textId="77777777" w:rsidR="002D2CDF" w:rsidRPr="002D2CDF" w:rsidRDefault="002D2CDF" w:rsidP="002D2CDF">
          <w:pPr>
            <w:pStyle w:val="Encabezado"/>
            <w:rPr>
              <w:rFonts w:ascii="Calibri" w:hAnsi="Calibri" w:cs="Calibri"/>
              <w:sz w:val="22"/>
              <w:szCs w:val="22"/>
            </w:rPr>
          </w:pPr>
        </w:p>
      </w:tc>
    </w:tr>
    <w:tr w:rsidR="002D2CDF" w:rsidRPr="002D2CDF" w14:paraId="46A800F0" w14:textId="77777777" w:rsidTr="002D2CDF">
      <w:trPr>
        <w:trHeight w:val="439"/>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0677D4F" w14:textId="77777777" w:rsidR="002D2CDF" w:rsidRPr="002D2CDF" w:rsidRDefault="002D2CDF" w:rsidP="002D2CDF">
          <w:pPr>
            <w:pStyle w:val="Encabezado"/>
            <w:rPr>
              <w:rFonts w:ascii="Calibri" w:hAnsi="Calibri" w:cs="Calibri"/>
              <w:sz w:val="22"/>
              <w:szCs w:val="22"/>
            </w:rPr>
          </w:pPr>
        </w:p>
      </w:tc>
      <w:tc>
        <w:tcPr>
          <w:tcW w:w="1424" w:type="dxa"/>
          <w:tcBorders>
            <w:top w:val="single" w:sz="8" w:space="0" w:color="auto"/>
            <w:left w:val="single" w:sz="8" w:space="0" w:color="auto"/>
            <w:bottom w:val="single" w:sz="8" w:space="0" w:color="auto"/>
            <w:right w:val="single" w:sz="8" w:space="0" w:color="auto"/>
          </w:tcBorders>
          <w:hideMark/>
        </w:tcPr>
        <w:p w14:paraId="3D3F07C8"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Sede: </w:t>
          </w:r>
          <w:r w:rsidRPr="002D2CDF">
            <w:rPr>
              <w:rFonts w:ascii="Calibri" w:hAnsi="Calibri" w:cs="Calibri"/>
              <w:b/>
              <w:bCs/>
              <w:sz w:val="22"/>
              <w:szCs w:val="22"/>
            </w:rPr>
            <w:t>Norte</w:t>
          </w:r>
        </w:p>
      </w:tc>
      <w:tc>
        <w:tcPr>
          <w:tcW w:w="1846" w:type="dxa"/>
          <w:tcBorders>
            <w:top w:val="single" w:sz="8" w:space="0" w:color="auto"/>
            <w:left w:val="single" w:sz="8" w:space="0" w:color="auto"/>
            <w:bottom w:val="single" w:sz="8" w:space="0" w:color="auto"/>
            <w:right w:val="single" w:sz="8" w:space="0" w:color="auto"/>
          </w:tcBorders>
          <w:hideMark/>
        </w:tcPr>
        <w:p w14:paraId="361A5375"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Comisión: </w:t>
          </w:r>
          <w:r w:rsidRPr="002D2CDF">
            <w:rPr>
              <w:rFonts w:ascii="Calibri" w:hAnsi="Calibri" w:cs="Calibri"/>
              <w:b/>
              <w:bCs/>
              <w:sz w:val="22"/>
              <w:szCs w:val="22"/>
            </w:rPr>
            <w:t>5 - A</w:t>
          </w:r>
        </w:p>
      </w:tc>
      <w:tc>
        <w:tcPr>
          <w:tcW w:w="1559" w:type="dxa"/>
          <w:tcBorders>
            <w:top w:val="single" w:sz="8" w:space="0" w:color="auto"/>
            <w:left w:val="single" w:sz="8" w:space="0" w:color="auto"/>
            <w:bottom w:val="single" w:sz="8" w:space="0" w:color="auto"/>
            <w:right w:val="single" w:sz="8" w:space="0" w:color="auto"/>
          </w:tcBorders>
          <w:hideMark/>
        </w:tcPr>
        <w:p w14:paraId="2B007424"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Turno: </w:t>
          </w:r>
          <w:r w:rsidRPr="002D2CDF">
            <w:rPr>
              <w:rFonts w:ascii="Calibri" w:hAnsi="Calibri" w:cs="Calibri"/>
              <w:b/>
              <w:bCs/>
              <w:sz w:val="22"/>
              <w:szCs w:val="22"/>
            </w:rPr>
            <w:t>Noche</w:t>
          </w:r>
        </w:p>
      </w:tc>
      <w:tc>
        <w:tcPr>
          <w:tcW w:w="2410" w:type="dxa"/>
          <w:tcBorders>
            <w:top w:val="single" w:sz="8" w:space="0" w:color="auto"/>
            <w:left w:val="single" w:sz="8" w:space="0" w:color="auto"/>
            <w:bottom w:val="single" w:sz="8" w:space="0" w:color="auto"/>
            <w:right w:val="single" w:sz="8" w:space="0" w:color="auto"/>
          </w:tcBorders>
          <w:hideMark/>
        </w:tcPr>
        <w:p w14:paraId="4B744B3D"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Año: </w:t>
          </w:r>
          <w:r w:rsidRPr="002D2CDF">
            <w:rPr>
              <w:rFonts w:ascii="Calibri" w:hAnsi="Calibri" w:cs="Calibri"/>
              <w:b/>
              <w:bCs/>
              <w:sz w:val="22"/>
              <w:szCs w:val="22"/>
            </w:rPr>
            <w:t>2026</w:t>
          </w: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47774BE9" w14:textId="77777777" w:rsidR="002D2CDF" w:rsidRPr="002D2CDF" w:rsidRDefault="002D2CDF" w:rsidP="002D2CDF">
          <w:pPr>
            <w:pStyle w:val="Encabezado"/>
            <w:rPr>
              <w:rFonts w:ascii="Calibri" w:hAnsi="Calibri" w:cs="Calibri"/>
              <w:sz w:val="22"/>
              <w:szCs w:val="22"/>
            </w:rPr>
          </w:pPr>
        </w:p>
      </w:tc>
    </w:tr>
    <w:tr w:rsidR="002D2CDF" w:rsidRPr="002D2CDF" w14:paraId="55097063" w14:textId="77777777" w:rsidTr="002D2CDF">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638C21E" w14:textId="77777777" w:rsidR="002D2CDF" w:rsidRPr="002D2CDF" w:rsidRDefault="002D2CDF" w:rsidP="002D2CDF">
          <w:pPr>
            <w:pStyle w:val="Encabezado"/>
            <w:rPr>
              <w:rFonts w:ascii="Calibri" w:hAnsi="Calibri" w:cs="Calibri"/>
              <w:sz w:val="22"/>
              <w:szCs w:val="22"/>
            </w:rPr>
          </w:pPr>
        </w:p>
      </w:tc>
      <w:tc>
        <w:tcPr>
          <w:tcW w:w="7239" w:type="dxa"/>
          <w:gridSpan w:val="4"/>
          <w:tcBorders>
            <w:top w:val="single" w:sz="8" w:space="0" w:color="auto"/>
            <w:left w:val="single" w:sz="8" w:space="0" w:color="auto"/>
            <w:bottom w:val="single" w:sz="8" w:space="0" w:color="auto"/>
            <w:right w:val="single" w:sz="8" w:space="0" w:color="auto"/>
          </w:tcBorders>
          <w:hideMark/>
        </w:tcPr>
        <w:p w14:paraId="3A7BC4F4"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Sistema de Mantenimiento predictivo</w:t>
          </w:r>
          <w:r w:rsidR="00375C56">
            <w:rPr>
              <w:rFonts w:ascii="Calibri" w:hAnsi="Calibri" w:cs="Calibri"/>
              <w:sz w:val="22"/>
              <w:szCs w:val="22"/>
            </w:rPr>
            <w:t xml:space="preserve"> de equipos informáticos</w:t>
          </w:r>
        </w:p>
      </w:tc>
      <w:tc>
        <w:tcPr>
          <w:tcW w:w="1417" w:type="dxa"/>
          <w:tcBorders>
            <w:top w:val="single" w:sz="8" w:space="0" w:color="auto"/>
            <w:left w:val="single" w:sz="8" w:space="0" w:color="auto"/>
            <w:bottom w:val="single" w:sz="8" w:space="0" w:color="auto"/>
            <w:right w:val="single" w:sz="8" w:space="0" w:color="auto"/>
          </w:tcBorders>
          <w:hideMark/>
        </w:tcPr>
        <w:p w14:paraId="393F8621"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Versión: </w:t>
          </w:r>
          <w:r w:rsidR="00E93003">
            <w:rPr>
              <w:rFonts w:ascii="Calibri" w:hAnsi="Calibri" w:cs="Calibri"/>
              <w:sz w:val="22"/>
              <w:szCs w:val="22"/>
            </w:rPr>
            <w:t>2</w:t>
          </w:r>
          <w:r w:rsidRPr="002D2CDF">
            <w:rPr>
              <w:rFonts w:ascii="Calibri" w:hAnsi="Calibri" w:cs="Calibri"/>
              <w:sz w:val="22"/>
              <w:szCs w:val="22"/>
            </w:rPr>
            <w:t>.0</w:t>
          </w:r>
        </w:p>
      </w:tc>
    </w:tr>
  </w:tbl>
  <w:p w14:paraId="66295BFB" w14:textId="77777777" w:rsidR="002D2CDF" w:rsidRDefault="002D2C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751"/>
    <w:multiLevelType w:val="multilevel"/>
    <w:tmpl w:val="52E0D6E0"/>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E9F1235"/>
    <w:multiLevelType w:val="multilevel"/>
    <w:tmpl w:val="77FEC2E4"/>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153A003D"/>
    <w:multiLevelType w:val="multilevel"/>
    <w:tmpl w:val="8E028B38"/>
    <w:lvl w:ilvl="0">
      <w:start w:val="2"/>
      <w:numFmt w:val="decimal"/>
      <w:lvlText w:val="%1."/>
      <w:lvlJc w:val="left"/>
      <w:pPr>
        <w:ind w:left="612" w:hanging="612"/>
      </w:pPr>
      <w:rPr>
        <w:rFonts w:hint="default"/>
      </w:rPr>
    </w:lvl>
    <w:lvl w:ilvl="1">
      <w:start w:val="1"/>
      <w:numFmt w:val="decimal"/>
      <w:lvlText w:val="%1.%2."/>
      <w:lvlJc w:val="left"/>
      <w:pPr>
        <w:ind w:left="900" w:hanging="72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16667A21"/>
    <w:multiLevelType w:val="multilevel"/>
    <w:tmpl w:val="3A8461EE"/>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4C264FC"/>
    <w:multiLevelType w:val="multilevel"/>
    <w:tmpl w:val="D26C1C5E"/>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04F15E0"/>
    <w:multiLevelType w:val="multilevel"/>
    <w:tmpl w:val="82BE1C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3921999"/>
    <w:multiLevelType w:val="hybridMultilevel"/>
    <w:tmpl w:val="462C5B84"/>
    <w:lvl w:ilvl="0" w:tplc="DEB45C8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82514CA"/>
    <w:multiLevelType w:val="hybridMultilevel"/>
    <w:tmpl w:val="6BDEA41A"/>
    <w:lvl w:ilvl="0" w:tplc="E7A4FBE8">
      <w:start w:val="1"/>
      <w:numFmt w:val="bullet"/>
      <w:lvlText w:val="•"/>
      <w:lvlJc w:val="left"/>
      <w:pPr>
        <w:ind w:left="720" w:hanging="360"/>
      </w:pPr>
    </w:lvl>
    <w:lvl w:ilvl="1" w:tplc="9208BE90">
      <w:numFmt w:val="decimal"/>
      <w:lvlText w:val=""/>
      <w:lvlJc w:val="left"/>
    </w:lvl>
    <w:lvl w:ilvl="2" w:tplc="534E38FC">
      <w:numFmt w:val="decimal"/>
      <w:lvlText w:val=""/>
      <w:lvlJc w:val="left"/>
    </w:lvl>
    <w:lvl w:ilvl="3" w:tplc="99329A3A">
      <w:numFmt w:val="decimal"/>
      <w:lvlText w:val=""/>
      <w:lvlJc w:val="left"/>
    </w:lvl>
    <w:lvl w:ilvl="4" w:tplc="4C5A9DFC">
      <w:numFmt w:val="decimal"/>
      <w:lvlText w:val=""/>
      <w:lvlJc w:val="left"/>
    </w:lvl>
    <w:lvl w:ilvl="5" w:tplc="7DF6E7E4">
      <w:numFmt w:val="decimal"/>
      <w:lvlText w:val=""/>
      <w:lvlJc w:val="left"/>
    </w:lvl>
    <w:lvl w:ilvl="6" w:tplc="95AA455A">
      <w:numFmt w:val="decimal"/>
      <w:lvlText w:val=""/>
      <w:lvlJc w:val="left"/>
    </w:lvl>
    <w:lvl w:ilvl="7" w:tplc="F7809CEA">
      <w:numFmt w:val="decimal"/>
      <w:lvlText w:val=""/>
      <w:lvlJc w:val="left"/>
    </w:lvl>
    <w:lvl w:ilvl="8" w:tplc="55726126">
      <w:numFmt w:val="decimal"/>
      <w:lvlText w:val=""/>
      <w:lvlJc w:val="left"/>
    </w:lvl>
  </w:abstractNum>
  <w:abstractNum w:abstractNumId="8" w15:restartNumberingAfterBreak="0">
    <w:nsid w:val="38751580"/>
    <w:multiLevelType w:val="multilevel"/>
    <w:tmpl w:val="F3F4592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3FDE6EC1"/>
    <w:multiLevelType w:val="multilevel"/>
    <w:tmpl w:val="F2741264"/>
    <w:lvl w:ilvl="0">
      <w:start w:val="1"/>
      <w:numFmt w:val="decimal"/>
      <w:lvlText w:val="%1."/>
      <w:lvlJc w:val="left"/>
      <w:pPr>
        <w:ind w:left="720" w:hanging="360"/>
      </w:pPr>
      <w:rPr>
        <w:rFonts w:asciiTheme="majorHAnsi" w:eastAsiaTheme="majorEastAsia"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3FF56880"/>
    <w:multiLevelType w:val="multilevel"/>
    <w:tmpl w:val="895E474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BA2A98"/>
    <w:multiLevelType w:val="multilevel"/>
    <w:tmpl w:val="9438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5650F"/>
    <w:multiLevelType w:val="hybridMultilevel"/>
    <w:tmpl w:val="E65A929C"/>
    <w:lvl w:ilvl="0" w:tplc="8B606FA0">
      <w:start w:val="1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BD32F6A"/>
    <w:multiLevelType w:val="multilevel"/>
    <w:tmpl w:val="504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76EC0"/>
    <w:multiLevelType w:val="multilevel"/>
    <w:tmpl w:val="2E60A1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F8264A2"/>
    <w:multiLevelType w:val="multilevel"/>
    <w:tmpl w:val="E25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C4933"/>
    <w:multiLevelType w:val="multilevel"/>
    <w:tmpl w:val="CD3CF44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5AE66754"/>
    <w:multiLevelType w:val="multilevel"/>
    <w:tmpl w:val="77B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A20C2"/>
    <w:multiLevelType w:val="hybridMultilevel"/>
    <w:tmpl w:val="9782D8DA"/>
    <w:lvl w:ilvl="0" w:tplc="E9EC925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5DB231BB"/>
    <w:multiLevelType w:val="hybridMultilevel"/>
    <w:tmpl w:val="54DE572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F272E08"/>
    <w:multiLevelType w:val="multilevel"/>
    <w:tmpl w:val="5232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8641B"/>
    <w:multiLevelType w:val="multilevel"/>
    <w:tmpl w:val="4A66A6C6"/>
    <w:lvl w:ilvl="0">
      <w:start w:val="2"/>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6D080AA8"/>
    <w:multiLevelType w:val="multilevel"/>
    <w:tmpl w:val="103C2B7A"/>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3" w15:restartNumberingAfterBreak="0">
    <w:nsid w:val="79D65F54"/>
    <w:multiLevelType w:val="multilevel"/>
    <w:tmpl w:val="EBFCE3E8"/>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A4E546D"/>
    <w:multiLevelType w:val="multilevel"/>
    <w:tmpl w:val="3B5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42643">
    <w:abstractNumId w:val="11"/>
  </w:num>
  <w:num w:numId="2" w16cid:durableId="1690913892">
    <w:abstractNumId w:val="6"/>
  </w:num>
  <w:num w:numId="3" w16cid:durableId="340281601">
    <w:abstractNumId w:val="18"/>
  </w:num>
  <w:num w:numId="4" w16cid:durableId="1508134647">
    <w:abstractNumId w:val="19"/>
  </w:num>
  <w:num w:numId="5" w16cid:durableId="1115443187">
    <w:abstractNumId w:val="5"/>
  </w:num>
  <w:num w:numId="6" w16cid:durableId="92210589">
    <w:abstractNumId w:val="10"/>
  </w:num>
  <w:num w:numId="7" w16cid:durableId="1591423705">
    <w:abstractNumId w:val="14"/>
  </w:num>
  <w:num w:numId="8" w16cid:durableId="1703169729">
    <w:abstractNumId w:val="0"/>
  </w:num>
  <w:num w:numId="9" w16cid:durableId="646710078">
    <w:abstractNumId w:val="8"/>
  </w:num>
  <w:num w:numId="10" w16cid:durableId="611397951">
    <w:abstractNumId w:val="16"/>
  </w:num>
  <w:num w:numId="11" w16cid:durableId="597249843">
    <w:abstractNumId w:val="22"/>
  </w:num>
  <w:num w:numId="12" w16cid:durableId="660891197">
    <w:abstractNumId w:val="1"/>
  </w:num>
  <w:num w:numId="13" w16cid:durableId="1874153007">
    <w:abstractNumId w:val="9"/>
  </w:num>
  <w:num w:numId="14" w16cid:durableId="1093360783">
    <w:abstractNumId w:val="24"/>
  </w:num>
  <w:num w:numId="15" w16cid:durableId="1277104882">
    <w:abstractNumId w:val="21"/>
  </w:num>
  <w:num w:numId="16" w16cid:durableId="1128275767">
    <w:abstractNumId w:val="3"/>
  </w:num>
  <w:num w:numId="17" w16cid:durableId="569924761">
    <w:abstractNumId w:val="2"/>
  </w:num>
  <w:num w:numId="18" w16cid:durableId="1182205406">
    <w:abstractNumId w:val="4"/>
  </w:num>
  <w:num w:numId="19" w16cid:durableId="1616936444">
    <w:abstractNumId w:val="23"/>
  </w:num>
  <w:num w:numId="20" w16cid:durableId="1306547413">
    <w:abstractNumId w:val="12"/>
  </w:num>
  <w:num w:numId="21" w16cid:durableId="1148326961">
    <w:abstractNumId w:val="20"/>
  </w:num>
  <w:num w:numId="22" w16cid:durableId="228032198">
    <w:abstractNumId w:val="17"/>
  </w:num>
  <w:num w:numId="23" w16cid:durableId="1765606547">
    <w:abstractNumId w:val="13"/>
  </w:num>
  <w:num w:numId="24" w16cid:durableId="183053570">
    <w:abstractNumId w:val="15"/>
  </w:num>
  <w:num w:numId="25" w16cid:durableId="15433970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7F"/>
    <w:rsid w:val="00002459"/>
    <w:rsid w:val="00016A8A"/>
    <w:rsid w:val="0003326A"/>
    <w:rsid w:val="00041D74"/>
    <w:rsid w:val="0006605A"/>
    <w:rsid w:val="00066CAE"/>
    <w:rsid w:val="00087033"/>
    <w:rsid w:val="000B662C"/>
    <w:rsid w:val="000E1F25"/>
    <w:rsid w:val="000F3F65"/>
    <w:rsid w:val="00114970"/>
    <w:rsid w:val="00135B7D"/>
    <w:rsid w:val="00136139"/>
    <w:rsid w:val="0015324A"/>
    <w:rsid w:val="00157A82"/>
    <w:rsid w:val="00170FB2"/>
    <w:rsid w:val="00171F49"/>
    <w:rsid w:val="00172C1A"/>
    <w:rsid w:val="001813EF"/>
    <w:rsid w:val="001814AB"/>
    <w:rsid w:val="0018522F"/>
    <w:rsid w:val="0019314C"/>
    <w:rsid w:val="001A1D69"/>
    <w:rsid w:val="001B0A50"/>
    <w:rsid w:val="001B2CEA"/>
    <w:rsid w:val="001E7BB6"/>
    <w:rsid w:val="001F071A"/>
    <w:rsid w:val="001F28C7"/>
    <w:rsid w:val="00203AB3"/>
    <w:rsid w:val="0021001C"/>
    <w:rsid w:val="00223413"/>
    <w:rsid w:val="00231880"/>
    <w:rsid w:val="00233E39"/>
    <w:rsid w:val="00234DC2"/>
    <w:rsid w:val="00243F8A"/>
    <w:rsid w:val="002554B2"/>
    <w:rsid w:val="00272275"/>
    <w:rsid w:val="002749AC"/>
    <w:rsid w:val="00275C3E"/>
    <w:rsid w:val="00284A3E"/>
    <w:rsid w:val="0028644A"/>
    <w:rsid w:val="002913FC"/>
    <w:rsid w:val="00293C05"/>
    <w:rsid w:val="002A578B"/>
    <w:rsid w:val="002A72CF"/>
    <w:rsid w:val="002B2317"/>
    <w:rsid w:val="002B7359"/>
    <w:rsid w:val="002C43C1"/>
    <w:rsid w:val="002D2CDF"/>
    <w:rsid w:val="002D4B7D"/>
    <w:rsid w:val="002D6A5E"/>
    <w:rsid w:val="002E1AF9"/>
    <w:rsid w:val="002E6436"/>
    <w:rsid w:val="002F6802"/>
    <w:rsid w:val="003155EE"/>
    <w:rsid w:val="003161D2"/>
    <w:rsid w:val="003245DF"/>
    <w:rsid w:val="00325296"/>
    <w:rsid w:val="00326EF8"/>
    <w:rsid w:val="00337A27"/>
    <w:rsid w:val="003450AD"/>
    <w:rsid w:val="003609DA"/>
    <w:rsid w:val="00375C56"/>
    <w:rsid w:val="00381B17"/>
    <w:rsid w:val="003B743E"/>
    <w:rsid w:val="003C2A13"/>
    <w:rsid w:val="003C7364"/>
    <w:rsid w:val="003D4421"/>
    <w:rsid w:val="003E3950"/>
    <w:rsid w:val="003F275E"/>
    <w:rsid w:val="003F4C5A"/>
    <w:rsid w:val="00404F9A"/>
    <w:rsid w:val="004134AC"/>
    <w:rsid w:val="0045093D"/>
    <w:rsid w:val="00472CB3"/>
    <w:rsid w:val="00474F88"/>
    <w:rsid w:val="00486E0B"/>
    <w:rsid w:val="004977E0"/>
    <w:rsid w:val="004A01BE"/>
    <w:rsid w:val="004C4A37"/>
    <w:rsid w:val="004C52EA"/>
    <w:rsid w:val="004C7BD3"/>
    <w:rsid w:val="004D4929"/>
    <w:rsid w:val="004D5616"/>
    <w:rsid w:val="004E17AF"/>
    <w:rsid w:val="004E3BF4"/>
    <w:rsid w:val="004F246B"/>
    <w:rsid w:val="00500247"/>
    <w:rsid w:val="0052073C"/>
    <w:rsid w:val="00524284"/>
    <w:rsid w:val="00537590"/>
    <w:rsid w:val="00537EF8"/>
    <w:rsid w:val="005420DE"/>
    <w:rsid w:val="00542F2C"/>
    <w:rsid w:val="00580C09"/>
    <w:rsid w:val="005A61B2"/>
    <w:rsid w:val="005C0516"/>
    <w:rsid w:val="005D2299"/>
    <w:rsid w:val="005F2875"/>
    <w:rsid w:val="00614495"/>
    <w:rsid w:val="00641744"/>
    <w:rsid w:val="006419A5"/>
    <w:rsid w:val="006425F0"/>
    <w:rsid w:val="00645376"/>
    <w:rsid w:val="006552BB"/>
    <w:rsid w:val="00663860"/>
    <w:rsid w:val="00683099"/>
    <w:rsid w:val="0068583E"/>
    <w:rsid w:val="006B2889"/>
    <w:rsid w:val="006C0565"/>
    <w:rsid w:val="006C46FC"/>
    <w:rsid w:val="006E3309"/>
    <w:rsid w:val="006E7D49"/>
    <w:rsid w:val="006F6B5E"/>
    <w:rsid w:val="00700328"/>
    <w:rsid w:val="00700826"/>
    <w:rsid w:val="00737327"/>
    <w:rsid w:val="00737C50"/>
    <w:rsid w:val="0076081F"/>
    <w:rsid w:val="007650D8"/>
    <w:rsid w:val="0077747F"/>
    <w:rsid w:val="00780E46"/>
    <w:rsid w:val="0078622D"/>
    <w:rsid w:val="007A4572"/>
    <w:rsid w:val="007B0FB2"/>
    <w:rsid w:val="007B1A6E"/>
    <w:rsid w:val="007D347F"/>
    <w:rsid w:val="007D3834"/>
    <w:rsid w:val="007D6603"/>
    <w:rsid w:val="007E1B52"/>
    <w:rsid w:val="007E2520"/>
    <w:rsid w:val="007E3CAC"/>
    <w:rsid w:val="007F01FD"/>
    <w:rsid w:val="007F21B1"/>
    <w:rsid w:val="007F3652"/>
    <w:rsid w:val="00804993"/>
    <w:rsid w:val="00840904"/>
    <w:rsid w:val="0084325D"/>
    <w:rsid w:val="008861D2"/>
    <w:rsid w:val="008A224E"/>
    <w:rsid w:val="008C1687"/>
    <w:rsid w:val="008D07C5"/>
    <w:rsid w:val="008F02F2"/>
    <w:rsid w:val="008F738D"/>
    <w:rsid w:val="009057D1"/>
    <w:rsid w:val="00931403"/>
    <w:rsid w:val="00947790"/>
    <w:rsid w:val="00950015"/>
    <w:rsid w:val="00962D52"/>
    <w:rsid w:val="00973D0D"/>
    <w:rsid w:val="009B3FE1"/>
    <w:rsid w:val="009D0DD8"/>
    <w:rsid w:val="009D11C1"/>
    <w:rsid w:val="009D217B"/>
    <w:rsid w:val="009E4A83"/>
    <w:rsid w:val="00A0787E"/>
    <w:rsid w:val="00A11440"/>
    <w:rsid w:val="00A2019E"/>
    <w:rsid w:val="00A23474"/>
    <w:rsid w:val="00A30618"/>
    <w:rsid w:val="00A319E9"/>
    <w:rsid w:val="00A45B39"/>
    <w:rsid w:val="00A560E9"/>
    <w:rsid w:val="00A7426C"/>
    <w:rsid w:val="00AA26EB"/>
    <w:rsid w:val="00AA3453"/>
    <w:rsid w:val="00AC3F15"/>
    <w:rsid w:val="00AC58A2"/>
    <w:rsid w:val="00AD0C71"/>
    <w:rsid w:val="00B14A69"/>
    <w:rsid w:val="00B63EBE"/>
    <w:rsid w:val="00B674EA"/>
    <w:rsid w:val="00B7083E"/>
    <w:rsid w:val="00B7279C"/>
    <w:rsid w:val="00B74260"/>
    <w:rsid w:val="00B86CF2"/>
    <w:rsid w:val="00B908EC"/>
    <w:rsid w:val="00BB2B30"/>
    <w:rsid w:val="00BD7A32"/>
    <w:rsid w:val="00C0041F"/>
    <w:rsid w:val="00C2566D"/>
    <w:rsid w:val="00C33E1D"/>
    <w:rsid w:val="00C40A91"/>
    <w:rsid w:val="00C43D79"/>
    <w:rsid w:val="00C62C36"/>
    <w:rsid w:val="00C66EF4"/>
    <w:rsid w:val="00C84F54"/>
    <w:rsid w:val="00C906D4"/>
    <w:rsid w:val="00C9472D"/>
    <w:rsid w:val="00CB1E0A"/>
    <w:rsid w:val="00CC10CA"/>
    <w:rsid w:val="00CC7678"/>
    <w:rsid w:val="00CE67F1"/>
    <w:rsid w:val="00D045DA"/>
    <w:rsid w:val="00D109E2"/>
    <w:rsid w:val="00D641E7"/>
    <w:rsid w:val="00D96AFE"/>
    <w:rsid w:val="00DA40D7"/>
    <w:rsid w:val="00DB3C65"/>
    <w:rsid w:val="00DE222E"/>
    <w:rsid w:val="00DE59E8"/>
    <w:rsid w:val="00E16C8B"/>
    <w:rsid w:val="00E45FC8"/>
    <w:rsid w:val="00E63B2E"/>
    <w:rsid w:val="00E679C7"/>
    <w:rsid w:val="00E72B73"/>
    <w:rsid w:val="00E75958"/>
    <w:rsid w:val="00E80F9E"/>
    <w:rsid w:val="00E8394F"/>
    <w:rsid w:val="00E93003"/>
    <w:rsid w:val="00ED7F0F"/>
    <w:rsid w:val="00EF0B74"/>
    <w:rsid w:val="00EF1FE4"/>
    <w:rsid w:val="00F040EB"/>
    <w:rsid w:val="00F14357"/>
    <w:rsid w:val="00F20720"/>
    <w:rsid w:val="00F42C97"/>
    <w:rsid w:val="00F447F9"/>
    <w:rsid w:val="00F46EC1"/>
    <w:rsid w:val="00F62DA4"/>
    <w:rsid w:val="00F75493"/>
    <w:rsid w:val="00F86D03"/>
    <w:rsid w:val="00F86F6C"/>
    <w:rsid w:val="00F8769B"/>
    <w:rsid w:val="00F87B9D"/>
    <w:rsid w:val="00F92496"/>
    <w:rsid w:val="00FA3994"/>
    <w:rsid w:val="00FA6CA6"/>
    <w:rsid w:val="00FB11D0"/>
    <w:rsid w:val="00FD327F"/>
    <w:rsid w:val="00FD5440"/>
    <w:rsid w:val="00FE5F60"/>
    <w:rsid w:val="00FF4A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20D49"/>
  <w15:chartTrackingRefBased/>
  <w15:docId w15:val="{6AE43E5C-043A-4F8F-96A4-AE85B51FA26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347F"/>
    <w:pPr>
      <w:keepNext/>
      <w:keepLines/>
      <w:spacing w:before="360" w:after="80"/>
      <w:outlineLvl w:val="0"/>
    </w:pPr>
    <w:rPr>
      <w:rFonts w:asciiTheme="majorHAnsi" w:eastAsiaTheme="majorEastAsia" w:hAnsiTheme="majorHAnsi" w:cstheme="majorBidi"/>
      <w:color w:val="2F5496"/>
      <w:sz w:val="40"/>
      <w:szCs w:val="40"/>
    </w:rPr>
  </w:style>
  <w:style w:type="paragraph" w:styleId="Ttulo2">
    <w:name w:val="heading 2"/>
    <w:basedOn w:val="Normal"/>
    <w:next w:val="Normal"/>
    <w:link w:val="Ttulo2Car"/>
    <w:uiPriority w:val="9"/>
    <w:unhideWhenUsed/>
    <w:qFormat/>
    <w:rsid w:val="007D347F"/>
    <w:pPr>
      <w:keepNext/>
      <w:keepLines/>
      <w:spacing w:before="160" w:after="80"/>
      <w:outlineLvl w:val="1"/>
    </w:pPr>
    <w:rPr>
      <w:rFonts w:asciiTheme="majorHAnsi" w:eastAsiaTheme="majorEastAsia" w:hAnsiTheme="majorHAnsi" w:cstheme="majorBidi"/>
      <w:color w:val="2F5496"/>
      <w:sz w:val="32"/>
      <w:szCs w:val="32"/>
    </w:rPr>
  </w:style>
  <w:style w:type="paragraph" w:styleId="Ttulo3">
    <w:name w:val="heading 3"/>
    <w:basedOn w:val="Normal"/>
    <w:next w:val="Normal"/>
    <w:link w:val="Ttulo3Car"/>
    <w:uiPriority w:val="9"/>
    <w:unhideWhenUsed/>
    <w:qFormat/>
    <w:rsid w:val="007D347F"/>
    <w:pPr>
      <w:keepNext/>
      <w:keepLines/>
      <w:spacing w:before="160" w:after="80"/>
      <w:outlineLvl w:val="2"/>
    </w:pPr>
    <w:rPr>
      <w:rFonts w:eastAsiaTheme="majorEastAsia" w:cstheme="majorBidi"/>
      <w:color w:val="2F5496"/>
      <w:sz w:val="28"/>
      <w:szCs w:val="28"/>
    </w:rPr>
  </w:style>
  <w:style w:type="paragraph" w:styleId="Ttulo4">
    <w:name w:val="heading 4"/>
    <w:basedOn w:val="Normal"/>
    <w:next w:val="Normal"/>
    <w:link w:val="Ttulo4Car"/>
    <w:uiPriority w:val="9"/>
    <w:unhideWhenUsed/>
    <w:qFormat/>
    <w:rsid w:val="007D347F"/>
    <w:pPr>
      <w:keepNext/>
      <w:keepLines/>
      <w:spacing w:before="80" w:after="40"/>
      <w:outlineLvl w:val="3"/>
    </w:pPr>
    <w:rPr>
      <w:rFonts w:eastAsiaTheme="majorEastAsia" w:cstheme="majorBidi"/>
      <w:b/>
      <w:bCs/>
      <w:color w:val="2F5496"/>
    </w:rPr>
  </w:style>
  <w:style w:type="paragraph" w:styleId="Ttulo5">
    <w:name w:val="heading 5"/>
    <w:basedOn w:val="Normal"/>
    <w:next w:val="Normal"/>
    <w:link w:val="Ttulo5Car"/>
    <w:uiPriority w:val="9"/>
    <w:unhideWhenUsed/>
    <w:qFormat/>
    <w:rsid w:val="007D347F"/>
    <w:pPr>
      <w:keepNext/>
      <w:keepLines/>
      <w:spacing w:before="80" w:after="40"/>
      <w:outlineLvl w:val="4"/>
    </w:pPr>
    <w:rPr>
      <w:rFonts w:eastAsiaTheme="majorEastAsia" w:cstheme="majorBidi"/>
      <w:i/>
      <w:iCs/>
      <w:color w:val="2F5496"/>
    </w:rPr>
  </w:style>
  <w:style w:type="paragraph" w:styleId="Ttulo6">
    <w:name w:val="heading 6"/>
    <w:basedOn w:val="Normal"/>
    <w:next w:val="Normal"/>
    <w:link w:val="Ttulo6Car"/>
    <w:uiPriority w:val="9"/>
    <w:semiHidden/>
    <w:unhideWhenUsed/>
    <w:qFormat/>
    <w:rsid w:val="007D347F"/>
    <w:pPr>
      <w:keepNext/>
      <w:keepLines/>
      <w:spacing w:before="40" w:after="0"/>
      <w:outlineLvl w:val="5"/>
    </w:pPr>
    <w:rPr>
      <w:rFonts w:eastAsiaTheme="majorEastAsia" w:cstheme="majorBidi"/>
      <w:i/>
      <w:iCs/>
      <w:color w:val="2F5496"/>
    </w:rPr>
  </w:style>
  <w:style w:type="paragraph" w:styleId="Ttulo7">
    <w:name w:val="heading 7"/>
    <w:basedOn w:val="Normal"/>
    <w:next w:val="Normal"/>
    <w:link w:val="Ttulo7Car"/>
    <w:uiPriority w:val="9"/>
    <w:semiHidden/>
    <w:unhideWhenUsed/>
    <w:qFormat/>
    <w:rsid w:val="007D34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34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34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4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D34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D34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D347F"/>
    <w:rPr>
      <w:rFonts w:eastAsiaTheme="majorEastAsia" w:cstheme="majorBidi"/>
      <w:b/>
      <w:bCs/>
      <w:color w:val="0F4761" w:themeColor="accent1" w:themeShade="BF"/>
    </w:rPr>
  </w:style>
  <w:style w:type="character" w:customStyle="1" w:styleId="Ttulo5Car">
    <w:name w:val="Título 5 Car"/>
    <w:basedOn w:val="Fuentedeprrafopredeter"/>
    <w:link w:val="Ttulo5"/>
    <w:uiPriority w:val="9"/>
    <w:rsid w:val="007D347F"/>
    <w:rPr>
      <w:rFonts w:eastAsiaTheme="majorEastAsia" w:cstheme="majorBidi"/>
      <w:i/>
      <w:iCs/>
      <w:color w:val="0F4761" w:themeColor="accent1" w:themeShade="BF"/>
    </w:rPr>
  </w:style>
  <w:style w:type="character" w:customStyle="1" w:styleId="Ttulo6Car">
    <w:name w:val="Título 6 Car"/>
    <w:basedOn w:val="Fuentedeprrafopredeter"/>
    <w:link w:val="Ttulo6"/>
    <w:uiPriority w:val="9"/>
    <w:semiHidden/>
    <w:rsid w:val="007D34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34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34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347F"/>
    <w:rPr>
      <w:rFonts w:eastAsiaTheme="majorEastAsia" w:cstheme="majorBidi"/>
      <w:color w:val="272727" w:themeColor="text1" w:themeTint="D8"/>
    </w:rPr>
  </w:style>
  <w:style w:type="paragraph" w:styleId="Ttulo">
    <w:name w:val="Title"/>
    <w:basedOn w:val="Normal"/>
    <w:next w:val="Normal"/>
    <w:link w:val="TtuloCar"/>
    <w:uiPriority w:val="10"/>
    <w:qFormat/>
    <w:rsid w:val="007D3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4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34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34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347F"/>
    <w:pPr>
      <w:spacing w:before="160"/>
      <w:jc w:val="center"/>
    </w:pPr>
    <w:rPr>
      <w:i/>
      <w:iCs/>
      <w:color w:val="404040" w:themeColor="text1" w:themeTint="BF"/>
    </w:rPr>
  </w:style>
  <w:style w:type="character" w:customStyle="1" w:styleId="CitaCar">
    <w:name w:val="Cita Car"/>
    <w:basedOn w:val="Fuentedeprrafopredeter"/>
    <w:link w:val="Cita"/>
    <w:uiPriority w:val="29"/>
    <w:rsid w:val="007D347F"/>
    <w:rPr>
      <w:i/>
      <w:iCs/>
      <w:color w:val="404040" w:themeColor="text1" w:themeTint="BF"/>
    </w:rPr>
  </w:style>
  <w:style w:type="paragraph" w:styleId="Prrafodelista">
    <w:name w:val="List Paragraph"/>
    <w:basedOn w:val="Normal"/>
    <w:qFormat/>
    <w:rsid w:val="007D347F"/>
    <w:pPr>
      <w:ind w:left="720"/>
      <w:contextualSpacing/>
    </w:pPr>
  </w:style>
  <w:style w:type="character" w:styleId="nfasisintenso">
    <w:name w:val="Intense Emphasis"/>
    <w:basedOn w:val="Fuentedeprrafopredeter"/>
    <w:uiPriority w:val="21"/>
    <w:qFormat/>
    <w:rsid w:val="007D347F"/>
    <w:rPr>
      <w:i/>
      <w:iCs/>
      <w:color w:val="0F4761" w:themeColor="accent1" w:themeShade="BF"/>
    </w:rPr>
  </w:style>
  <w:style w:type="paragraph" w:styleId="Citadestacada">
    <w:name w:val="Intense Quote"/>
    <w:basedOn w:val="Normal"/>
    <w:next w:val="Normal"/>
    <w:link w:val="CitadestacadaCar"/>
    <w:uiPriority w:val="30"/>
    <w:qFormat/>
    <w:rsid w:val="007D3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347F"/>
    <w:rPr>
      <w:i/>
      <w:iCs/>
      <w:color w:val="0F4761" w:themeColor="accent1" w:themeShade="BF"/>
    </w:rPr>
  </w:style>
  <w:style w:type="character" w:styleId="Referenciaintensa">
    <w:name w:val="Intense Reference"/>
    <w:basedOn w:val="Fuentedeprrafopredeter"/>
    <w:uiPriority w:val="32"/>
    <w:qFormat/>
    <w:rsid w:val="007D347F"/>
    <w:rPr>
      <w:b/>
      <w:bCs/>
      <w:smallCaps/>
      <w:color w:val="0F4761" w:themeColor="accent1" w:themeShade="BF"/>
      <w:spacing w:val="5"/>
    </w:rPr>
  </w:style>
  <w:style w:type="paragraph" w:styleId="Encabezado">
    <w:name w:val="header"/>
    <w:basedOn w:val="Normal"/>
    <w:link w:val="EncabezadoCar"/>
    <w:uiPriority w:val="99"/>
    <w:unhideWhenUsed/>
    <w:rsid w:val="002D2CD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2CDF"/>
  </w:style>
  <w:style w:type="paragraph" w:styleId="Piedepgina">
    <w:name w:val="footer"/>
    <w:basedOn w:val="Normal"/>
    <w:link w:val="PiedepginaCar"/>
    <w:uiPriority w:val="99"/>
    <w:unhideWhenUsed/>
    <w:rsid w:val="002D2C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2CDF"/>
  </w:style>
  <w:style w:type="table" w:styleId="Tablaconcuadrcula">
    <w:name w:val="Table Grid"/>
    <w:basedOn w:val="Tablanormal"/>
    <w:uiPriority w:val="39"/>
    <w:rsid w:val="002D2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D5616"/>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4D5616"/>
    <w:pPr>
      <w:spacing w:after="100"/>
    </w:pPr>
  </w:style>
  <w:style w:type="paragraph" w:styleId="TDC2">
    <w:name w:val="toc 2"/>
    <w:basedOn w:val="Normal"/>
    <w:next w:val="Normal"/>
    <w:autoRedefine/>
    <w:uiPriority w:val="39"/>
    <w:unhideWhenUsed/>
    <w:rsid w:val="004D5616"/>
    <w:pPr>
      <w:spacing w:after="100"/>
      <w:ind w:left="240"/>
    </w:pPr>
  </w:style>
  <w:style w:type="paragraph" w:styleId="TDC3">
    <w:name w:val="toc 3"/>
    <w:basedOn w:val="Normal"/>
    <w:next w:val="Normal"/>
    <w:autoRedefine/>
    <w:uiPriority w:val="39"/>
    <w:unhideWhenUsed/>
    <w:rsid w:val="004D5616"/>
    <w:pPr>
      <w:spacing w:after="100"/>
      <w:ind w:left="480"/>
    </w:pPr>
  </w:style>
  <w:style w:type="character" w:styleId="Hipervnculo">
    <w:name w:val="Hyperlink"/>
    <w:basedOn w:val="Fuentedeprrafopredeter"/>
    <w:uiPriority w:val="99"/>
    <w:unhideWhenUsed/>
    <w:rsid w:val="004D5616"/>
    <w:rPr>
      <w:color w:val="467886" w:themeColor="hyperlink"/>
      <w:u w:val="single"/>
    </w:rPr>
  </w:style>
  <w:style w:type="paragraph" w:styleId="NormalWeb">
    <w:name w:val="Normal (Web)"/>
    <w:basedOn w:val="Normal"/>
    <w:uiPriority w:val="99"/>
    <w:semiHidden/>
    <w:unhideWhenUsed/>
    <w:rsid w:val="00172C1A"/>
    <w:rPr>
      <w:rFonts w:ascii="Times New Roman" w:hAnsi="Times New Roman" w:cs="Times New Roman"/>
    </w:rPr>
  </w:style>
  <w:style w:type="character" w:styleId="Textoennegrita">
    <w:name w:val="Strong"/>
    <w:basedOn w:val="Fuentedeprrafopredeter"/>
    <w:uiPriority w:val="22"/>
    <w:qFormat/>
    <w:rsid w:val="00A30618"/>
    <w:rPr>
      <w:b/>
      <w:bCs/>
    </w:rPr>
  </w:style>
  <w:style w:type="character" w:styleId="Mencinsinresolver">
    <w:name w:val="Unresolved Mention"/>
    <w:basedOn w:val="Fuentedeprrafopredeter"/>
    <w:uiPriority w:val="99"/>
    <w:semiHidden/>
    <w:unhideWhenUsed/>
    <w:rsid w:val="002554B2"/>
    <w:rPr>
      <w:color w:val="605E5C"/>
      <w:shd w:val="clear" w:color="auto" w:fill="E1DFDD"/>
    </w:rPr>
  </w:style>
  <w:style w:type="paragraph" w:styleId="TDC4">
    <w:name w:val="toc 4"/>
    <w:basedOn w:val="Normal"/>
    <w:next w:val="Normal"/>
    <w:autoRedefine/>
    <w:uiPriority w:val="39"/>
    <w:unhideWhenUsed/>
    <w:rsid w:val="00F20720"/>
    <w:pPr>
      <w:spacing w:after="100"/>
      <w:ind w:left="720"/>
    </w:pPr>
  </w:style>
  <w:style w:type="paragraph" w:styleId="TDC5">
    <w:name w:val="toc 5"/>
    <w:basedOn w:val="Normal"/>
    <w:next w:val="Normal"/>
    <w:autoRedefine/>
    <w:uiPriority w:val="39"/>
    <w:unhideWhenUsed/>
    <w:rsid w:val="00F20720"/>
    <w:pPr>
      <w:spacing w:after="100"/>
      <w:ind w:left="960"/>
    </w:pPr>
    <w:rPr>
      <w:rFonts w:eastAsiaTheme="minorEastAsia"/>
      <w:lang w:eastAsia="es-AR"/>
    </w:rPr>
  </w:style>
  <w:style w:type="paragraph" w:styleId="TDC6">
    <w:name w:val="toc 6"/>
    <w:basedOn w:val="Normal"/>
    <w:next w:val="Normal"/>
    <w:autoRedefine/>
    <w:uiPriority w:val="39"/>
    <w:unhideWhenUsed/>
    <w:rsid w:val="00F20720"/>
    <w:pPr>
      <w:spacing w:after="100"/>
      <w:ind w:left="1200"/>
    </w:pPr>
    <w:rPr>
      <w:rFonts w:eastAsiaTheme="minorEastAsia"/>
      <w:lang w:eastAsia="es-AR"/>
    </w:rPr>
  </w:style>
  <w:style w:type="paragraph" w:styleId="TDC7">
    <w:name w:val="toc 7"/>
    <w:basedOn w:val="Normal"/>
    <w:next w:val="Normal"/>
    <w:autoRedefine/>
    <w:uiPriority w:val="39"/>
    <w:unhideWhenUsed/>
    <w:rsid w:val="00F20720"/>
    <w:pPr>
      <w:spacing w:after="100"/>
      <w:ind w:left="1440"/>
    </w:pPr>
    <w:rPr>
      <w:rFonts w:eastAsiaTheme="minorEastAsia"/>
      <w:lang w:eastAsia="es-AR"/>
    </w:rPr>
  </w:style>
  <w:style w:type="paragraph" w:styleId="TDC8">
    <w:name w:val="toc 8"/>
    <w:basedOn w:val="Normal"/>
    <w:next w:val="Normal"/>
    <w:autoRedefine/>
    <w:uiPriority w:val="39"/>
    <w:unhideWhenUsed/>
    <w:rsid w:val="00F20720"/>
    <w:pPr>
      <w:spacing w:after="100"/>
      <w:ind w:left="1680"/>
    </w:pPr>
    <w:rPr>
      <w:rFonts w:eastAsiaTheme="minorEastAsia"/>
      <w:lang w:eastAsia="es-AR"/>
    </w:rPr>
  </w:style>
  <w:style w:type="paragraph" w:styleId="TDC9">
    <w:name w:val="toc 9"/>
    <w:basedOn w:val="Normal"/>
    <w:next w:val="Normal"/>
    <w:autoRedefine/>
    <w:uiPriority w:val="39"/>
    <w:unhideWhenUsed/>
    <w:rsid w:val="00F20720"/>
    <w:pPr>
      <w:spacing w:after="100"/>
      <w:ind w:left="1920"/>
    </w:pPr>
    <w:rPr>
      <w:rFonts w:eastAsiaTheme="minorEastAsia"/>
      <w:lang w:eastAsia="es-AR"/>
    </w:rPr>
  </w:style>
  <w:style w:type="paragraph" w:customStyle="1" w:styleId="Epig-PredictIT">
    <w:name w:val="Epig-PredictIT"/>
    <w:basedOn w:val="Normal"/>
    <w:pPr>
      <w:spacing w:before="80" w:after="280" w:line="240" w:lineRule="auto"/>
      <w:jc w:val="center"/>
    </w:pPr>
    <w:rPr>
      <w:rFonts w:ascii="Calibri" w:hAnsi="Calibri"/>
      <w:color w:val="444444"/>
      <w:sz w:val="20"/>
    </w:rPr>
  </w:style>
  <w:style w:type="paragraph" w:customStyle="1" w:styleId="Pantalla-PredictIT">
    <w:name w:val="Pantalla-PredictIT"/>
    <w:basedOn w:val="Normal"/>
    <w:pPr>
      <w:spacing w:before="80"/>
      <w:jc w:val="both"/>
    </w:pPr>
    <w:rPr>
      <w:rFonts w:ascii="Calibri" w:hAnsi="Calibri"/>
    </w:rPr>
  </w:style>
  <w:style w:type="paragraph" w:styleId="Tabladeilustraciones">
    <w:name w:val="table of figures"/>
    <w:basedOn w:val="Normal"/>
    <w:next w:val="Normal"/>
    <w:uiPriority w:val="99"/>
    <w:unhideWhenUsed/>
    <w:rsid w:val="00F46EC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2191">
      <w:bodyDiv w:val="1"/>
      <w:marLeft w:val="0"/>
      <w:marRight w:val="0"/>
      <w:marTop w:val="0"/>
      <w:marBottom w:val="0"/>
      <w:divBdr>
        <w:top w:val="none" w:sz="0" w:space="0" w:color="auto"/>
        <w:left w:val="none" w:sz="0" w:space="0" w:color="auto"/>
        <w:bottom w:val="none" w:sz="0" w:space="0" w:color="auto"/>
        <w:right w:val="none" w:sz="0" w:space="0" w:color="auto"/>
      </w:divBdr>
    </w:div>
    <w:div w:id="456070959">
      <w:bodyDiv w:val="1"/>
      <w:marLeft w:val="0"/>
      <w:marRight w:val="0"/>
      <w:marTop w:val="0"/>
      <w:marBottom w:val="0"/>
      <w:divBdr>
        <w:top w:val="none" w:sz="0" w:space="0" w:color="auto"/>
        <w:left w:val="none" w:sz="0" w:space="0" w:color="auto"/>
        <w:bottom w:val="none" w:sz="0" w:space="0" w:color="auto"/>
        <w:right w:val="none" w:sz="0" w:space="0" w:color="auto"/>
      </w:divBdr>
    </w:div>
    <w:div w:id="469441271">
      <w:bodyDiv w:val="1"/>
      <w:marLeft w:val="0"/>
      <w:marRight w:val="0"/>
      <w:marTop w:val="0"/>
      <w:marBottom w:val="0"/>
      <w:divBdr>
        <w:top w:val="none" w:sz="0" w:space="0" w:color="auto"/>
        <w:left w:val="none" w:sz="0" w:space="0" w:color="auto"/>
        <w:bottom w:val="none" w:sz="0" w:space="0" w:color="auto"/>
        <w:right w:val="none" w:sz="0" w:space="0" w:color="auto"/>
      </w:divBdr>
    </w:div>
    <w:div w:id="924416629">
      <w:bodyDiv w:val="1"/>
      <w:marLeft w:val="0"/>
      <w:marRight w:val="0"/>
      <w:marTop w:val="0"/>
      <w:marBottom w:val="0"/>
      <w:divBdr>
        <w:top w:val="none" w:sz="0" w:space="0" w:color="auto"/>
        <w:left w:val="none" w:sz="0" w:space="0" w:color="auto"/>
        <w:bottom w:val="none" w:sz="0" w:space="0" w:color="auto"/>
        <w:right w:val="none" w:sz="0" w:space="0" w:color="auto"/>
      </w:divBdr>
    </w:div>
    <w:div w:id="1273902101">
      <w:bodyDiv w:val="1"/>
      <w:marLeft w:val="0"/>
      <w:marRight w:val="0"/>
      <w:marTop w:val="0"/>
      <w:marBottom w:val="0"/>
      <w:divBdr>
        <w:top w:val="none" w:sz="0" w:space="0" w:color="auto"/>
        <w:left w:val="none" w:sz="0" w:space="0" w:color="auto"/>
        <w:bottom w:val="none" w:sz="0" w:space="0" w:color="auto"/>
        <w:right w:val="none" w:sz="0" w:space="0" w:color="auto"/>
      </w:divBdr>
    </w:div>
    <w:div w:id="1463425315">
      <w:bodyDiv w:val="1"/>
      <w:marLeft w:val="0"/>
      <w:marRight w:val="0"/>
      <w:marTop w:val="0"/>
      <w:marBottom w:val="0"/>
      <w:divBdr>
        <w:top w:val="none" w:sz="0" w:space="0" w:color="auto"/>
        <w:left w:val="none" w:sz="0" w:space="0" w:color="auto"/>
        <w:bottom w:val="none" w:sz="0" w:space="0" w:color="auto"/>
        <w:right w:val="none" w:sz="0" w:space="0" w:color="auto"/>
      </w:divBdr>
    </w:div>
    <w:div w:id="1705905849">
      <w:bodyDiv w:val="1"/>
      <w:marLeft w:val="0"/>
      <w:marRight w:val="0"/>
      <w:marTop w:val="0"/>
      <w:marBottom w:val="0"/>
      <w:divBdr>
        <w:top w:val="none" w:sz="0" w:space="0" w:color="auto"/>
        <w:left w:val="none" w:sz="0" w:space="0" w:color="auto"/>
        <w:bottom w:val="none" w:sz="0" w:space="0" w:color="auto"/>
        <w:right w:val="none" w:sz="0" w:space="0" w:color="auto"/>
      </w:divBdr>
    </w:div>
    <w:div w:id="1715695621">
      <w:bodyDiv w:val="1"/>
      <w:marLeft w:val="0"/>
      <w:marRight w:val="0"/>
      <w:marTop w:val="0"/>
      <w:marBottom w:val="0"/>
      <w:divBdr>
        <w:top w:val="none" w:sz="0" w:space="0" w:color="auto"/>
        <w:left w:val="none" w:sz="0" w:space="0" w:color="auto"/>
        <w:bottom w:val="none" w:sz="0" w:space="0" w:color="auto"/>
        <w:right w:val="none" w:sz="0" w:space="0" w:color="auto"/>
      </w:divBdr>
    </w:div>
    <w:div w:id="1735617551">
      <w:bodyDiv w:val="1"/>
      <w:marLeft w:val="0"/>
      <w:marRight w:val="0"/>
      <w:marTop w:val="0"/>
      <w:marBottom w:val="0"/>
      <w:divBdr>
        <w:top w:val="none" w:sz="0" w:space="0" w:color="auto"/>
        <w:left w:val="none" w:sz="0" w:space="0" w:color="auto"/>
        <w:bottom w:val="none" w:sz="0" w:space="0" w:color="auto"/>
        <w:right w:val="none" w:sz="0" w:space="0" w:color="auto"/>
      </w:divBdr>
    </w:div>
    <w:div w:id="1829589428">
      <w:bodyDiv w:val="1"/>
      <w:marLeft w:val="0"/>
      <w:marRight w:val="0"/>
      <w:marTop w:val="0"/>
      <w:marBottom w:val="0"/>
      <w:divBdr>
        <w:top w:val="none" w:sz="0" w:space="0" w:color="auto"/>
        <w:left w:val="none" w:sz="0" w:space="0" w:color="auto"/>
        <w:bottom w:val="none" w:sz="0" w:space="0" w:color="auto"/>
        <w:right w:val="none" w:sz="0" w:space="0" w:color="auto"/>
      </w:divBdr>
    </w:div>
    <w:div w:id="207600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8" Type="http://schemas.openxmlformats.org/officeDocument/2006/relationships/hyperlink" Target="https://www.itsitio.com/ar/informes/el-nuevo-mapa-de-las-pymes-argentinas-que-las-preocupa-y-donde-ven-oportunidades/" TargetMode="Externa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66" Type="http://schemas.openxmlformats.org/officeDocument/2006/relationships/hyperlink" Target="https://publicaciones.observatoriopyme.org.ar/ici25" TargetMode="External"/><Relationship Id="rId5" Type="http://schemas.openxmlformats.org/officeDocument/2006/relationships/webSettings" Target="webSettings.xml"/><Relationship Id="rId73" Type="http://schemas.openxmlformats.org/officeDocument/2006/relationships/theme" Target="theme/theme1.xml"/><Relationship Id="rId4" Type="http://schemas.openxmlformats.org/officeDocument/2006/relationships/settings" Target="settings.xml"/><Relationship Id="rId69" Type="http://schemas.openxmlformats.org/officeDocument/2006/relationships/hyperlink" Target="https://msaffirio.com/2017/09/05/costo-del-riesgo-ti/" TargetMode="External"/><Relationship Id="rId72" Type="http://schemas.openxmlformats.org/officeDocument/2006/relationships/fontTable" Target="fontTable.xml"/><Relationship Id="rId3" Type="http://schemas.openxmlformats.org/officeDocument/2006/relationships/styles" Target="styles.xml"/><Relationship Id="rId67" Type="http://schemas.openxmlformats.org/officeDocument/2006/relationships/hyperlink" Target="https://acipan.org.ar/wp-content/uploads/2024/11/informe-pymes.pdf"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77044-94B0-451F-8895-8E9190605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174</Pages>
  <Words>33081</Words>
  <Characters>192222</Characters>
  <Application>Microsoft Office Word</Application>
  <DocSecurity>0</DocSecurity>
  <Lines>4888</Lines>
  <Paragraphs>2005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Ezequiel Pettini</dc:creator>
  <cp:keywords/>
  <dc:description/>
  <cp:lastModifiedBy>Patricio Ezequiel Pettini</cp:lastModifiedBy>
  <cp:revision>8</cp:revision>
  <cp:lastPrinted>2026-06-13T21:17:00Z</cp:lastPrinted>
  <dcterms:created xsi:type="dcterms:W3CDTF">2026-09-04T23:27:00Z</dcterms:created>
  <dcterms:modified xsi:type="dcterms:W3CDTF">2026-09-05T19:11:00Z</dcterms:modified>
</cp:coreProperties>
</file>