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p>
    <w:p>
      <w:pPr>
        <w:jc w:val="center"/>
      </w:pPr>
      <w:r>
        <w:drawing>
          <wp:inline xmlns:a="http://schemas.openxmlformats.org/drawingml/2006/main" xmlns:pic="http://schemas.openxmlformats.org/drawingml/2006/picture">
            <wp:extent cx="3162300" cy="1242060"/>
            <wp:docPr id="1" name="Picture 1"/>
            <wp:cNvGraphicFramePr>
              <a:graphicFrameLocks noChangeAspect="1"/>
            </wp:cNvGraphicFramePr>
            <a:graphic>
              <a:graphicData uri="http://schemas.openxmlformats.org/drawingml/2006/picture">
                <pic:pic>
                  <pic:nvPicPr>
                    <pic:cNvPr id="0" name="image1.png"/>
                    <pic:cNvPicPr/>
                  </pic:nvPicPr>
                  <pic:blipFill>
                    <a:blip r:embed="rId8"/>
                    <a:stretch>
                      <a:fillRect/>
                    </a:stretch>
                  </pic:blipFill>
                  <pic:spPr>
                    <a:xfrm>
                      <a:off x="0" y="0"/>
                      <a:ext cx="3162300" cy="1242060"/>
                    </a:xfrm>
                    <a:prstGeom prst="rect"/>
                  </pic:spPr>
                </pic:pic>
              </a:graphicData>
            </a:graphic>
          </wp:inline>
        </w:drawing>
      </w:r>
    </w:p>
    <w:p>
      <w:pPr>
        <w:jc w:val="center"/>
      </w:pPr>
    </w:p>
    <w:p>
      <w:pPr>
        <w:jc w:val="center"/>
      </w:pPr>
      <w:r>
        <w:rPr>
          <w:rFonts w:ascii="Calibri" w:hAnsi="Calibri" w:cs="Calibri"/>
          <w:b/>
          <w:sz w:val="56"/>
        </w:rPr>
        <w:t>Trabajo Final de Ingeniería</w:t>
      </w:r>
    </w:p>
    <w:p>
      <w:pPr>
        <w:jc w:val="center"/>
      </w:pPr>
    </w:p>
    <w:p>
      <w:pPr>
        <w:jc w:val="center"/>
      </w:pPr>
      <w:r>
        <w:rPr>
          <w:rFonts w:ascii="Calibri" w:hAnsi="Calibri" w:cs="Calibri"/>
          <w:sz w:val="56"/>
        </w:rPr>
        <w:t>Sistema de Mantenimiento predictivo de equipos informáticos</w:t>
      </w:r>
    </w:p>
    <w:p>
      <w:pPr>
        <w:jc w:val="center"/>
      </w:pPr>
    </w:p>
    <w:p>
      <w:pPr>
        <w:jc w:val="center"/>
      </w:pPr>
      <w:r>
        <w:rPr>
          <w:rFonts w:ascii="Calibri" w:hAnsi="Calibri" w:cs="Calibri"/>
          <w:sz w:val="40"/>
        </w:rPr>
        <w:t>Plan de negocio — Primera entrega parcial</w:t>
      </w:r>
    </w:p>
    <w:p>
      <w:pPr>
        <w:jc w:val="center"/>
      </w:pPr>
    </w:p>
    <w:p>
      <w:pPr>
        <w:jc w:val="center"/>
      </w:pPr>
    </w:p>
    <w:p>
      <w:pPr>
        <w:jc w:val="left"/>
      </w:pPr>
      <w:r>
        <w:rPr>
          <w:rFonts w:ascii="Calibri" w:hAnsi="Calibri" w:cs="Calibri"/>
          <w:b/>
          <w:sz w:val="28"/>
        </w:rPr>
        <w:t>Alumno:</w:t>
      </w:r>
      <w:r>
        <w:rPr>
          <w:rFonts w:ascii="Calibri" w:hAnsi="Calibri" w:cs="Calibri"/>
          <w:sz w:val="28"/>
        </w:rPr>
        <w:t xml:space="preserve"> Pettini Patricio Ezequiel</w:t>
      </w:r>
    </w:p>
    <w:p>
      <w:pPr>
        <w:jc w:val="left"/>
      </w:pPr>
      <w:r>
        <w:rPr>
          <w:rFonts w:ascii="Calibri" w:hAnsi="Calibri" w:cs="Calibri"/>
          <w:b/>
          <w:sz w:val="28"/>
        </w:rPr>
        <w:t>Localización:</w:t>
      </w:r>
      <w:r>
        <w:rPr>
          <w:rFonts w:ascii="Calibri" w:hAnsi="Calibri" w:cs="Calibri"/>
          <w:sz w:val="28"/>
        </w:rPr>
        <w:t xml:space="preserve"> Norte Boulogne</w:t>
      </w:r>
    </w:p>
    <w:p>
      <w:pPr>
        <w:jc w:val="left"/>
      </w:pPr>
      <w:r>
        <w:rPr>
          <w:rFonts w:ascii="Calibri" w:hAnsi="Calibri" w:cs="Calibri"/>
          <w:b/>
          <w:sz w:val="28"/>
        </w:rPr>
        <w:t>Profesores:</w:t>
      </w:r>
      <w:r>
        <w:rPr>
          <w:rFonts w:ascii="Calibri" w:hAnsi="Calibri" w:cs="Calibri"/>
          <w:sz w:val="28"/>
        </w:rPr>
        <w:t xml:space="preserve"> Romero Martín Miguel, Weingand Gastón Matías</w:t>
      </w:r>
    </w:p>
    <w:p>
      <w:pPr>
        <w:pStyle w:val="TtuloTDC"/>
        <w:pageBreakBefore/>
      </w:pPr>
      <w:r>
        <w:rPr>
          <w:rFonts w:ascii="Calibri" w:hAnsi="Calibri" w:cs="Calibri"/>
        </w:rPr>
        <w:t>Índice</w:t>
      </w:r>
    </w:p>
    <w:p>
      <w:r>
        <w:fldChar w:fldCharType="begin"/>
        <w:instrText w:space="preserve">TOC \o "1-3" \h \z \u</w:instrText>
        <w:fldChar w:fldCharType="separate"/>
      </w:r>
      <w:r>
        <w:rPr>
          <w:rFonts w:ascii="Calibri" w:hAnsi="Calibri" w:cs="Calibri"/>
          <w:sz w:val="20"/>
        </w:rPr>
        <w:t>El índice se completa al abrir el documento en Word.</w:t>
      </w:r>
      <w:r>
        <w:fldChar w:fldCharType="end"/>
      </w:r>
    </w:p>
    <w:p>
      <w:pPr>
        <w:spacing w:after="280"/>
        <w:jc w:val="center"/>
      </w:pPr>
      <w:r>
        <w:rPr>
          <w:rFonts w:ascii="Calibri" w:hAnsi="Calibri" w:cs="Calibri"/>
          <w:color w:val="595959"/>
          <w:sz w:val="20"/>
        </w:rPr>
        <w:t>PredictIT · Trabajo Final de Ingeniería · Patricio Pettini · B00072710-T1</w:t>
      </w:r>
    </w:p>
    <w:p>
      <w:pPr>
        <w:jc w:val="both"/>
      </w:pPr>
      <w:r>
        <w:rPr>
          <w:rFonts w:ascii="Calibri" w:hAnsi="Calibri" w:cs="Calibri"/>
        </w:rPr>
        <w:t>Esta entrega cubre los siete puntos pedidos: hipótesis, proyección de ventas con sus líneas de servicio, modelo de ingresos, modelo de egresos y las tres estructuras de costo —fijos, variables y de recursos humanos—.</w:t>
      </w:r>
    </w:p>
    <w:p>
      <w:pPr>
        <w:jc w:val="both"/>
      </w:pPr>
      <w:r>
        <w:rPr>
          <w:rFonts w:ascii="Calibri" w:hAnsi="Calibri" w:cs="Calibri"/>
        </w:rPr>
        <w:t xml:space="preserve">El documento explica y el libro de cálculo calcula. Ningún número de acá se escribe a mano dos veces: los que se cargan viven en el libro </w:t>
      </w:r>
      <w:r>
        <w:rPr>
          <w:rFonts w:ascii="Consolas" w:hAnsi="Consolas"/>
        </w:rPr>
        <w:t>Presupuesto financiero - Entrega 1.xlsx</w:t>
      </w:r>
      <w:r>
        <w:rPr>
          <w:rFonts w:ascii="Calibri" w:hAnsi="Calibri" w:cs="Calibri"/>
        </w:rPr>
        <w:t xml:space="preserve"> y todo lo demás sale de ellos por fórmula. Las tablas que siguen son las celdas de entrada, con su fuente.</w:t>
      </w:r>
    </w:p>
    <w:p>
      <w:pPr>
        <w:jc w:val="both"/>
      </w:pPr>
      <w:r>
        <w:rPr>
          <w:rFonts w:ascii="Calibri" w:hAnsi="Calibri" w:cs="Calibri"/>
        </w:rPr>
        <w:t xml:space="preserve">Al final se declara qué </w:t>
      </w:r>
      <w:r>
        <w:rPr>
          <w:rFonts w:ascii="Calibri" w:hAnsi="Calibri" w:cs="Calibri"/>
          <w:b/>
        </w:rPr>
        <w:t>no</w:t>
      </w:r>
      <w:r>
        <w:rPr>
          <w:rFonts w:ascii="Calibri" w:hAnsi="Calibri" w:cs="Calibri"/>
        </w:rPr>
        <w:t xml:space="preserve"> entra en esta entrega y en cuál va.</w:t>
      </w:r>
    </w:p>
    <w:p>
      <w:pPr>
        <w:pStyle w:val="Ttulo1"/>
        <w:pageBreakBefore/>
        <w:jc w:val="both"/>
      </w:pPr>
      <w:r>
        <w:rPr>
          <w:rFonts w:ascii="Calibri" w:hAnsi="Calibri" w:cs="Calibri"/>
        </w:rPr>
        <w:t>1. Hipótesis</w:t>
      </w:r>
    </w:p>
    <w:p>
      <w:pPr>
        <w:jc w:val="both"/>
      </w:pPr>
      <w:r>
        <w:rPr>
          <w:rFonts w:ascii="Calibri" w:hAnsi="Calibri" w:cs="Calibri"/>
        </w:rPr>
        <w:t>Cada variable lleva valor, fuente y justificación. Esa es la regla del libro y la razón de que las hipótesis vayan primero: si un número se puede discutir, tiene que estar en un solo lugar y con el motivo escrito al lado.</w:t>
      </w:r>
    </w:p>
    <w:p>
      <w:pPr>
        <w:jc w:val="both"/>
      </w:pPr>
      <w:r>
        <w:rPr>
          <w:rFonts w:ascii="Calibri" w:hAnsi="Calibri" w:cs="Calibri"/>
        </w:rPr>
        <w:t xml:space="preserve">Las filas marcadas </w:t>
      </w:r>
      <w:r>
        <w:rPr>
          <w:rFonts w:ascii="Calibri" w:hAnsi="Calibri" w:cs="Calibri"/>
          <w:b/>
        </w:rPr>
        <w:t>PROVISORIO</w:t>
      </w:r>
      <w:r>
        <w:rPr>
          <w:rFonts w:ascii="Calibri" w:hAnsi="Calibri" w:cs="Calibri"/>
        </w:rPr>
        <w:t xml:space="preserve"> están cargadas con un valor razonable para que el modelo corra, y hay que reemplazarlas por el dato citado antes de la entrega final. Están marcadas a propósito: un supuesto sin fuente que no se distingue de uno con fuente es peor que un casillero vacío.</w:t>
      </w:r>
    </w:p>
    <w:p>
      <w:pPr>
        <w:pStyle w:val="Ttulo2"/>
        <w:jc w:val="both"/>
      </w:pPr>
      <w:r>
        <w:rPr>
          <w:rFonts w:ascii="Calibri" w:hAnsi="Calibri" w:cs="Calibri"/>
        </w:rPr>
        <w:t>1.1. Supuestos macroeconómicos</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417"/>
        <w:gridCol w:w="1417"/>
        <w:gridCol w:w="1417"/>
        <w:gridCol w:w="1417"/>
        <w:gridCol w:w="1417"/>
        <w:gridCol w:w="1417"/>
      </w:tblGrid>
      <w:tr>
        <w:trPr>
          <w:tblHeader/>
        </w:trPr>
        <w:tc>
          <w:tcPr>
            <w:tcW w:type="dxa" w:w="2351"/>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Variable</w:t>
            </w:r>
          </w:p>
        </w:tc>
        <w:tc>
          <w:tcPr>
            <w:tcW w:type="dxa" w:w="892"/>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2027</w:t>
            </w:r>
          </w:p>
        </w:tc>
        <w:tc>
          <w:tcPr>
            <w:tcW w:type="dxa" w:w="892"/>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2028</w:t>
            </w:r>
          </w:p>
        </w:tc>
        <w:tc>
          <w:tcPr>
            <w:tcW w:type="dxa" w:w="892"/>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2029</w:t>
            </w:r>
          </w:p>
        </w:tc>
        <w:tc>
          <w:tcPr>
            <w:tcW w:type="dxa" w:w="892"/>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2030</w:t>
            </w:r>
          </w:p>
        </w:tc>
        <w:tc>
          <w:tcPr>
            <w:tcW w:type="dxa" w:w="2585"/>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Fuente</w:t>
            </w:r>
          </w:p>
        </w:tc>
      </w:tr>
      <w:tr>
        <w:tc>
          <w:tcPr>
            <w:tcW w:type="dxa" w:w="2351"/>
            <w:vAlign w:val="center"/>
            <w:tcMar>
              <w:top w:w="100" w:type="dxa"/>
              <w:left w:w="100" w:type="dxa"/>
              <w:bottom w:w="100" w:type="dxa"/>
              <w:right w:w="100" w:type="dxa"/>
            </w:tcMar>
          </w:tcPr>
          <w:p>
            <w:pPr>
              <w:spacing w:after="0" w:line="240" w:lineRule="auto"/>
              <w:jc w:val="left"/>
            </w:pPr>
            <w:r>
              <w:rPr>
                <w:rFonts w:ascii="Calibri" w:hAnsi="Calibri" w:cs="Calibri"/>
                <w:sz w:val="20"/>
              </w:rPr>
              <w:t>Inflación anual proyectada</w:t>
            </w:r>
          </w:p>
        </w:tc>
        <w:tc>
          <w:tcPr>
            <w:tcW w:type="dxa" w:w="892"/>
            <w:vAlign w:val="center"/>
            <w:tcMar>
              <w:top w:w="100" w:type="dxa"/>
              <w:left w:w="100" w:type="dxa"/>
              <w:bottom w:w="100" w:type="dxa"/>
              <w:right w:w="100" w:type="dxa"/>
            </w:tcMar>
          </w:tcPr>
          <w:p>
            <w:pPr>
              <w:spacing w:after="0" w:line="240" w:lineRule="auto"/>
              <w:jc w:val="right"/>
            </w:pPr>
            <w:r>
              <w:rPr>
                <w:rFonts w:ascii="Calibri" w:hAnsi="Calibri" w:cs="Calibri"/>
                <w:sz w:val="20"/>
              </w:rPr>
              <w:t>35 %</w:t>
            </w:r>
          </w:p>
        </w:tc>
        <w:tc>
          <w:tcPr>
            <w:tcW w:type="dxa" w:w="892"/>
            <w:vAlign w:val="center"/>
            <w:tcMar>
              <w:top w:w="100" w:type="dxa"/>
              <w:left w:w="100" w:type="dxa"/>
              <w:bottom w:w="100" w:type="dxa"/>
              <w:right w:w="100" w:type="dxa"/>
            </w:tcMar>
          </w:tcPr>
          <w:p>
            <w:pPr>
              <w:spacing w:after="0" w:line="240" w:lineRule="auto"/>
              <w:jc w:val="right"/>
            </w:pPr>
            <w:r>
              <w:rPr>
                <w:rFonts w:ascii="Calibri" w:hAnsi="Calibri" w:cs="Calibri"/>
                <w:sz w:val="20"/>
              </w:rPr>
              <w:t>25 %</w:t>
            </w:r>
          </w:p>
        </w:tc>
        <w:tc>
          <w:tcPr>
            <w:tcW w:type="dxa" w:w="892"/>
            <w:vAlign w:val="center"/>
            <w:tcMar>
              <w:top w:w="100" w:type="dxa"/>
              <w:left w:w="100" w:type="dxa"/>
              <w:bottom w:w="100" w:type="dxa"/>
              <w:right w:w="100" w:type="dxa"/>
            </w:tcMar>
          </w:tcPr>
          <w:p>
            <w:pPr>
              <w:spacing w:after="0" w:line="240" w:lineRule="auto"/>
              <w:jc w:val="right"/>
            </w:pPr>
            <w:r>
              <w:rPr>
                <w:rFonts w:ascii="Calibri" w:hAnsi="Calibri" w:cs="Calibri"/>
                <w:sz w:val="20"/>
              </w:rPr>
              <w:t>18 %</w:t>
            </w:r>
          </w:p>
        </w:tc>
        <w:tc>
          <w:tcPr>
            <w:tcW w:type="dxa" w:w="892"/>
            <w:vAlign w:val="center"/>
            <w:tcMar>
              <w:top w:w="100" w:type="dxa"/>
              <w:left w:w="100" w:type="dxa"/>
              <w:bottom w:w="100" w:type="dxa"/>
              <w:right w:w="100" w:type="dxa"/>
            </w:tcMar>
          </w:tcPr>
          <w:p>
            <w:pPr>
              <w:spacing w:after="0" w:line="240" w:lineRule="auto"/>
              <w:jc w:val="right"/>
            </w:pPr>
            <w:r>
              <w:rPr>
                <w:rFonts w:ascii="Calibri" w:hAnsi="Calibri" w:cs="Calibri"/>
                <w:sz w:val="20"/>
              </w:rPr>
              <w:t>15 %</w:t>
            </w:r>
          </w:p>
        </w:tc>
        <w:tc>
          <w:tcPr>
            <w:tcW w:type="dxa" w:w="2585"/>
            <w:vAlign w:val="center"/>
            <w:tcMar>
              <w:top w:w="100" w:type="dxa"/>
              <w:left w:w="100" w:type="dxa"/>
              <w:bottom w:w="100" w:type="dxa"/>
              <w:right w:w="100" w:type="dxa"/>
            </w:tcMar>
          </w:tcPr>
          <w:p>
            <w:pPr>
              <w:spacing w:after="0" w:line="240" w:lineRule="auto"/>
              <w:jc w:val="left"/>
            </w:pPr>
            <w:r>
              <w:rPr>
                <w:rFonts w:ascii="Calibri" w:hAnsi="Calibri" w:cs="Calibri"/>
                <w:sz w:val="20"/>
              </w:rPr>
              <w:t>PROVISORIO — REM del BCRA</w:t>
            </w:r>
          </w:p>
        </w:tc>
      </w:tr>
      <w:tr>
        <w:tc>
          <w:tcPr>
            <w:tcW w:type="dxa" w:w="2351"/>
            <w:vAlign w:val="center"/>
            <w:tcMar>
              <w:top w:w="100" w:type="dxa"/>
              <w:left w:w="100" w:type="dxa"/>
              <w:bottom w:w="100" w:type="dxa"/>
              <w:right w:w="100" w:type="dxa"/>
            </w:tcMar>
          </w:tcPr>
          <w:p>
            <w:pPr>
              <w:spacing w:after="0" w:line="240" w:lineRule="auto"/>
              <w:jc w:val="left"/>
            </w:pPr>
            <w:r>
              <w:rPr>
                <w:rFonts w:ascii="Calibri" w:hAnsi="Calibri" w:cs="Calibri"/>
                <w:sz w:val="20"/>
              </w:rPr>
              <w:t>Tipo de cambio promedio (ARS/USD)</w:t>
            </w:r>
          </w:p>
        </w:tc>
        <w:tc>
          <w:tcPr>
            <w:tcW w:type="dxa" w:w="892"/>
            <w:vAlign w:val="center"/>
            <w:tcMar>
              <w:top w:w="100" w:type="dxa"/>
              <w:left w:w="100" w:type="dxa"/>
              <w:bottom w:w="100" w:type="dxa"/>
              <w:right w:w="100" w:type="dxa"/>
            </w:tcMar>
          </w:tcPr>
          <w:p>
            <w:pPr>
              <w:spacing w:after="0" w:line="240" w:lineRule="auto"/>
              <w:jc w:val="right"/>
            </w:pPr>
            <w:r>
              <w:rPr>
                <w:rFonts w:ascii="Calibri" w:hAnsi="Calibri" w:cs="Calibri"/>
                <w:sz w:val="20"/>
              </w:rPr>
              <w:t>1.900</w:t>
            </w:r>
          </w:p>
        </w:tc>
        <w:tc>
          <w:tcPr>
            <w:tcW w:type="dxa" w:w="892"/>
            <w:vAlign w:val="center"/>
            <w:tcMar>
              <w:top w:w="100" w:type="dxa"/>
              <w:left w:w="100" w:type="dxa"/>
              <w:bottom w:w="100" w:type="dxa"/>
              <w:right w:w="100" w:type="dxa"/>
            </w:tcMar>
          </w:tcPr>
          <w:p>
            <w:pPr>
              <w:spacing w:after="0" w:line="240" w:lineRule="auto"/>
              <w:jc w:val="right"/>
            </w:pPr>
            <w:r>
              <w:rPr>
                <w:rFonts w:ascii="Calibri" w:hAnsi="Calibri" w:cs="Calibri"/>
                <w:sz w:val="20"/>
              </w:rPr>
              <w:t>2.350</w:t>
            </w:r>
          </w:p>
        </w:tc>
        <w:tc>
          <w:tcPr>
            <w:tcW w:type="dxa" w:w="892"/>
            <w:vAlign w:val="center"/>
            <w:tcMar>
              <w:top w:w="100" w:type="dxa"/>
              <w:left w:w="100" w:type="dxa"/>
              <w:bottom w:w="100" w:type="dxa"/>
              <w:right w:w="100" w:type="dxa"/>
            </w:tcMar>
          </w:tcPr>
          <w:p>
            <w:pPr>
              <w:spacing w:after="0" w:line="240" w:lineRule="auto"/>
              <w:jc w:val="right"/>
            </w:pPr>
            <w:r>
              <w:rPr>
                <w:rFonts w:ascii="Calibri" w:hAnsi="Calibri" w:cs="Calibri"/>
                <w:sz w:val="20"/>
              </w:rPr>
              <w:t>2.750</w:t>
            </w:r>
          </w:p>
        </w:tc>
        <w:tc>
          <w:tcPr>
            <w:tcW w:type="dxa" w:w="892"/>
            <w:vAlign w:val="center"/>
            <w:tcMar>
              <w:top w:w="100" w:type="dxa"/>
              <w:left w:w="100" w:type="dxa"/>
              <w:bottom w:w="100" w:type="dxa"/>
              <w:right w:w="100" w:type="dxa"/>
            </w:tcMar>
          </w:tcPr>
          <w:p>
            <w:pPr>
              <w:spacing w:after="0" w:line="240" w:lineRule="auto"/>
              <w:jc w:val="right"/>
            </w:pPr>
            <w:r>
              <w:rPr>
                <w:rFonts w:ascii="Calibri" w:hAnsi="Calibri" w:cs="Calibri"/>
                <w:sz w:val="20"/>
              </w:rPr>
              <w:t>3.150</w:t>
            </w:r>
          </w:p>
        </w:tc>
        <w:tc>
          <w:tcPr>
            <w:tcW w:type="dxa" w:w="2585"/>
            <w:vAlign w:val="center"/>
            <w:tcMar>
              <w:top w:w="100" w:type="dxa"/>
              <w:left w:w="100" w:type="dxa"/>
              <w:bottom w:w="100" w:type="dxa"/>
              <w:right w:w="100" w:type="dxa"/>
            </w:tcMar>
          </w:tcPr>
          <w:p>
            <w:pPr>
              <w:spacing w:after="0" w:line="240" w:lineRule="auto"/>
              <w:jc w:val="left"/>
            </w:pPr>
            <w:r>
              <w:rPr>
                <w:rFonts w:ascii="Calibri" w:hAnsi="Calibri" w:cs="Calibri"/>
                <w:sz w:val="20"/>
              </w:rPr>
              <w:t>PROVISORIO — REM del BCRA</w:t>
            </w:r>
          </w:p>
        </w:tc>
      </w:tr>
      <w:tr>
        <w:tc>
          <w:tcPr>
            <w:tcW w:type="dxa" w:w="2351"/>
            <w:vAlign w:val="center"/>
            <w:tcMar>
              <w:top w:w="100" w:type="dxa"/>
              <w:left w:w="100" w:type="dxa"/>
              <w:bottom w:w="100" w:type="dxa"/>
              <w:right w:w="100" w:type="dxa"/>
            </w:tcMar>
          </w:tcPr>
          <w:p>
            <w:pPr>
              <w:spacing w:after="0" w:line="240" w:lineRule="auto"/>
              <w:jc w:val="left"/>
            </w:pPr>
            <w:r>
              <w:rPr>
                <w:rFonts w:ascii="Calibri" w:hAnsi="Calibri" w:cs="Calibri"/>
                <w:sz w:val="20"/>
              </w:rPr>
              <w:t>Tasa de interés de referencia</w:t>
            </w:r>
          </w:p>
        </w:tc>
        <w:tc>
          <w:tcPr>
            <w:tcW w:type="dxa" w:w="892"/>
            <w:vAlign w:val="center"/>
            <w:tcMar>
              <w:top w:w="100" w:type="dxa"/>
              <w:left w:w="100" w:type="dxa"/>
              <w:bottom w:w="100" w:type="dxa"/>
              <w:right w:w="100" w:type="dxa"/>
            </w:tcMar>
          </w:tcPr>
          <w:p>
            <w:pPr>
              <w:spacing w:after="0" w:line="240" w:lineRule="auto"/>
              <w:jc w:val="right"/>
            </w:pPr>
            <w:r>
              <w:rPr>
                <w:rFonts w:ascii="Calibri" w:hAnsi="Calibri" w:cs="Calibri"/>
                <w:sz w:val="20"/>
              </w:rPr>
              <w:t>30 %</w:t>
            </w:r>
          </w:p>
        </w:tc>
        <w:tc>
          <w:tcPr>
            <w:tcW w:type="dxa" w:w="892"/>
            <w:vAlign w:val="center"/>
            <w:tcMar>
              <w:top w:w="100" w:type="dxa"/>
              <w:left w:w="100" w:type="dxa"/>
              <w:bottom w:w="100" w:type="dxa"/>
              <w:right w:w="100" w:type="dxa"/>
            </w:tcMar>
          </w:tcPr>
          <w:p>
            <w:pPr>
              <w:spacing w:after="0" w:line="240" w:lineRule="auto"/>
              <w:jc w:val="right"/>
            </w:pPr>
            <w:r>
              <w:rPr>
                <w:rFonts w:ascii="Calibri" w:hAnsi="Calibri" w:cs="Calibri"/>
                <w:sz w:val="20"/>
              </w:rPr>
              <w:t>22 %</w:t>
            </w:r>
          </w:p>
        </w:tc>
        <w:tc>
          <w:tcPr>
            <w:tcW w:type="dxa" w:w="892"/>
            <w:vAlign w:val="center"/>
            <w:tcMar>
              <w:top w:w="100" w:type="dxa"/>
              <w:left w:w="100" w:type="dxa"/>
              <w:bottom w:w="100" w:type="dxa"/>
              <w:right w:w="100" w:type="dxa"/>
            </w:tcMar>
          </w:tcPr>
          <w:p>
            <w:pPr>
              <w:spacing w:after="0" w:line="240" w:lineRule="auto"/>
              <w:jc w:val="right"/>
            </w:pPr>
            <w:r>
              <w:rPr>
                <w:rFonts w:ascii="Calibri" w:hAnsi="Calibri" w:cs="Calibri"/>
                <w:sz w:val="20"/>
              </w:rPr>
              <w:t>17 %</w:t>
            </w:r>
          </w:p>
        </w:tc>
        <w:tc>
          <w:tcPr>
            <w:tcW w:type="dxa" w:w="892"/>
            <w:vAlign w:val="center"/>
            <w:tcMar>
              <w:top w:w="100" w:type="dxa"/>
              <w:left w:w="100" w:type="dxa"/>
              <w:bottom w:w="100" w:type="dxa"/>
              <w:right w:w="100" w:type="dxa"/>
            </w:tcMar>
          </w:tcPr>
          <w:p>
            <w:pPr>
              <w:spacing w:after="0" w:line="240" w:lineRule="auto"/>
              <w:jc w:val="right"/>
            </w:pPr>
            <w:r>
              <w:rPr>
                <w:rFonts w:ascii="Calibri" w:hAnsi="Calibri" w:cs="Calibri"/>
                <w:sz w:val="20"/>
              </w:rPr>
              <w:t>14 %</w:t>
            </w:r>
          </w:p>
        </w:tc>
        <w:tc>
          <w:tcPr>
            <w:tcW w:type="dxa" w:w="2585"/>
            <w:vAlign w:val="center"/>
            <w:tcMar>
              <w:top w:w="100" w:type="dxa"/>
              <w:left w:w="100" w:type="dxa"/>
              <w:bottom w:w="100" w:type="dxa"/>
              <w:right w:w="100" w:type="dxa"/>
            </w:tcMar>
          </w:tcPr>
          <w:p>
            <w:pPr>
              <w:spacing w:after="0" w:line="240" w:lineRule="auto"/>
              <w:jc w:val="left"/>
            </w:pPr>
            <w:r>
              <w:rPr>
                <w:rFonts w:ascii="Calibri" w:hAnsi="Calibri" w:cs="Calibri"/>
                <w:sz w:val="20"/>
              </w:rPr>
              <w:t>PROVISORIO — política monetaria del BCRA</w:t>
            </w:r>
          </w:p>
        </w:tc>
      </w:tr>
      <w:tr>
        <w:tc>
          <w:tcPr>
            <w:tcW w:type="dxa" w:w="2351"/>
            <w:vAlign w:val="center"/>
            <w:tcMar>
              <w:top w:w="100" w:type="dxa"/>
              <w:left w:w="100" w:type="dxa"/>
              <w:bottom w:w="100" w:type="dxa"/>
              <w:right w:w="100" w:type="dxa"/>
            </w:tcMar>
          </w:tcPr>
          <w:p>
            <w:pPr>
              <w:spacing w:after="0" w:line="240" w:lineRule="auto"/>
              <w:jc w:val="left"/>
            </w:pPr>
            <w:r>
              <w:rPr>
                <w:rFonts w:ascii="Calibri" w:hAnsi="Calibri" w:cs="Calibri"/>
                <w:sz w:val="20"/>
              </w:rPr>
              <w:t>Aumento anual de precios de lista</w:t>
            </w:r>
          </w:p>
        </w:tc>
        <w:tc>
          <w:tcPr>
            <w:tcW w:type="dxa" w:w="892"/>
            <w:vAlign w:val="center"/>
            <w:tcMar>
              <w:top w:w="100" w:type="dxa"/>
              <w:left w:w="100" w:type="dxa"/>
              <w:bottom w:w="100" w:type="dxa"/>
              <w:right w:w="100" w:type="dxa"/>
            </w:tcMar>
          </w:tcPr>
          <w:p>
            <w:pPr>
              <w:spacing w:after="0" w:line="240" w:lineRule="auto"/>
              <w:jc w:val="right"/>
            </w:pPr>
            <w:r>
              <w:rPr>
                <w:rFonts w:ascii="Calibri" w:hAnsi="Calibri" w:cs="Calibri"/>
                <w:sz w:val="20"/>
              </w:rPr>
              <w:t>38 %</w:t>
            </w:r>
          </w:p>
        </w:tc>
        <w:tc>
          <w:tcPr>
            <w:tcW w:type="dxa" w:w="892"/>
            <w:vAlign w:val="center"/>
            <w:tcMar>
              <w:top w:w="100" w:type="dxa"/>
              <w:left w:w="100" w:type="dxa"/>
              <w:bottom w:w="100" w:type="dxa"/>
              <w:right w:w="100" w:type="dxa"/>
            </w:tcMar>
          </w:tcPr>
          <w:p>
            <w:pPr>
              <w:spacing w:after="0" w:line="240" w:lineRule="auto"/>
              <w:jc w:val="right"/>
            </w:pPr>
            <w:r>
              <w:rPr>
                <w:rFonts w:ascii="Calibri" w:hAnsi="Calibri" w:cs="Calibri"/>
                <w:sz w:val="20"/>
              </w:rPr>
              <w:t>27 %</w:t>
            </w:r>
          </w:p>
        </w:tc>
        <w:tc>
          <w:tcPr>
            <w:tcW w:type="dxa" w:w="892"/>
            <w:vAlign w:val="center"/>
            <w:tcMar>
              <w:top w:w="100" w:type="dxa"/>
              <w:left w:w="100" w:type="dxa"/>
              <w:bottom w:w="100" w:type="dxa"/>
              <w:right w:w="100" w:type="dxa"/>
            </w:tcMar>
          </w:tcPr>
          <w:p>
            <w:pPr>
              <w:spacing w:after="0" w:line="240" w:lineRule="auto"/>
              <w:jc w:val="right"/>
            </w:pPr>
            <w:r>
              <w:rPr>
                <w:rFonts w:ascii="Calibri" w:hAnsi="Calibri" w:cs="Calibri"/>
                <w:sz w:val="20"/>
              </w:rPr>
              <w:t>20 %</w:t>
            </w:r>
          </w:p>
        </w:tc>
        <w:tc>
          <w:tcPr>
            <w:tcW w:type="dxa" w:w="892"/>
            <w:vAlign w:val="center"/>
            <w:tcMar>
              <w:top w:w="100" w:type="dxa"/>
              <w:left w:w="100" w:type="dxa"/>
              <w:bottom w:w="100" w:type="dxa"/>
              <w:right w:w="100" w:type="dxa"/>
            </w:tcMar>
          </w:tcPr>
          <w:p>
            <w:pPr>
              <w:spacing w:after="0" w:line="240" w:lineRule="auto"/>
              <w:jc w:val="right"/>
            </w:pPr>
            <w:r>
              <w:rPr>
                <w:rFonts w:ascii="Calibri" w:hAnsi="Calibri" w:cs="Calibri"/>
                <w:sz w:val="20"/>
              </w:rPr>
              <w:t>16 %</w:t>
            </w:r>
          </w:p>
        </w:tc>
        <w:tc>
          <w:tcPr>
            <w:tcW w:type="dxa" w:w="2585"/>
            <w:vAlign w:val="center"/>
            <w:tcMar>
              <w:top w:w="100" w:type="dxa"/>
              <w:left w:w="100" w:type="dxa"/>
              <w:bottom w:w="100" w:type="dxa"/>
              <w:right w:w="100" w:type="dxa"/>
            </w:tcMar>
          </w:tcPr>
          <w:p>
            <w:pPr>
              <w:spacing w:after="0" w:line="240" w:lineRule="auto"/>
              <w:jc w:val="left"/>
            </w:pPr>
            <w:r>
              <w:rPr>
                <w:rFonts w:ascii="Calibri" w:hAnsi="Calibri" w:cs="Calibri"/>
                <w:sz w:val="20"/>
              </w:rPr>
              <w:t>Política propia: revisión trimestral</w:t>
            </w:r>
          </w:p>
        </w:tc>
      </w:tr>
      <w:tr>
        <w:tc>
          <w:tcPr>
            <w:tcW w:type="dxa" w:w="2351"/>
            <w:vAlign w:val="center"/>
            <w:tcMar>
              <w:top w:w="100" w:type="dxa"/>
              <w:left w:w="100" w:type="dxa"/>
              <w:bottom w:w="100" w:type="dxa"/>
              <w:right w:w="100" w:type="dxa"/>
            </w:tcMar>
          </w:tcPr>
          <w:p>
            <w:pPr>
              <w:spacing w:after="0" w:line="240" w:lineRule="auto"/>
              <w:jc w:val="left"/>
            </w:pPr>
            <w:r>
              <w:rPr>
                <w:rFonts w:ascii="Calibri" w:hAnsi="Calibri" w:cs="Calibri"/>
                <w:sz w:val="20"/>
              </w:rPr>
              <w:t>Aumento anual de salarios</w:t>
            </w:r>
          </w:p>
        </w:tc>
        <w:tc>
          <w:tcPr>
            <w:tcW w:type="dxa" w:w="892"/>
            <w:vAlign w:val="center"/>
            <w:tcMar>
              <w:top w:w="100" w:type="dxa"/>
              <w:left w:w="100" w:type="dxa"/>
              <w:bottom w:w="100" w:type="dxa"/>
              <w:right w:w="100" w:type="dxa"/>
            </w:tcMar>
          </w:tcPr>
          <w:p>
            <w:pPr>
              <w:spacing w:after="0" w:line="240" w:lineRule="auto"/>
              <w:jc w:val="right"/>
            </w:pPr>
            <w:r>
              <w:rPr>
                <w:rFonts w:ascii="Calibri" w:hAnsi="Calibri" w:cs="Calibri"/>
                <w:sz w:val="20"/>
              </w:rPr>
              <w:t>40 %</w:t>
            </w:r>
          </w:p>
        </w:tc>
        <w:tc>
          <w:tcPr>
            <w:tcW w:type="dxa" w:w="892"/>
            <w:vAlign w:val="center"/>
            <w:tcMar>
              <w:top w:w="100" w:type="dxa"/>
              <w:left w:w="100" w:type="dxa"/>
              <w:bottom w:w="100" w:type="dxa"/>
              <w:right w:w="100" w:type="dxa"/>
            </w:tcMar>
          </w:tcPr>
          <w:p>
            <w:pPr>
              <w:spacing w:after="0" w:line="240" w:lineRule="auto"/>
              <w:jc w:val="right"/>
            </w:pPr>
            <w:r>
              <w:rPr>
                <w:rFonts w:ascii="Calibri" w:hAnsi="Calibri" w:cs="Calibri"/>
                <w:sz w:val="20"/>
              </w:rPr>
              <w:t>30 %</w:t>
            </w:r>
          </w:p>
        </w:tc>
        <w:tc>
          <w:tcPr>
            <w:tcW w:type="dxa" w:w="892"/>
            <w:vAlign w:val="center"/>
            <w:tcMar>
              <w:top w:w="100" w:type="dxa"/>
              <w:left w:w="100" w:type="dxa"/>
              <w:bottom w:w="100" w:type="dxa"/>
              <w:right w:w="100" w:type="dxa"/>
            </w:tcMar>
          </w:tcPr>
          <w:p>
            <w:pPr>
              <w:spacing w:after="0" w:line="240" w:lineRule="auto"/>
              <w:jc w:val="right"/>
            </w:pPr>
            <w:r>
              <w:rPr>
                <w:rFonts w:ascii="Calibri" w:hAnsi="Calibri" w:cs="Calibri"/>
                <w:sz w:val="20"/>
              </w:rPr>
              <w:t>22 %</w:t>
            </w:r>
          </w:p>
        </w:tc>
        <w:tc>
          <w:tcPr>
            <w:tcW w:type="dxa" w:w="892"/>
            <w:vAlign w:val="center"/>
            <w:tcMar>
              <w:top w:w="100" w:type="dxa"/>
              <w:left w:w="100" w:type="dxa"/>
              <w:bottom w:w="100" w:type="dxa"/>
              <w:right w:w="100" w:type="dxa"/>
            </w:tcMar>
          </w:tcPr>
          <w:p>
            <w:pPr>
              <w:spacing w:after="0" w:line="240" w:lineRule="auto"/>
              <w:jc w:val="right"/>
            </w:pPr>
            <w:r>
              <w:rPr>
                <w:rFonts w:ascii="Calibri" w:hAnsi="Calibri" w:cs="Calibri"/>
                <w:sz w:val="20"/>
              </w:rPr>
              <w:t>18 %</w:t>
            </w:r>
          </w:p>
        </w:tc>
        <w:tc>
          <w:tcPr>
            <w:tcW w:type="dxa" w:w="2585"/>
            <w:vAlign w:val="center"/>
            <w:tcMar>
              <w:top w:w="100" w:type="dxa"/>
              <w:left w:w="100" w:type="dxa"/>
              <w:bottom w:w="100" w:type="dxa"/>
              <w:right w:w="100" w:type="dxa"/>
            </w:tcMar>
          </w:tcPr>
          <w:p>
            <w:pPr>
              <w:spacing w:after="0" w:line="240" w:lineRule="auto"/>
              <w:jc w:val="left"/>
            </w:pPr>
            <w:r>
              <w:rPr>
                <w:rFonts w:ascii="Calibri" w:hAnsi="Calibri" w:cs="Calibri"/>
                <w:sz w:val="20"/>
              </w:rPr>
              <w:t>Paritarias del sector</w:t>
            </w:r>
          </w:p>
        </w:tc>
      </w:tr>
    </w:tbl>
    <w:p>
      <w:pPr>
        <w:jc w:val="both"/>
      </w:pPr>
      <w:r>
        <w:rPr>
          <w:rFonts w:ascii="Calibri" w:hAnsi="Calibri" w:cs="Calibri"/>
        </w:rPr>
        <w:t>El tipo de cambio no es decorativo: la infraestructura en la nube y el servicio externo de inteligencia artificial se pagan en dólares, así que entra en el costo variable de las tres líneas.</w:t>
      </w:r>
    </w:p>
    <w:p>
      <w:pPr>
        <w:jc w:val="both"/>
      </w:pPr>
      <w:r>
        <w:rPr>
          <w:rFonts w:ascii="Calibri" w:hAnsi="Calibri" w:cs="Calibri"/>
        </w:rPr>
        <w:t>El aumento de precios va deliberadamente por encima de la inflación proyectada y el de salarios por encima de los dos. Es el supuesto que más aprieta el margen a partir del tercer año, cuando los cuatro roles funcionales pasan a estar cubiertos por personas distintas.</w:t>
      </w:r>
    </w:p>
    <w:p>
      <w:pPr>
        <w:pStyle w:val="Ttulo2"/>
        <w:jc w:val="both"/>
      </w:pPr>
      <w:r>
        <w:rPr>
          <w:rFonts w:ascii="Calibri" w:hAnsi="Calibri" w:cs="Calibri"/>
        </w:rPr>
        <w:t>1.2. Mercado meta</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835"/>
        <w:gridCol w:w="2835"/>
        <w:gridCol w:w="2835"/>
      </w:tblGrid>
      <w:tr>
        <w:trPr>
          <w:tblHeader/>
        </w:trPr>
        <w:tc>
          <w:tcPr>
            <w:tcW w:type="dxa" w:w="3176"/>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Variable</w:t>
            </w:r>
          </w:p>
        </w:tc>
        <w:tc>
          <w:tcPr>
            <w:tcW w:type="dxa" w:w="1045"/>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Valor</w:t>
            </w:r>
          </w:p>
        </w:tc>
        <w:tc>
          <w:tcPr>
            <w:tcW w:type="dxa" w:w="4283"/>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Fuente</w:t>
            </w:r>
          </w:p>
        </w:tc>
      </w:tr>
      <w:tr>
        <w:tc>
          <w:tcPr>
            <w:tcW w:type="dxa" w:w="3176"/>
            <w:vAlign w:val="center"/>
            <w:tcMar>
              <w:top w:w="100" w:type="dxa"/>
              <w:left w:w="100" w:type="dxa"/>
              <w:bottom w:w="100" w:type="dxa"/>
              <w:right w:w="100" w:type="dxa"/>
            </w:tcMar>
          </w:tcPr>
          <w:p>
            <w:pPr>
              <w:spacing w:after="0" w:line="240" w:lineRule="auto"/>
              <w:jc w:val="left"/>
            </w:pPr>
            <w:r>
              <w:rPr>
                <w:rFonts w:ascii="Calibri" w:hAnsi="Calibri" w:cs="Calibri"/>
                <w:sz w:val="20"/>
              </w:rPr>
              <w:t>PyMEs de 5 a 50 empleados en AMBA</w:t>
            </w:r>
          </w:p>
        </w:tc>
        <w:tc>
          <w:tcPr>
            <w:tcW w:type="dxa" w:w="1045"/>
            <w:vAlign w:val="center"/>
            <w:tcMar>
              <w:top w:w="100" w:type="dxa"/>
              <w:left w:w="100" w:type="dxa"/>
              <w:bottom w:w="100" w:type="dxa"/>
              <w:right w:w="100" w:type="dxa"/>
            </w:tcMar>
          </w:tcPr>
          <w:p>
            <w:pPr>
              <w:spacing w:after="0" w:line="240" w:lineRule="auto"/>
              <w:jc w:val="right"/>
            </w:pPr>
            <w:r>
              <w:rPr>
                <w:rFonts w:ascii="Calibri" w:hAnsi="Calibri" w:cs="Calibri"/>
                <w:sz w:val="20"/>
              </w:rPr>
              <w:t>72.000</w:t>
            </w:r>
          </w:p>
        </w:tc>
        <w:tc>
          <w:tcPr>
            <w:tcW w:type="dxa" w:w="4283"/>
            <w:vAlign w:val="center"/>
            <w:tcMar>
              <w:top w:w="100" w:type="dxa"/>
              <w:left w:w="100" w:type="dxa"/>
              <w:bottom w:w="100" w:type="dxa"/>
              <w:right w:w="100" w:type="dxa"/>
            </w:tcMar>
          </w:tcPr>
          <w:p>
            <w:pPr>
              <w:spacing w:after="0" w:line="240" w:lineRule="auto"/>
              <w:jc w:val="left"/>
            </w:pPr>
            <w:r>
              <w:rPr>
                <w:rFonts w:ascii="Calibri" w:hAnsi="Calibri" w:cs="Calibri"/>
                <w:sz w:val="20"/>
              </w:rPr>
              <w:t>PROVISORIO — Fundación Observatorio PyME / censo</w:t>
            </w:r>
          </w:p>
        </w:tc>
      </w:tr>
      <w:tr>
        <w:tc>
          <w:tcPr>
            <w:tcW w:type="dxa" w:w="3176"/>
            <w:vAlign w:val="center"/>
            <w:tcMar>
              <w:top w:w="100" w:type="dxa"/>
              <w:left w:w="100" w:type="dxa"/>
              <w:bottom w:w="100" w:type="dxa"/>
              <w:right w:w="100" w:type="dxa"/>
            </w:tcMar>
          </w:tcPr>
          <w:p>
            <w:pPr>
              <w:spacing w:after="0" w:line="240" w:lineRule="auto"/>
              <w:jc w:val="left"/>
            </w:pPr>
            <w:r>
              <w:rPr>
                <w:rFonts w:ascii="Calibri" w:hAnsi="Calibri" w:cs="Calibri"/>
                <w:sz w:val="20"/>
              </w:rPr>
              <w:t>Con dependencia operativa alta de sus equipos</w:t>
            </w:r>
          </w:p>
        </w:tc>
        <w:tc>
          <w:tcPr>
            <w:tcW w:type="dxa" w:w="1045"/>
            <w:vAlign w:val="center"/>
            <w:tcMar>
              <w:top w:w="100" w:type="dxa"/>
              <w:left w:w="100" w:type="dxa"/>
              <w:bottom w:w="100" w:type="dxa"/>
              <w:right w:w="100" w:type="dxa"/>
            </w:tcMar>
          </w:tcPr>
          <w:p>
            <w:pPr>
              <w:spacing w:after="0" w:line="240" w:lineRule="auto"/>
              <w:jc w:val="right"/>
            </w:pPr>
            <w:r>
              <w:rPr>
                <w:rFonts w:ascii="Calibri" w:hAnsi="Calibri" w:cs="Calibri"/>
                <w:sz w:val="20"/>
              </w:rPr>
              <w:t>32 %</w:t>
            </w:r>
          </w:p>
        </w:tc>
        <w:tc>
          <w:tcPr>
            <w:tcW w:type="dxa" w:w="4283"/>
            <w:vAlign w:val="center"/>
            <w:tcMar>
              <w:top w:w="100" w:type="dxa"/>
              <w:left w:w="100" w:type="dxa"/>
              <w:bottom w:w="100" w:type="dxa"/>
              <w:right w:w="100" w:type="dxa"/>
            </w:tcMar>
          </w:tcPr>
          <w:p>
            <w:pPr>
              <w:spacing w:after="0" w:line="240" w:lineRule="auto"/>
              <w:jc w:val="left"/>
            </w:pPr>
            <w:r>
              <w:rPr>
                <w:rFonts w:ascii="Calibri" w:hAnsi="Calibri" w:cs="Calibri"/>
                <w:sz w:val="20"/>
              </w:rPr>
              <w:t>Servicios profesionales, salud, educación privada y comercio digitalizado</w:t>
            </w:r>
          </w:p>
        </w:tc>
      </w:tr>
      <w:tr>
        <w:tc>
          <w:tcPr>
            <w:tcW w:type="dxa" w:w="3176"/>
            <w:vAlign w:val="center"/>
            <w:tcMar>
              <w:top w:w="100" w:type="dxa"/>
              <w:left w:w="100" w:type="dxa"/>
              <w:bottom w:w="100" w:type="dxa"/>
              <w:right w:w="100" w:type="dxa"/>
            </w:tcMar>
          </w:tcPr>
          <w:p>
            <w:pPr>
              <w:spacing w:after="0" w:line="240" w:lineRule="auto"/>
              <w:jc w:val="left"/>
            </w:pPr>
            <w:r>
              <w:rPr>
                <w:rFonts w:ascii="Calibri" w:hAnsi="Calibri" w:cs="Calibri"/>
                <w:sz w:val="20"/>
              </w:rPr>
              <w:t>Participación objetivo al año 4</w:t>
            </w:r>
          </w:p>
        </w:tc>
        <w:tc>
          <w:tcPr>
            <w:tcW w:type="dxa" w:w="1045"/>
            <w:vAlign w:val="center"/>
            <w:tcMar>
              <w:top w:w="100" w:type="dxa"/>
              <w:left w:w="100" w:type="dxa"/>
              <w:bottom w:w="100" w:type="dxa"/>
              <w:right w:w="100" w:type="dxa"/>
            </w:tcMar>
          </w:tcPr>
          <w:p>
            <w:pPr>
              <w:spacing w:after="0" w:line="240" w:lineRule="auto"/>
              <w:jc w:val="right"/>
            </w:pPr>
            <w:r>
              <w:rPr>
                <w:rFonts w:ascii="Calibri" w:hAnsi="Calibri" w:cs="Calibri"/>
                <w:sz w:val="20"/>
              </w:rPr>
              <w:t>1,1 %</w:t>
            </w:r>
          </w:p>
        </w:tc>
        <w:tc>
          <w:tcPr>
            <w:tcW w:type="dxa" w:w="4283"/>
            <w:vAlign w:val="center"/>
            <w:tcMar>
              <w:top w:w="100" w:type="dxa"/>
              <w:left w:w="100" w:type="dxa"/>
              <w:bottom w:w="100" w:type="dxa"/>
              <w:right w:w="100" w:type="dxa"/>
            </w:tcMar>
          </w:tcPr>
          <w:p>
            <w:pPr>
              <w:spacing w:after="0" w:line="240" w:lineRule="auto"/>
              <w:jc w:val="left"/>
            </w:pPr>
            <w:r>
              <w:rPr>
                <w:rFonts w:ascii="Calibri" w:hAnsi="Calibri" w:cs="Calibri"/>
                <w:sz w:val="20"/>
              </w:rPr>
              <w:t>Objetivo propio</w:t>
            </w:r>
          </w:p>
        </w:tc>
      </w:tr>
    </w:tbl>
    <w:p>
      <w:pPr>
        <w:jc w:val="both"/>
      </w:pPr>
      <w:r>
        <w:rPr>
          <w:rFonts w:ascii="Calibri" w:hAnsi="Calibri" w:cs="Calibri"/>
        </w:rPr>
        <w:t>El mercado meta alcanzable se calcula, no se carga. La participación objetivo del 1,1 % es la que hay que contrastar contra el punto de equilibrio: si el número de clientes que hace falta para cubrir la estructura queda por encima de la participación que el plan proyecta alcanzar, el modelo no cierra y hay que decirlo.</w:t>
      </w:r>
    </w:p>
    <w:p>
      <w:pPr>
        <w:pStyle w:val="Ttulo2"/>
        <w:jc w:val="both"/>
      </w:pPr>
      <w:r>
        <w:rPr>
          <w:rFonts w:ascii="Calibri" w:hAnsi="Calibri" w:cs="Calibri"/>
        </w:rPr>
        <w:t>1.3. Embudo comercial</w:t>
      </w:r>
    </w:p>
    <w:p>
      <w:pPr>
        <w:jc w:val="both"/>
      </w:pPr>
      <w:r>
        <w:rPr>
          <w:rFonts w:ascii="Calibri" w:hAnsi="Calibri" w:cs="Calibri"/>
        </w:rPr>
        <w:t>Las tasas salen de la sección 5.3.5 del documento principal, tomando el punto medio de cada rango.</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835"/>
        <w:gridCol w:w="2835"/>
        <w:gridCol w:w="2835"/>
      </w:tblGrid>
      <w:tr>
        <w:trPr>
          <w:tblHeader/>
        </w:trPr>
        <w:tc>
          <w:tcPr>
            <w:tcW w:type="dxa" w:w="3802"/>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Etapa</w:t>
            </w:r>
          </w:p>
        </w:tc>
        <w:tc>
          <w:tcPr>
            <w:tcW w:type="dxa" w:w="1207"/>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Tasa</w:t>
            </w:r>
          </w:p>
        </w:tc>
        <w:tc>
          <w:tcPr>
            <w:tcW w:type="dxa" w:w="3494"/>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Rango del documento</w:t>
            </w:r>
          </w:p>
        </w:tc>
      </w:tr>
      <w:tr>
        <w:tc>
          <w:tcPr>
            <w:tcW w:type="dxa" w:w="3802"/>
            <w:vAlign w:val="center"/>
            <w:tcMar>
              <w:top w:w="100" w:type="dxa"/>
              <w:left w:w="100" w:type="dxa"/>
              <w:bottom w:w="100" w:type="dxa"/>
              <w:right w:w="100" w:type="dxa"/>
            </w:tcMar>
          </w:tcPr>
          <w:p>
            <w:pPr>
              <w:spacing w:after="0" w:line="240" w:lineRule="auto"/>
              <w:jc w:val="left"/>
            </w:pPr>
            <w:r>
              <w:rPr>
                <w:rFonts w:ascii="Calibri" w:hAnsi="Calibri" w:cs="Calibri"/>
                <w:sz w:val="20"/>
              </w:rPr>
              <w:t>Visitas → leads</w:t>
            </w:r>
          </w:p>
        </w:tc>
        <w:tc>
          <w:tcPr>
            <w:tcW w:type="dxa" w:w="1207"/>
            <w:vAlign w:val="center"/>
            <w:tcMar>
              <w:top w:w="100" w:type="dxa"/>
              <w:left w:w="100" w:type="dxa"/>
              <w:bottom w:w="100" w:type="dxa"/>
              <w:right w:w="100" w:type="dxa"/>
            </w:tcMar>
          </w:tcPr>
          <w:p>
            <w:pPr>
              <w:spacing w:after="0" w:line="240" w:lineRule="auto"/>
              <w:jc w:val="right"/>
            </w:pPr>
            <w:r>
              <w:rPr>
                <w:rFonts w:ascii="Calibri" w:hAnsi="Calibri" w:cs="Calibri"/>
                <w:sz w:val="20"/>
              </w:rPr>
              <w:t>4 %</w:t>
            </w:r>
          </w:p>
        </w:tc>
        <w:tc>
          <w:tcPr>
            <w:tcW w:type="dxa" w:w="3494"/>
            <w:vAlign w:val="center"/>
            <w:tcMar>
              <w:top w:w="100" w:type="dxa"/>
              <w:left w:w="100" w:type="dxa"/>
              <w:bottom w:w="100" w:type="dxa"/>
              <w:right w:w="100" w:type="dxa"/>
            </w:tcMar>
          </w:tcPr>
          <w:p>
            <w:pPr>
              <w:spacing w:after="0" w:line="240" w:lineRule="auto"/>
              <w:jc w:val="left"/>
            </w:pPr>
            <w:r>
              <w:rPr>
                <w:rFonts w:ascii="Calibri" w:hAnsi="Calibri" w:cs="Calibri"/>
                <w:sz w:val="20"/>
              </w:rPr>
              <w:t>3 % a 5 %</w:t>
            </w:r>
          </w:p>
        </w:tc>
      </w:tr>
      <w:tr>
        <w:tc>
          <w:tcPr>
            <w:tcW w:type="dxa" w:w="3802"/>
            <w:vAlign w:val="center"/>
            <w:tcMar>
              <w:top w:w="100" w:type="dxa"/>
              <w:left w:w="100" w:type="dxa"/>
              <w:bottom w:w="100" w:type="dxa"/>
              <w:right w:w="100" w:type="dxa"/>
            </w:tcMar>
          </w:tcPr>
          <w:p>
            <w:pPr>
              <w:spacing w:after="0" w:line="240" w:lineRule="auto"/>
              <w:jc w:val="left"/>
            </w:pPr>
            <w:r>
              <w:rPr>
                <w:rFonts w:ascii="Calibri" w:hAnsi="Calibri" w:cs="Calibri"/>
                <w:sz w:val="20"/>
              </w:rPr>
              <w:t>Leads → demos calificadas</w:t>
            </w:r>
          </w:p>
        </w:tc>
        <w:tc>
          <w:tcPr>
            <w:tcW w:type="dxa" w:w="1207"/>
            <w:vAlign w:val="center"/>
            <w:tcMar>
              <w:top w:w="100" w:type="dxa"/>
              <w:left w:w="100" w:type="dxa"/>
              <w:bottom w:w="100" w:type="dxa"/>
              <w:right w:w="100" w:type="dxa"/>
            </w:tcMar>
          </w:tcPr>
          <w:p>
            <w:pPr>
              <w:spacing w:after="0" w:line="240" w:lineRule="auto"/>
              <w:jc w:val="right"/>
            </w:pPr>
            <w:r>
              <w:rPr>
                <w:rFonts w:ascii="Calibri" w:hAnsi="Calibri" w:cs="Calibri"/>
                <w:sz w:val="20"/>
              </w:rPr>
              <w:t>40 %</w:t>
            </w:r>
          </w:p>
        </w:tc>
        <w:tc>
          <w:tcPr>
            <w:tcW w:type="dxa" w:w="3494"/>
            <w:vAlign w:val="center"/>
            <w:tcMar>
              <w:top w:w="100" w:type="dxa"/>
              <w:left w:w="100" w:type="dxa"/>
              <w:bottom w:w="100" w:type="dxa"/>
              <w:right w:w="100" w:type="dxa"/>
            </w:tcMar>
          </w:tcPr>
          <w:p>
            <w:pPr>
              <w:spacing w:after="0" w:line="240" w:lineRule="auto"/>
              <w:jc w:val="left"/>
            </w:pPr>
            <w:r>
              <w:rPr>
                <w:rFonts w:ascii="Calibri" w:hAnsi="Calibri" w:cs="Calibri"/>
                <w:sz w:val="20"/>
              </w:rPr>
              <w:t>35 % a 45 %</w:t>
            </w:r>
          </w:p>
        </w:tc>
      </w:tr>
      <w:tr>
        <w:tc>
          <w:tcPr>
            <w:tcW w:type="dxa" w:w="3802"/>
            <w:vAlign w:val="center"/>
            <w:tcMar>
              <w:top w:w="100" w:type="dxa"/>
              <w:left w:w="100" w:type="dxa"/>
              <w:bottom w:w="100" w:type="dxa"/>
              <w:right w:w="100" w:type="dxa"/>
            </w:tcMar>
          </w:tcPr>
          <w:p>
            <w:pPr>
              <w:spacing w:after="0" w:line="240" w:lineRule="auto"/>
              <w:jc w:val="left"/>
            </w:pPr>
            <w:r>
              <w:rPr>
                <w:rFonts w:ascii="Calibri" w:hAnsi="Calibri" w:cs="Calibri"/>
                <w:sz w:val="20"/>
              </w:rPr>
              <w:t>Demos → pruebas gratuitas</w:t>
            </w:r>
          </w:p>
        </w:tc>
        <w:tc>
          <w:tcPr>
            <w:tcW w:type="dxa" w:w="1207"/>
            <w:vAlign w:val="center"/>
            <w:tcMar>
              <w:top w:w="100" w:type="dxa"/>
              <w:left w:w="100" w:type="dxa"/>
              <w:bottom w:w="100" w:type="dxa"/>
              <w:right w:w="100" w:type="dxa"/>
            </w:tcMar>
          </w:tcPr>
          <w:p>
            <w:pPr>
              <w:spacing w:after="0" w:line="240" w:lineRule="auto"/>
              <w:jc w:val="right"/>
            </w:pPr>
            <w:r>
              <w:rPr>
                <w:rFonts w:ascii="Calibri" w:hAnsi="Calibri" w:cs="Calibri"/>
                <w:sz w:val="20"/>
              </w:rPr>
              <w:t>60 %</w:t>
            </w:r>
          </w:p>
        </w:tc>
        <w:tc>
          <w:tcPr>
            <w:tcW w:type="dxa" w:w="3494"/>
            <w:vAlign w:val="center"/>
            <w:tcMar>
              <w:top w:w="100" w:type="dxa"/>
              <w:left w:w="100" w:type="dxa"/>
              <w:bottom w:w="100" w:type="dxa"/>
              <w:right w:w="100" w:type="dxa"/>
            </w:tcMar>
          </w:tcPr>
          <w:p>
            <w:pPr>
              <w:spacing w:after="0" w:line="240" w:lineRule="auto"/>
              <w:jc w:val="left"/>
            </w:pPr>
            <w:r>
              <w:rPr>
                <w:rFonts w:ascii="Calibri" w:hAnsi="Calibri" w:cs="Calibri"/>
                <w:sz w:val="20"/>
              </w:rPr>
              <w:t>55 % a 65 %</w:t>
            </w:r>
          </w:p>
        </w:tc>
      </w:tr>
      <w:tr>
        <w:tc>
          <w:tcPr>
            <w:tcW w:type="dxa" w:w="3802"/>
            <w:vAlign w:val="center"/>
            <w:tcMar>
              <w:top w:w="100" w:type="dxa"/>
              <w:left w:w="100" w:type="dxa"/>
              <w:bottom w:w="100" w:type="dxa"/>
              <w:right w:w="100" w:type="dxa"/>
            </w:tcMar>
          </w:tcPr>
          <w:p>
            <w:pPr>
              <w:spacing w:after="0" w:line="240" w:lineRule="auto"/>
              <w:jc w:val="left"/>
            </w:pPr>
            <w:r>
              <w:rPr>
                <w:rFonts w:ascii="Calibri" w:hAnsi="Calibri" w:cs="Calibri"/>
                <w:sz w:val="20"/>
              </w:rPr>
              <w:t>Pruebas → cliente pago</w:t>
            </w:r>
          </w:p>
        </w:tc>
        <w:tc>
          <w:tcPr>
            <w:tcW w:type="dxa" w:w="1207"/>
            <w:vAlign w:val="center"/>
            <w:tcMar>
              <w:top w:w="100" w:type="dxa"/>
              <w:left w:w="100" w:type="dxa"/>
              <w:bottom w:w="100" w:type="dxa"/>
              <w:right w:w="100" w:type="dxa"/>
            </w:tcMar>
          </w:tcPr>
          <w:p>
            <w:pPr>
              <w:spacing w:after="0" w:line="240" w:lineRule="auto"/>
              <w:jc w:val="right"/>
            </w:pPr>
            <w:r>
              <w:rPr>
                <w:rFonts w:ascii="Calibri" w:hAnsi="Calibri" w:cs="Calibri"/>
                <w:sz w:val="20"/>
              </w:rPr>
              <w:t>27,5 %</w:t>
            </w:r>
          </w:p>
        </w:tc>
        <w:tc>
          <w:tcPr>
            <w:tcW w:type="dxa" w:w="3494"/>
            <w:vAlign w:val="center"/>
            <w:tcMar>
              <w:top w:w="100" w:type="dxa"/>
              <w:left w:w="100" w:type="dxa"/>
              <w:bottom w:w="100" w:type="dxa"/>
              <w:right w:w="100" w:type="dxa"/>
            </w:tcMar>
          </w:tcPr>
          <w:p>
            <w:pPr>
              <w:spacing w:after="0" w:line="240" w:lineRule="auto"/>
              <w:jc w:val="left"/>
            </w:pPr>
            <w:r>
              <w:rPr>
                <w:rFonts w:ascii="Calibri" w:hAnsi="Calibri" w:cs="Calibri"/>
                <w:sz w:val="20"/>
              </w:rPr>
              <w:t>25 % a 30 % (Segmento A)</w:t>
            </w:r>
          </w:p>
        </w:tc>
      </w:tr>
    </w:tbl>
    <w:p>
      <w:pPr>
        <w:jc w:val="both"/>
      </w:pPr>
      <w:r>
        <w:rPr>
          <w:rFonts w:ascii="Calibri" w:hAnsi="Calibri" w:cs="Calibri"/>
        </w:rPr>
        <w:t>Se parte de 300 visitas web mensuales, con un crecimiento del 12 % mensual el primer año que se desacelera al 8 %, 5 % y 3 % en los siguientes. La desaceleración es intencional: sostener un 12 % mensual durante cuatro años multiplicaría las visitas por más de cien, y eso no es una proyección sino una extrapolación.</w:t>
      </w:r>
    </w:p>
    <w:p>
      <w:pPr>
        <w:pStyle w:val="Ttulo2"/>
        <w:jc w:val="both"/>
      </w:pPr>
      <w:r>
        <w:rPr>
          <w:rFonts w:ascii="Calibri" w:hAnsi="Calibri" w:cs="Calibri"/>
        </w:rPr>
        <w:t>1.4. Pilotos y canal de partners</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417"/>
        <w:gridCol w:w="1417"/>
        <w:gridCol w:w="1417"/>
        <w:gridCol w:w="1417"/>
        <w:gridCol w:w="1417"/>
        <w:gridCol w:w="1417"/>
      </w:tblGrid>
      <w:tr>
        <w:trPr>
          <w:tblHeader/>
        </w:trPr>
        <w:tc>
          <w:tcPr>
            <w:tcW w:type="dxa" w:w="2889"/>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Variable</w:t>
            </w:r>
          </w:p>
        </w:tc>
        <w:tc>
          <w:tcPr>
            <w:tcW w:type="dxa" w:w="786"/>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2027</w:t>
            </w:r>
          </w:p>
        </w:tc>
        <w:tc>
          <w:tcPr>
            <w:tcW w:type="dxa" w:w="786"/>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2028</w:t>
            </w:r>
          </w:p>
        </w:tc>
        <w:tc>
          <w:tcPr>
            <w:tcW w:type="dxa" w:w="786"/>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2029</w:t>
            </w:r>
          </w:p>
        </w:tc>
        <w:tc>
          <w:tcPr>
            <w:tcW w:type="dxa" w:w="786"/>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2030</w:t>
            </w:r>
          </w:p>
        </w:tc>
        <w:tc>
          <w:tcPr>
            <w:tcW w:type="dxa" w:w="2472"/>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Fuente</w:t>
            </w:r>
          </w:p>
        </w:tc>
      </w:tr>
      <w:tr>
        <w:tc>
          <w:tcPr>
            <w:tcW w:type="dxa" w:w="2889"/>
            <w:vAlign w:val="center"/>
            <w:tcMar>
              <w:top w:w="100" w:type="dxa"/>
              <w:left w:w="100" w:type="dxa"/>
              <w:bottom w:w="100" w:type="dxa"/>
              <w:right w:w="100" w:type="dxa"/>
            </w:tcMar>
          </w:tcPr>
          <w:p>
            <w:pPr>
              <w:spacing w:after="0" w:line="240" w:lineRule="auto"/>
              <w:jc w:val="left"/>
            </w:pPr>
            <w:r>
              <w:rPr>
                <w:rFonts w:ascii="Calibri" w:hAnsi="Calibri" w:cs="Calibri"/>
                <w:sz w:val="20"/>
              </w:rPr>
              <w:t>Pilotos gratuitos en la Etapa E1</w:t>
            </w:r>
          </w:p>
        </w:tc>
        <w:tc>
          <w:tcPr>
            <w:tcW w:type="dxa" w:w="786"/>
            <w:vAlign w:val="center"/>
            <w:tcMar>
              <w:top w:w="100" w:type="dxa"/>
              <w:left w:w="100" w:type="dxa"/>
              <w:bottom w:w="100" w:type="dxa"/>
              <w:right w:w="100" w:type="dxa"/>
            </w:tcMar>
          </w:tcPr>
          <w:p>
            <w:pPr>
              <w:spacing w:after="0" w:line="240" w:lineRule="auto"/>
              <w:jc w:val="right"/>
            </w:pPr>
            <w:r>
              <w:rPr>
                <w:rFonts w:ascii="Calibri" w:hAnsi="Calibri" w:cs="Calibri"/>
                <w:sz w:val="20"/>
              </w:rPr>
              <w:t>5</w:t>
            </w:r>
          </w:p>
        </w:tc>
        <w:tc>
          <w:tcPr>
            <w:tcW w:type="dxa" w:w="786"/>
            <w:vAlign w:val="center"/>
            <w:tcMar>
              <w:top w:w="100" w:type="dxa"/>
              <w:left w:w="100" w:type="dxa"/>
              <w:bottom w:w="100" w:type="dxa"/>
              <w:right w:w="100" w:type="dxa"/>
            </w:tcMar>
          </w:tcPr>
          <w:p>
            <w:pPr>
              <w:spacing w:after="0" w:line="240" w:lineRule="auto"/>
              <w:jc w:val="left"/>
            </w:pPr>
            <w:r>
              <w:rPr>
                <w:rFonts w:ascii="Calibri" w:hAnsi="Calibri" w:cs="Calibri"/>
                <w:sz w:val="20"/>
              </w:rPr>
              <w:t>—</w:t>
            </w:r>
          </w:p>
        </w:tc>
        <w:tc>
          <w:tcPr>
            <w:tcW w:type="dxa" w:w="786"/>
            <w:vAlign w:val="center"/>
            <w:tcMar>
              <w:top w:w="100" w:type="dxa"/>
              <w:left w:w="100" w:type="dxa"/>
              <w:bottom w:w="100" w:type="dxa"/>
              <w:right w:w="100" w:type="dxa"/>
            </w:tcMar>
          </w:tcPr>
          <w:p>
            <w:pPr>
              <w:spacing w:after="0" w:line="240" w:lineRule="auto"/>
              <w:jc w:val="left"/>
            </w:pPr>
            <w:r>
              <w:rPr>
                <w:rFonts w:ascii="Calibri" w:hAnsi="Calibri" w:cs="Calibri"/>
                <w:sz w:val="20"/>
              </w:rPr>
              <w:t>—</w:t>
            </w:r>
          </w:p>
        </w:tc>
        <w:tc>
          <w:tcPr>
            <w:tcW w:type="dxa" w:w="786"/>
            <w:vAlign w:val="center"/>
            <w:tcMar>
              <w:top w:w="100" w:type="dxa"/>
              <w:left w:w="100" w:type="dxa"/>
              <w:bottom w:w="100" w:type="dxa"/>
              <w:right w:w="100" w:type="dxa"/>
            </w:tcMar>
          </w:tcPr>
          <w:p>
            <w:pPr>
              <w:spacing w:after="0" w:line="240" w:lineRule="auto"/>
              <w:jc w:val="left"/>
            </w:pPr>
            <w:r>
              <w:rPr>
                <w:rFonts w:ascii="Calibri" w:hAnsi="Calibri" w:cs="Calibri"/>
                <w:sz w:val="20"/>
              </w:rPr>
              <w:t>—</w:t>
            </w:r>
          </w:p>
        </w:tc>
        <w:tc>
          <w:tcPr>
            <w:tcW w:type="dxa" w:w="2472"/>
            <w:vAlign w:val="center"/>
            <w:tcMar>
              <w:top w:w="100" w:type="dxa"/>
              <w:left w:w="100" w:type="dxa"/>
              <w:bottom w:w="100" w:type="dxa"/>
              <w:right w:w="100" w:type="dxa"/>
            </w:tcMar>
          </w:tcPr>
          <w:p>
            <w:pPr>
              <w:spacing w:after="0" w:line="240" w:lineRule="auto"/>
              <w:jc w:val="left"/>
            </w:pPr>
            <w:r>
              <w:rPr>
                <w:rFonts w:ascii="Calibri" w:hAnsi="Calibri" w:cs="Calibri"/>
                <w:sz w:val="20"/>
              </w:rPr>
              <w:t>Documento 5.3.4</w:t>
            </w:r>
          </w:p>
        </w:tc>
      </w:tr>
      <w:tr>
        <w:tc>
          <w:tcPr>
            <w:tcW w:type="dxa" w:w="2889"/>
            <w:vAlign w:val="center"/>
            <w:tcMar>
              <w:top w:w="100" w:type="dxa"/>
              <w:left w:w="100" w:type="dxa"/>
              <w:bottom w:w="100" w:type="dxa"/>
              <w:right w:w="100" w:type="dxa"/>
            </w:tcMar>
          </w:tcPr>
          <w:p>
            <w:pPr>
              <w:spacing w:after="0" w:line="240" w:lineRule="auto"/>
              <w:jc w:val="left"/>
            </w:pPr>
            <w:r>
              <w:rPr>
                <w:rFonts w:ascii="Calibri" w:hAnsi="Calibri" w:cs="Calibri"/>
                <w:sz w:val="20"/>
              </w:rPr>
              <w:t>Pilotos que convierten a plan pago</w:t>
            </w:r>
          </w:p>
        </w:tc>
        <w:tc>
          <w:tcPr>
            <w:tcW w:type="dxa" w:w="786"/>
            <w:vAlign w:val="center"/>
            <w:tcMar>
              <w:top w:w="100" w:type="dxa"/>
              <w:left w:w="100" w:type="dxa"/>
              <w:bottom w:w="100" w:type="dxa"/>
              <w:right w:w="100" w:type="dxa"/>
            </w:tcMar>
          </w:tcPr>
          <w:p>
            <w:pPr>
              <w:spacing w:after="0" w:line="240" w:lineRule="auto"/>
              <w:jc w:val="right"/>
            </w:pPr>
            <w:r>
              <w:rPr>
                <w:rFonts w:ascii="Calibri" w:hAnsi="Calibri" w:cs="Calibri"/>
                <w:sz w:val="20"/>
              </w:rPr>
              <w:t>60 %</w:t>
            </w:r>
          </w:p>
        </w:tc>
        <w:tc>
          <w:tcPr>
            <w:tcW w:type="dxa" w:w="786"/>
            <w:vAlign w:val="center"/>
            <w:tcMar>
              <w:top w:w="100" w:type="dxa"/>
              <w:left w:w="100" w:type="dxa"/>
              <w:bottom w:w="100" w:type="dxa"/>
              <w:right w:w="100" w:type="dxa"/>
            </w:tcMar>
          </w:tcPr>
          <w:p>
            <w:pPr>
              <w:spacing w:after="0" w:line="240" w:lineRule="auto"/>
              <w:jc w:val="left"/>
            </w:pPr>
            <w:r>
              <w:rPr>
                <w:rFonts w:ascii="Calibri" w:hAnsi="Calibri" w:cs="Calibri"/>
                <w:sz w:val="20"/>
              </w:rPr>
              <w:t>—</w:t>
            </w:r>
          </w:p>
        </w:tc>
        <w:tc>
          <w:tcPr>
            <w:tcW w:type="dxa" w:w="786"/>
            <w:vAlign w:val="center"/>
            <w:tcMar>
              <w:top w:w="100" w:type="dxa"/>
              <w:left w:w="100" w:type="dxa"/>
              <w:bottom w:w="100" w:type="dxa"/>
              <w:right w:w="100" w:type="dxa"/>
            </w:tcMar>
          </w:tcPr>
          <w:p>
            <w:pPr>
              <w:spacing w:after="0" w:line="240" w:lineRule="auto"/>
              <w:jc w:val="left"/>
            </w:pPr>
            <w:r>
              <w:rPr>
                <w:rFonts w:ascii="Calibri" w:hAnsi="Calibri" w:cs="Calibri"/>
                <w:sz w:val="20"/>
              </w:rPr>
              <w:t>—</w:t>
            </w:r>
          </w:p>
        </w:tc>
        <w:tc>
          <w:tcPr>
            <w:tcW w:type="dxa" w:w="786"/>
            <w:vAlign w:val="center"/>
            <w:tcMar>
              <w:top w:w="100" w:type="dxa"/>
              <w:left w:w="100" w:type="dxa"/>
              <w:bottom w:w="100" w:type="dxa"/>
              <w:right w:w="100" w:type="dxa"/>
            </w:tcMar>
          </w:tcPr>
          <w:p>
            <w:pPr>
              <w:spacing w:after="0" w:line="240" w:lineRule="auto"/>
              <w:jc w:val="left"/>
            </w:pPr>
            <w:r>
              <w:rPr>
                <w:rFonts w:ascii="Calibri" w:hAnsi="Calibri" w:cs="Calibri"/>
                <w:sz w:val="20"/>
              </w:rPr>
              <w:t>—</w:t>
            </w:r>
          </w:p>
        </w:tc>
        <w:tc>
          <w:tcPr>
            <w:tcW w:type="dxa" w:w="2472"/>
            <w:vAlign w:val="center"/>
            <w:tcMar>
              <w:top w:w="100" w:type="dxa"/>
              <w:left w:w="100" w:type="dxa"/>
              <w:bottom w:w="100" w:type="dxa"/>
              <w:right w:w="100" w:type="dxa"/>
            </w:tcMar>
          </w:tcPr>
          <w:p>
            <w:pPr>
              <w:spacing w:after="0" w:line="240" w:lineRule="auto"/>
              <w:jc w:val="left"/>
            </w:pPr>
            <w:r>
              <w:rPr>
                <w:rFonts w:ascii="Calibri" w:hAnsi="Calibri" w:cs="Calibri"/>
                <w:sz w:val="20"/>
              </w:rPr>
              <w:t>Documento 5.3.4: al menos 3 de 5</w:t>
            </w:r>
          </w:p>
        </w:tc>
      </w:tr>
      <w:tr>
        <w:tc>
          <w:tcPr>
            <w:tcW w:type="dxa" w:w="2889"/>
            <w:vAlign w:val="center"/>
            <w:tcMar>
              <w:top w:w="100" w:type="dxa"/>
              <w:left w:w="100" w:type="dxa"/>
              <w:bottom w:w="100" w:type="dxa"/>
              <w:right w:w="100" w:type="dxa"/>
            </w:tcMar>
          </w:tcPr>
          <w:p>
            <w:pPr>
              <w:spacing w:after="0" w:line="240" w:lineRule="auto"/>
              <w:jc w:val="left"/>
            </w:pPr>
            <w:r>
              <w:rPr>
                <w:rFonts w:ascii="Calibri" w:hAnsi="Calibri" w:cs="Calibri"/>
                <w:sz w:val="20"/>
              </w:rPr>
              <w:t>Partners activos al cierre del año</w:t>
            </w:r>
          </w:p>
        </w:tc>
        <w:tc>
          <w:tcPr>
            <w:tcW w:type="dxa" w:w="786"/>
            <w:vAlign w:val="center"/>
            <w:tcMar>
              <w:top w:w="100" w:type="dxa"/>
              <w:left w:w="100" w:type="dxa"/>
              <w:bottom w:w="100" w:type="dxa"/>
              <w:right w:w="100" w:type="dxa"/>
            </w:tcMar>
          </w:tcPr>
          <w:p>
            <w:pPr>
              <w:spacing w:after="0" w:line="240" w:lineRule="auto"/>
              <w:jc w:val="right"/>
            </w:pPr>
            <w:r>
              <w:rPr>
                <w:rFonts w:ascii="Calibri" w:hAnsi="Calibri" w:cs="Calibri"/>
                <w:sz w:val="20"/>
              </w:rPr>
              <w:t>3</w:t>
            </w:r>
          </w:p>
        </w:tc>
        <w:tc>
          <w:tcPr>
            <w:tcW w:type="dxa" w:w="786"/>
            <w:vAlign w:val="center"/>
            <w:tcMar>
              <w:top w:w="100" w:type="dxa"/>
              <w:left w:w="100" w:type="dxa"/>
              <w:bottom w:w="100" w:type="dxa"/>
              <w:right w:w="100" w:type="dxa"/>
            </w:tcMar>
          </w:tcPr>
          <w:p>
            <w:pPr>
              <w:spacing w:after="0" w:line="240" w:lineRule="auto"/>
              <w:jc w:val="left"/>
            </w:pPr>
            <w:r>
              <w:rPr>
                <w:rFonts w:ascii="Calibri" w:hAnsi="Calibri" w:cs="Calibri"/>
                <w:sz w:val="20"/>
              </w:rPr>
              <w:t>8</w:t>
            </w:r>
          </w:p>
        </w:tc>
        <w:tc>
          <w:tcPr>
            <w:tcW w:type="dxa" w:w="786"/>
            <w:vAlign w:val="center"/>
            <w:tcMar>
              <w:top w:w="100" w:type="dxa"/>
              <w:left w:w="100" w:type="dxa"/>
              <w:bottom w:w="100" w:type="dxa"/>
              <w:right w:w="100" w:type="dxa"/>
            </w:tcMar>
          </w:tcPr>
          <w:p>
            <w:pPr>
              <w:spacing w:after="0" w:line="240" w:lineRule="auto"/>
              <w:jc w:val="left"/>
            </w:pPr>
            <w:r>
              <w:rPr>
                <w:rFonts w:ascii="Calibri" w:hAnsi="Calibri" w:cs="Calibri"/>
                <w:sz w:val="20"/>
              </w:rPr>
              <w:t>15</w:t>
            </w:r>
          </w:p>
        </w:tc>
        <w:tc>
          <w:tcPr>
            <w:tcW w:type="dxa" w:w="786"/>
            <w:vAlign w:val="center"/>
            <w:tcMar>
              <w:top w:w="100" w:type="dxa"/>
              <w:left w:w="100" w:type="dxa"/>
              <w:bottom w:w="100" w:type="dxa"/>
              <w:right w:w="100" w:type="dxa"/>
            </w:tcMar>
          </w:tcPr>
          <w:p>
            <w:pPr>
              <w:spacing w:after="0" w:line="240" w:lineRule="auto"/>
              <w:jc w:val="left"/>
            </w:pPr>
            <w:r>
              <w:rPr>
                <w:rFonts w:ascii="Calibri" w:hAnsi="Calibri" w:cs="Calibri"/>
                <w:sz w:val="20"/>
              </w:rPr>
              <w:t>25</w:t>
            </w:r>
          </w:p>
        </w:tc>
        <w:tc>
          <w:tcPr>
            <w:tcW w:type="dxa" w:w="2472"/>
            <w:vAlign w:val="center"/>
            <w:tcMar>
              <w:top w:w="100" w:type="dxa"/>
              <w:left w:w="100" w:type="dxa"/>
              <w:bottom w:w="100" w:type="dxa"/>
              <w:right w:w="100" w:type="dxa"/>
            </w:tcMar>
          </w:tcPr>
          <w:p>
            <w:pPr>
              <w:spacing w:after="0" w:line="240" w:lineRule="auto"/>
              <w:jc w:val="left"/>
            </w:pPr>
            <w:r>
              <w:rPr>
                <w:rFonts w:ascii="Calibri" w:hAnsi="Calibri" w:cs="Calibri"/>
                <w:sz w:val="20"/>
              </w:rPr>
              <w:t>Documento 5.3.1</w:t>
            </w:r>
          </w:p>
        </w:tc>
      </w:tr>
      <w:tr>
        <w:tc>
          <w:tcPr>
            <w:tcW w:type="dxa" w:w="2889"/>
            <w:vAlign w:val="center"/>
            <w:tcMar>
              <w:top w:w="100" w:type="dxa"/>
              <w:left w:w="100" w:type="dxa"/>
              <w:bottom w:w="100" w:type="dxa"/>
              <w:right w:w="100" w:type="dxa"/>
            </w:tcMar>
          </w:tcPr>
          <w:p>
            <w:pPr>
              <w:spacing w:after="0" w:line="240" w:lineRule="auto"/>
              <w:jc w:val="left"/>
            </w:pPr>
            <w:r>
              <w:rPr>
                <w:rFonts w:ascii="Calibri" w:hAnsi="Calibri" w:cs="Calibri"/>
                <w:sz w:val="20"/>
              </w:rPr>
              <w:t>Clientes gestionados por cada partner</w:t>
            </w:r>
          </w:p>
        </w:tc>
        <w:tc>
          <w:tcPr>
            <w:tcW w:type="dxa" w:w="786"/>
            <w:vAlign w:val="center"/>
            <w:tcMar>
              <w:top w:w="100" w:type="dxa"/>
              <w:left w:w="100" w:type="dxa"/>
              <w:bottom w:w="100" w:type="dxa"/>
              <w:right w:w="100" w:type="dxa"/>
            </w:tcMar>
          </w:tcPr>
          <w:p>
            <w:pPr>
              <w:spacing w:after="0" w:line="240" w:lineRule="auto"/>
              <w:jc w:val="right"/>
            </w:pPr>
            <w:r>
              <w:rPr>
                <w:rFonts w:ascii="Calibri" w:hAnsi="Calibri" w:cs="Calibri"/>
                <w:sz w:val="20"/>
              </w:rPr>
              <w:t>3</w:t>
            </w:r>
          </w:p>
        </w:tc>
        <w:tc>
          <w:tcPr>
            <w:tcW w:type="dxa" w:w="786"/>
            <w:vAlign w:val="center"/>
            <w:tcMar>
              <w:top w:w="100" w:type="dxa"/>
              <w:left w:w="100" w:type="dxa"/>
              <w:bottom w:w="100" w:type="dxa"/>
              <w:right w:w="100" w:type="dxa"/>
            </w:tcMar>
          </w:tcPr>
          <w:p>
            <w:pPr>
              <w:spacing w:after="0" w:line="240" w:lineRule="auto"/>
              <w:jc w:val="left"/>
            </w:pPr>
            <w:r>
              <w:rPr>
                <w:rFonts w:ascii="Calibri" w:hAnsi="Calibri" w:cs="Calibri"/>
                <w:sz w:val="20"/>
              </w:rPr>
              <w:t>4</w:t>
            </w:r>
          </w:p>
        </w:tc>
        <w:tc>
          <w:tcPr>
            <w:tcW w:type="dxa" w:w="786"/>
            <w:vAlign w:val="center"/>
            <w:tcMar>
              <w:top w:w="100" w:type="dxa"/>
              <w:left w:w="100" w:type="dxa"/>
              <w:bottom w:w="100" w:type="dxa"/>
              <w:right w:w="100" w:type="dxa"/>
            </w:tcMar>
          </w:tcPr>
          <w:p>
            <w:pPr>
              <w:spacing w:after="0" w:line="240" w:lineRule="auto"/>
              <w:jc w:val="left"/>
            </w:pPr>
            <w:r>
              <w:rPr>
                <w:rFonts w:ascii="Calibri" w:hAnsi="Calibri" w:cs="Calibri"/>
                <w:sz w:val="20"/>
              </w:rPr>
              <w:t>5</w:t>
            </w:r>
          </w:p>
        </w:tc>
        <w:tc>
          <w:tcPr>
            <w:tcW w:type="dxa" w:w="786"/>
            <w:vAlign w:val="center"/>
            <w:tcMar>
              <w:top w:w="100" w:type="dxa"/>
              <w:left w:w="100" w:type="dxa"/>
              <w:bottom w:w="100" w:type="dxa"/>
              <w:right w:w="100" w:type="dxa"/>
            </w:tcMar>
          </w:tcPr>
          <w:p>
            <w:pPr>
              <w:spacing w:after="0" w:line="240" w:lineRule="auto"/>
              <w:jc w:val="left"/>
            </w:pPr>
            <w:r>
              <w:rPr>
                <w:rFonts w:ascii="Calibri" w:hAnsi="Calibri" w:cs="Calibri"/>
                <w:sz w:val="20"/>
              </w:rPr>
              <w:t>5</w:t>
            </w:r>
          </w:p>
        </w:tc>
        <w:tc>
          <w:tcPr>
            <w:tcW w:type="dxa" w:w="2472"/>
            <w:vAlign w:val="center"/>
            <w:tcMar>
              <w:top w:w="100" w:type="dxa"/>
              <w:left w:w="100" w:type="dxa"/>
              <w:bottom w:w="100" w:type="dxa"/>
              <w:right w:w="100" w:type="dxa"/>
            </w:tcMar>
          </w:tcPr>
          <w:p>
            <w:pPr>
              <w:spacing w:after="0" w:line="240" w:lineRule="auto"/>
              <w:jc w:val="left"/>
            </w:pPr>
            <w:r>
              <w:rPr>
                <w:rFonts w:ascii="Calibri" w:hAnsi="Calibri" w:cs="Calibri"/>
                <w:sz w:val="20"/>
              </w:rPr>
              <w:t>Documento 5.3.6</w:t>
            </w:r>
          </w:p>
        </w:tc>
      </w:tr>
    </w:tbl>
    <w:p>
      <w:pPr>
        <w:jc w:val="both"/>
      </w:pPr>
      <w:r>
        <w:rPr>
          <w:rFonts w:ascii="Calibri" w:hAnsi="Calibri" w:cs="Calibri"/>
        </w:rPr>
        <w:t>Los pilotos convierten en el mes 6, al cierre de los noventa días de prueba. Los clientes por partner son un stock y no un flujo: es la cartera que cada partner sostiene, no cuántos suma por año.</w:t>
      </w:r>
    </w:p>
    <w:p>
      <w:pPr>
        <w:pStyle w:val="Ttulo2"/>
        <w:jc w:val="both"/>
      </w:pPr>
      <w:r>
        <w:rPr>
          <w:rFonts w:ascii="Calibri" w:hAnsi="Calibri" w:cs="Calibri"/>
        </w:rPr>
        <w:t>1.5. Retención y parque administrado</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1"/>
        <w:gridCol w:w="1701"/>
        <w:gridCol w:w="1701"/>
        <w:gridCol w:w="1701"/>
        <w:gridCol w:w="1701"/>
      </w:tblGrid>
      <w:tr>
        <w:trPr>
          <w:tblHeader/>
        </w:trPr>
        <w:tc>
          <w:tcPr>
            <w:tcW w:type="dxa" w:w="4363"/>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Variable</w:t>
            </w:r>
          </w:p>
        </w:tc>
        <w:tc>
          <w:tcPr>
            <w:tcW w:type="dxa" w:w="1035"/>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2027</w:t>
            </w:r>
          </w:p>
        </w:tc>
        <w:tc>
          <w:tcPr>
            <w:tcW w:type="dxa" w:w="1035"/>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2028</w:t>
            </w:r>
          </w:p>
        </w:tc>
        <w:tc>
          <w:tcPr>
            <w:tcW w:type="dxa" w:w="1035"/>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2029</w:t>
            </w:r>
          </w:p>
        </w:tc>
        <w:tc>
          <w:tcPr>
            <w:tcW w:type="dxa" w:w="1035"/>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2030</w:t>
            </w:r>
          </w:p>
        </w:tc>
      </w:tr>
      <w:tr>
        <w:tc>
          <w:tcPr>
            <w:tcW w:type="dxa" w:w="4363"/>
            <w:vAlign w:val="center"/>
            <w:tcMar>
              <w:top w:w="100" w:type="dxa"/>
              <w:left w:w="100" w:type="dxa"/>
              <w:bottom w:w="100" w:type="dxa"/>
              <w:right w:w="100" w:type="dxa"/>
            </w:tcMar>
          </w:tcPr>
          <w:p>
            <w:pPr>
              <w:spacing w:after="0" w:line="240" w:lineRule="auto"/>
              <w:jc w:val="left"/>
            </w:pPr>
            <w:r>
              <w:rPr>
                <w:rFonts w:ascii="Calibri" w:hAnsi="Calibri" w:cs="Calibri"/>
                <w:sz w:val="20"/>
              </w:rPr>
              <w:t>Baja mensual de clientes</w:t>
            </w:r>
          </w:p>
        </w:tc>
        <w:tc>
          <w:tcPr>
            <w:tcW w:type="dxa" w:w="1035"/>
            <w:vAlign w:val="center"/>
            <w:tcMar>
              <w:top w:w="100" w:type="dxa"/>
              <w:left w:w="100" w:type="dxa"/>
              <w:bottom w:w="100" w:type="dxa"/>
              <w:right w:w="100" w:type="dxa"/>
            </w:tcMar>
          </w:tcPr>
          <w:p>
            <w:pPr>
              <w:spacing w:after="0" w:line="240" w:lineRule="auto"/>
              <w:jc w:val="right"/>
            </w:pPr>
            <w:r>
              <w:rPr>
                <w:rFonts w:ascii="Calibri" w:hAnsi="Calibri" w:cs="Calibri"/>
                <w:sz w:val="20"/>
              </w:rPr>
              <w:t>7 %</w:t>
            </w:r>
          </w:p>
        </w:tc>
        <w:tc>
          <w:tcPr>
            <w:tcW w:type="dxa" w:w="1035"/>
            <w:vAlign w:val="center"/>
            <w:tcMar>
              <w:top w:w="100" w:type="dxa"/>
              <w:left w:w="100" w:type="dxa"/>
              <w:bottom w:w="100" w:type="dxa"/>
              <w:right w:w="100" w:type="dxa"/>
            </w:tcMar>
          </w:tcPr>
          <w:p>
            <w:pPr>
              <w:spacing w:after="0" w:line="240" w:lineRule="auto"/>
              <w:jc w:val="right"/>
            </w:pPr>
            <w:r>
              <w:rPr>
                <w:rFonts w:ascii="Calibri" w:hAnsi="Calibri" w:cs="Calibri"/>
                <w:sz w:val="20"/>
              </w:rPr>
              <w:t>5 %</w:t>
            </w:r>
          </w:p>
        </w:tc>
        <w:tc>
          <w:tcPr>
            <w:tcW w:type="dxa" w:w="1035"/>
            <w:vAlign w:val="center"/>
            <w:tcMar>
              <w:top w:w="100" w:type="dxa"/>
              <w:left w:w="100" w:type="dxa"/>
              <w:bottom w:w="100" w:type="dxa"/>
              <w:right w:w="100" w:type="dxa"/>
            </w:tcMar>
          </w:tcPr>
          <w:p>
            <w:pPr>
              <w:spacing w:after="0" w:line="240" w:lineRule="auto"/>
              <w:jc w:val="right"/>
            </w:pPr>
            <w:r>
              <w:rPr>
                <w:rFonts w:ascii="Calibri" w:hAnsi="Calibri" w:cs="Calibri"/>
                <w:sz w:val="20"/>
              </w:rPr>
              <w:t>4 %</w:t>
            </w:r>
          </w:p>
        </w:tc>
        <w:tc>
          <w:tcPr>
            <w:tcW w:type="dxa" w:w="1035"/>
            <w:vAlign w:val="center"/>
            <w:tcMar>
              <w:top w:w="100" w:type="dxa"/>
              <w:left w:w="100" w:type="dxa"/>
              <w:bottom w:w="100" w:type="dxa"/>
              <w:right w:w="100" w:type="dxa"/>
            </w:tcMar>
          </w:tcPr>
          <w:p>
            <w:pPr>
              <w:spacing w:after="0" w:line="240" w:lineRule="auto"/>
              <w:jc w:val="right"/>
            </w:pPr>
            <w:r>
              <w:rPr>
                <w:rFonts w:ascii="Calibri" w:hAnsi="Calibri" w:cs="Calibri"/>
                <w:sz w:val="20"/>
              </w:rPr>
              <w:t>4 %</w:t>
            </w:r>
          </w:p>
        </w:tc>
      </w:tr>
      <w:tr>
        <w:tc>
          <w:tcPr>
            <w:tcW w:type="dxa" w:w="4363"/>
            <w:vAlign w:val="center"/>
            <w:tcMar>
              <w:top w:w="100" w:type="dxa"/>
              <w:left w:w="100" w:type="dxa"/>
              <w:bottom w:w="100" w:type="dxa"/>
              <w:right w:w="100" w:type="dxa"/>
            </w:tcMar>
          </w:tcPr>
          <w:p>
            <w:pPr>
              <w:spacing w:after="0" w:line="240" w:lineRule="auto"/>
              <w:jc w:val="left"/>
            </w:pPr>
            <w:r>
              <w:rPr>
                <w:rFonts w:ascii="Calibri" w:hAnsi="Calibri" w:cs="Calibri"/>
                <w:sz w:val="20"/>
              </w:rPr>
              <w:t>Equipos promedio — Plan Inicial</w:t>
            </w:r>
          </w:p>
        </w:tc>
        <w:tc>
          <w:tcPr>
            <w:tcW w:type="dxa" w:w="1035"/>
            <w:vAlign w:val="center"/>
            <w:tcMar>
              <w:top w:w="100" w:type="dxa"/>
              <w:left w:w="100" w:type="dxa"/>
              <w:bottom w:w="100" w:type="dxa"/>
              <w:right w:w="100" w:type="dxa"/>
            </w:tcMar>
          </w:tcPr>
          <w:p>
            <w:pPr>
              <w:spacing w:after="0" w:line="240" w:lineRule="auto"/>
              <w:jc w:val="right"/>
            </w:pPr>
            <w:r>
              <w:rPr>
                <w:rFonts w:ascii="Calibri" w:hAnsi="Calibri" w:cs="Calibri"/>
                <w:sz w:val="20"/>
              </w:rPr>
              <w:t>18</w:t>
            </w:r>
          </w:p>
        </w:tc>
        <w:tc>
          <w:tcPr>
            <w:tcW w:type="dxa" w:w="1035"/>
            <w:vAlign w:val="center"/>
            <w:tcMar>
              <w:top w:w="100" w:type="dxa"/>
              <w:left w:w="100" w:type="dxa"/>
              <w:bottom w:w="100" w:type="dxa"/>
              <w:right w:w="100" w:type="dxa"/>
            </w:tcMar>
          </w:tcPr>
          <w:p>
            <w:pPr>
              <w:spacing w:after="0" w:line="240" w:lineRule="auto"/>
              <w:jc w:val="right"/>
            </w:pPr>
            <w:r>
              <w:rPr>
                <w:rFonts w:ascii="Calibri" w:hAnsi="Calibri" w:cs="Calibri"/>
                <w:sz w:val="20"/>
              </w:rPr>
              <w:t>20</w:t>
            </w:r>
          </w:p>
        </w:tc>
        <w:tc>
          <w:tcPr>
            <w:tcW w:type="dxa" w:w="1035"/>
            <w:vAlign w:val="center"/>
            <w:tcMar>
              <w:top w:w="100" w:type="dxa"/>
              <w:left w:w="100" w:type="dxa"/>
              <w:bottom w:w="100" w:type="dxa"/>
              <w:right w:w="100" w:type="dxa"/>
            </w:tcMar>
          </w:tcPr>
          <w:p>
            <w:pPr>
              <w:spacing w:after="0" w:line="240" w:lineRule="auto"/>
              <w:jc w:val="right"/>
            </w:pPr>
            <w:r>
              <w:rPr>
                <w:rFonts w:ascii="Calibri" w:hAnsi="Calibri" w:cs="Calibri"/>
                <w:sz w:val="20"/>
              </w:rPr>
              <w:t>22</w:t>
            </w:r>
          </w:p>
        </w:tc>
        <w:tc>
          <w:tcPr>
            <w:tcW w:type="dxa" w:w="1035"/>
            <w:vAlign w:val="center"/>
            <w:tcMar>
              <w:top w:w="100" w:type="dxa"/>
              <w:left w:w="100" w:type="dxa"/>
              <w:bottom w:w="100" w:type="dxa"/>
              <w:right w:w="100" w:type="dxa"/>
            </w:tcMar>
          </w:tcPr>
          <w:p>
            <w:pPr>
              <w:spacing w:after="0" w:line="240" w:lineRule="auto"/>
              <w:jc w:val="right"/>
            </w:pPr>
            <w:r>
              <w:rPr>
                <w:rFonts w:ascii="Calibri" w:hAnsi="Calibri" w:cs="Calibri"/>
                <w:sz w:val="20"/>
              </w:rPr>
              <w:t>24</w:t>
            </w:r>
          </w:p>
        </w:tc>
      </w:tr>
      <w:tr>
        <w:tc>
          <w:tcPr>
            <w:tcW w:type="dxa" w:w="4363"/>
            <w:vAlign w:val="center"/>
            <w:tcMar>
              <w:top w:w="100" w:type="dxa"/>
              <w:left w:w="100" w:type="dxa"/>
              <w:bottom w:w="100" w:type="dxa"/>
              <w:right w:w="100" w:type="dxa"/>
            </w:tcMar>
          </w:tcPr>
          <w:p>
            <w:pPr>
              <w:spacing w:after="0" w:line="240" w:lineRule="auto"/>
              <w:jc w:val="left"/>
            </w:pPr>
            <w:r>
              <w:rPr>
                <w:rFonts w:ascii="Calibri" w:hAnsi="Calibri" w:cs="Calibri"/>
                <w:sz w:val="20"/>
              </w:rPr>
              <w:t>Equipos promedio — Plan Estándar</w:t>
            </w:r>
          </w:p>
        </w:tc>
        <w:tc>
          <w:tcPr>
            <w:tcW w:type="dxa" w:w="1035"/>
            <w:vAlign w:val="center"/>
            <w:tcMar>
              <w:top w:w="100" w:type="dxa"/>
              <w:left w:w="100" w:type="dxa"/>
              <w:bottom w:w="100" w:type="dxa"/>
              <w:right w:w="100" w:type="dxa"/>
            </w:tcMar>
          </w:tcPr>
          <w:p>
            <w:pPr>
              <w:spacing w:after="0" w:line="240" w:lineRule="auto"/>
              <w:jc w:val="right"/>
            </w:pPr>
            <w:r>
              <w:rPr>
                <w:rFonts w:ascii="Calibri" w:hAnsi="Calibri" w:cs="Calibri"/>
                <w:sz w:val="20"/>
              </w:rPr>
              <w:t>90</w:t>
            </w:r>
          </w:p>
        </w:tc>
        <w:tc>
          <w:tcPr>
            <w:tcW w:type="dxa" w:w="1035"/>
            <w:vAlign w:val="center"/>
            <w:tcMar>
              <w:top w:w="100" w:type="dxa"/>
              <w:left w:w="100" w:type="dxa"/>
              <w:bottom w:w="100" w:type="dxa"/>
              <w:right w:w="100" w:type="dxa"/>
            </w:tcMar>
          </w:tcPr>
          <w:p>
            <w:pPr>
              <w:spacing w:after="0" w:line="240" w:lineRule="auto"/>
              <w:jc w:val="right"/>
            </w:pPr>
            <w:r>
              <w:rPr>
                <w:rFonts w:ascii="Calibri" w:hAnsi="Calibri" w:cs="Calibri"/>
                <w:sz w:val="20"/>
              </w:rPr>
              <w:t>100</w:t>
            </w:r>
          </w:p>
        </w:tc>
        <w:tc>
          <w:tcPr>
            <w:tcW w:type="dxa" w:w="1035"/>
            <w:vAlign w:val="center"/>
            <w:tcMar>
              <w:top w:w="100" w:type="dxa"/>
              <w:left w:w="100" w:type="dxa"/>
              <w:bottom w:w="100" w:type="dxa"/>
              <w:right w:w="100" w:type="dxa"/>
            </w:tcMar>
          </w:tcPr>
          <w:p>
            <w:pPr>
              <w:spacing w:after="0" w:line="240" w:lineRule="auto"/>
              <w:jc w:val="right"/>
            </w:pPr>
            <w:r>
              <w:rPr>
                <w:rFonts w:ascii="Calibri" w:hAnsi="Calibri" w:cs="Calibri"/>
                <w:sz w:val="20"/>
              </w:rPr>
              <w:t>110</w:t>
            </w:r>
          </w:p>
        </w:tc>
        <w:tc>
          <w:tcPr>
            <w:tcW w:type="dxa" w:w="1035"/>
            <w:vAlign w:val="center"/>
            <w:tcMar>
              <w:top w:w="100" w:type="dxa"/>
              <w:left w:w="100" w:type="dxa"/>
              <w:bottom w:w="100" w:type="dxa"/>
              <w:right w:w="100" w:type="dxa"/>
            </w:tcMar>
          </w:tcPr>
          <w:p>
            <w:pPr>
              <w:spacing w:after="0" w:line="240" w:lineRule="auto"/>
              <w:jc w:val="right"/>
            </w:pPr>
            <w:r>
              <w:rPr>
                <w:rFonts w:ascii="Calibri" w:hAnsi="Calibri" w:cs="Calibri"/>
                <w:sz w:val="20"/>
              </w:rPr>
              <w:t>120</w:t>
            </w:r>
          </w:p>
        </w:tc>
      </w:tr>
      <w:tr>
        <w:tc>
          <w:tcPr>
            <w:tcW w:type="dxa" w:w="4363"/>
            <w:vAlign w:val="center"/>
            <w:tcMar>
              <w:top w:w="100" w:type="dxa"/>
              <w:left w:w="100" w:type="dxa"/>
              <w:bottom w:w="100" w:type="dxa"/>
              <w:right w:w="100" w:type="dxa"/>
            </w:tcMar>
          </w:tcPr>
          <w:p>
            <w:pPr>
              <w:spacing w:after="0" w:line="240" w:lineRule="auto"/>
              <w:jc w:val="left"/>
            </w:pPr>
            <w:r>
              <w:rPr>
                <w:rFonts w:ascii="Calibri" w:hAnsi="Calibri" w:cs="Calibri"/>
                <w:sz w:val="20"/>
              </w:rPr>
              <w:t>Equipos promedio — Plan Partner</w:t>
            </w:r>
          </w:p>
        </w:tc>
        <w:tc>
          <w:tcPr>
            <w:tcW w:type="dxa" w:w="1035"/>
            <w:vAlign w:val="center"/>
            <w:tcMar>
              <w:top w:w="100" w:type="dxa"/>
              <w:left w:w="100" w:type="dxa"/>
              <w:bottom w:w="100" w:type="dxa"/>
              <w:right w:w="100" w:type="dxa"/>
            </w:tcMar>
          </w:tcPr>
          <w:p>
            <w:pPr>
              <w:spacing w:after="0" w:line="240" w:lineRule="auto"/>
              <w:jc w:val="right"/>
            </w:pPr>
            <w:r>
              <w:rPr>
                <w:rFonts w:ascii="Calibri" w:hAnsi="Calibri" w:cs="Calibri"/>
                <w:sz w:val="20"/>
              </w:rPr>
              <w:t>15</w:t>
            </w:r>
          </w:p>
        </w:tc>
        <w:tc>
          <w:tcPr>
            <w:tcW w:type="dxa" w:w="1035"/>
            <w:vAlign w:val="center"/>
            <w:tcMar>
              <w:top w:w="100" w:type="dxa"/>
              <w:left w:w="100" w:type="dxa"/>
              <w:bottom w:w="100" w:type="dxa"/>
              <w:right w:w="100" w:type="dxa"/>
            </w:tcMar>
          </w:tcPr>
          <w:p>
            <w:pPr>
              <w:spacing w:after="0" w:line="240" w:lineRule="auto"/>
              <w:jc w:val="right"/>
            </w:pPr>
            <w:r>
              <w:rPr>
                <w:rFonts w:ascii="Calibri" w:hAnsi="Calibri" w:cs="Calibri"/>
                <w:sz w:val="20"/>
              </w:rPr>
              <w:t>16</w:t>
            </w:r>
          </w:p>
        </w:tc>
        <w:tc>
          <w:tcPr>
            <w:tcW w:type="dxa" w:w="1035"/>
            <w:vAlign w:val="center"/>
            <w:tcMar>
              <w:top w:w="100" w:type="dxa"/>
              <w:left w:w="100" w:type="dxa"/>
              <w:bottom w:w="100" w:type="dxa"/>
              <w:right w:w="100" w:type="dxa"/>
            </w:tcMar>
          </w:tcPr>
          <w:p>
            <w:pPr>
              <w:spacing w:after="0" w:line="240" w:lineRule="auto"/>
              <w:jc w:val="right"/>
            </w:pPr>
            <w:r>
              <w:rPr>
                <w:rFonts w:ascii="Calibri" w:hAnsi="Calibri" w:cs="Calibri"/>
                <w:sz w:val="20"/>
              </w:rPr>
              <w:t>17</w:t>
            </w:r>
          </w:p>
        </w:tc>
        <w:tc>
          <w:tcPr>
            <w:tcW w:type="dxa" w:w="1035"/>
            <w:vAlign w:val="center"/>
            <w:tcMar>
              <w:top w:w="100" w:type="dxa"/>
              <w:left w:w="100" w:type="dxa"/>
              <w:bottom w:w="100" w:type="dxa"/>
              <w:right w:w="100" w:type="dxa"/>
            </w:tcMar>
          </w:tcPr>
          <w:p>
            <w:pPr>
              <w:spacing w:after="0" w:line="240" w:lineRule="auto"/>
              <w:jc w:val="right"/>
            </w:pPr>
            <w:r>
              <w:rPr>
                <w:rFonts w:ascii="Calibri" w:hAnsi="Calibri" w:cs="Calibri"/>
                <w:sz w:val="20"/>
              </w:rPr>
              <w:t>18</w:t>
            </w:r>
          </w:p>
        </w:tc>
      </w:tr>
    </w:tbl>
    <w:p>
      <w:pPr>
        <w:jc w:val="both"/>
      </w:pPr>
      <w:r>
        <w:rPr>
          <w:rFonts w:ascii="Calibri" w:hAnsi="Calibri" w:cs="Calibri"/>
        </w:rPr>
        <w:t>La baja mensual es la variable más sensible del modelo y la meta del documento (5.3.3) es de 7 % o menos en la Etapa E2 y 5 % o menos en E3. Se carga con esos valores y no con otros mejores.</w:t>
      </w:r>
    </w:p>
    <w:p>
      <w:pPr>
        <w:jc w:val="both"/>
      </w:pPr>
      <w:r>
        <w:rPr>
          <w:rFonts w:ascii="Calibri" w:hAnsi="Calibri" w:cs="Calibri"/>
        </w:rPr>
        <w:t>Los equipos promedio por cliente están por encima del mínimo que incluye cada plan, lo que hace que el ingreso por equipo adicional no sea marginal: es parte del modelo de ingresos y no un extra.</w:t>
      </w:r>
    </w:p>
    <w:p>
      <w:pPr>
        <w:pStyle w:val="Ttulo1"/>
        <w:pageBreakBefore/>
        <w:jc w:val="both"/>
      </w:pPr>
      <w:r>
        <w:rPr>
          <w:rFonts w:ascii="Calibri" w:hAnsi="Calibri" w:cs="Calibri"/>
        </w:rPr>
        <w:t>2. Proyección de ventas</w:t>
      </w:r>
    </w:p>
    <w:p>
      <w:pPr>
        <w:pStyle w:val="Ttulo2"/>
        <w:jc w:val="both"/>
      </w:pPr>
      <w:r>
        <w:rPr>
          <w:rFonts w:ascii="Calibri" w:hAnsi="Calibri" w:cs="Calibri"/>
        </w:rPr>
        <w:t>2.1. Líneas de servicio</w:t>
      </w:r>
    </w:p>
    <w:p>
      <w:pPr>
        <w:jc w:val="both"/>
      </w:pPr>
      <w:r>
        <w:rPr>
          <w:rFonts w:ascii="Calibri" w:hAnsi="Calibri" w:cs="Calibri"/>
        </w:rPr>
        <w:t>Tres líneas, una por segmento. Los precios salen de la sección 5.3.6 del documento y los costos variables unitarios de la 6.5.3.</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417"/>
        <w:gridCol w:w="1417"/>
        <w:gridCol w:w="1417"/>
        <w:gridCol w:w="1417"/>
        <w:gridCol w:w="1417"/>
        <w:gridCol w:w="1417"/>
      </w:tblGrid>
      <w:tr>
        <w:trPr>
          <w:tblHeader/>
        </w:trPr>
        <w:tc>
          <w:tcPr>
            <w:tcW w:type="dxa" w:w="1342"/>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Plan</w:t>
            </w:r>
          </w:p>
        </w:tc>
        <w:tc>
          <w:tcPr>
            <w:tcW w:type="dxa" w:w="1226"/>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Segmento</w:t>
            </w:r>
          </w:p>
        </w:tc>
        <w:tc>
          <w:tcPr>
            <w:tcW w:type="dxa" w:w="1237"/>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Abono mensual</w:t>
            </w:r>
          </w:p>
        </w:tc>
        <w:tc>
          <w:tcPr>
            <w:tcW w:type="dxa" w:w="1540"/>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Equipos incluidos</w:t>
            </w:r>
          </w:p>
        </w:tc>
        <w:tc>
          <w:tcPr>
            <w:tcW w:type="dxa" w:w="1516"/>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Equipo adicional</w:t>
            </w:r>
          </w:p>
        </w:tc>
        <w:tc>
          <w:tcPr>
            <w:tcW w:type="dxa" w:w="1644"/>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Costo variable por cliente</w:t>
            </w:r>
          </w:p>
        </w:tc>
      </w:tr>
      <w:tr>
        <w:tc>
          <w:tcPr>
            <w:tcW w:type="dxa" w:w="1342"/>
            <w:vAlign w:val="center"/>
            <w:tcMar>
              <w:top w:w="100" w:type="dxa"/>
              <w:left w:w="100" w:type="dxa"/>
              <w:bottom w:w="100" w:type="dxa"/>
              <w:right w:w="100" w:type="dxa"/>
            </w:tcMar>
          </w:tcPr>
          <w:p>
            <w:pPr>
              <w:spacing w:after="0" w:line="240" w:lineRule="auto"/>
              <w:jc w:val="left"/>
            </w:pPr>
            <w:r>
              <w:rPr>
                <w:rFonts w:ascii="Calibri" w:hAnsi="Calibri" w:cs="Calibri"/>
                <w:sz w:val="20"/>
              </w:rPr>
              <w:t>Plan Inicial</w:t>
            </w:r>
          </w:p>
        </w:tc>
        <w:tc>
          <w:tcPr>
            <w:tcW w:type="dxa" w:w="1226"/>
            <w:vAlign w:val="center"/>
            <w:tcMar>
              <w:top w:w="100" w:type="dxa"/>
              <w:left w:w="100" w:type="dxa"/>
              <w:bottom w:w="100" w:type="dxa"/>
              <w:right w:w="100" w:type="dxa"/>
            </w:tcMar>
          </w:tcPr>
          <w:p>
            <w:pPr>
              <w:spacing w:after="0" w:line="240" w:lineRule="auto"/>
              <w:jc w:val="left"/>
            </w:pPr>
            <w:r>
              <w:rPr>
                <w:rFonts w:ascii="Calibri" w:hAnsi="Calibri" w:cs="Calibri"/>
                <w:sz w:val="20"/>
              </w:rPr>
              <w:t>A</w:t>
            </w:r>
          </w:p>
        </w:tc>
        <w:tc>
          <w:tcPr>
            <w:tcW w:type="dxa" w:w="1237"/>
            <w:vAlign w:val="center"/>
            <w:tcMar>
              <w:top w:w="100" w:type="dxa"/>
              <w:left w:w="100" w:type="dxa"/>
              <w:bottom w:w="100" w:type="dxa"/>
              <w:right w:w="100" w:type="dxa"/>
            </w:tcMar>
          </w:tcPr>
          <w:p>
            <w:pPr>
              <w:spacing w:after="0" w:line="240" w:lineRule="auto"/>
              <w:jc w:val="right"/>
            </w:pPr>
            <w:r>
              <w:rPr>
                <w:rFonts w:ascii="Calibri" w:hAnsi="Calibri" w:cs="Calibri"/>
                <w:sz w:val="20"/>
              </w:rPr>
              <w:t>$ 89.000</w:t>
            </w:r>
          </w:p>
        </w:tc>
        <w:tc>
          <w:tcPr>
            <w:tcW w:type="dxa" w:w="1540"/>
            <w:vAlign w:val="center"/>
            <w:tcMar>
              <w:top w:w="100" w:type="dxa"/>
              <w:left w:w="100" w:type="dxa"/>
              <w:bottom w:w="100" w:type="dxa"/>
              <w:right w:w="100" w:type="dxa"/>
            </w:tcMar>
          </w:tcPr>
          <w:p>
            <w:pPr>
              <w:spacing w:after="0" w:line="240" w:lineRule="auto"/>
              <w:jc w:val="right"/>
            </w:pPr>
            <w:r>
              <w:rPr>
                <w:rFonts w:ascii="Calibri" w:hAnsi="Calibri" w:cs="Calibri"/>
                <w:sz w:val="20"/>
              </w:rPr>
              <w:t>15</w:t>
            </w:r>
          </w:p>
        </w:tc>
        <w:tc>
          <w:tcPr>
            <w:tcW w:type="dxa" w:w="1516"/>
            <w:vAlign w:val="center"/>
            <w:tcMar>
              <w:top w:w="100" w:type="dxa"/>
              <w:left w:w="100" w:type="dxa"/>
              <w:bottom w:w="100" w:type="dxa"/>
              <w:right w:w="100" w:type="dxa"/>
            </w:tcMar>
          </w:tcPr>
          <w:p>
            <w:pPr>
              <w:spacing w:after="0" w:line="240" w:lineRule="auto"/>
              <w:jc w:val="right"/>
            </w:pPr>
            <w:r>
              <w:rPr>
                <w:rFonts w:ascii="Calibri" w:hAnsi="Calibri" w:cs="Calibri"/>
                <w:sz w:val="20"/>
              </w:rPr>
              <w:t>$ 4.200</w:t>
            </w:r>
          </w:p>
        </w:tc>
        <w:tc>
          <w:tcPr>
            <w:tcW w:type="dxa" w:w="1644"/>
            <w:vAlign w:val="center"/>
            <w:tcMar>
              <w:top w:w="100" w:type="dxa"/>
              <w:left w:w="100" w:type="dxa"/>
              <w:bottom w:w="100" w:type="dxa"/>
              <w:right w:w="100" w:type="dxa"/>
            </w:tcMar>
          </w:tcPr>
          <w:p>
            <w:pPr>
              <w:spacing w:after="0" w:line="240" w:lineRule="auto"/>
              <w:jc w:val="right"/>
            </w:pPr>
            <w:r>
              <w:rPr>
                <w:rFonts w:ascii="Calibri" w:hAnsi="Calibri" w:cs="Calibri"/>
                <w:sz w:val="20"/>
              </w:rPr>
              <w:t>$ 8.500</w:t>
            </w:r>
          </w:p>
        </w:tc>
      </w:tr>
      <w:tr>
        <w:tc>
          <w:tcPr>
            <w:tcW w:type="dxa" w:w="1342"/>
            <w:vAlign w:val="center"/>
            <w:tcMar>
              <w:top w:w="100" w:type="dxa"/>
              <w:left w:w="100" w:type="dxa"/>
              <w:bottom w:w="100" w:type="dxa"/>
              <w:right w:w="100" w:type="dxa"/>
            </w:tcMar>
          </w:tcPr>
          <w:p>
            <w:pPr>
              <w:spacing w:after="0" w:line="240" w:lineRule="auto"/>
              <w:jc w:val="left"/>
            </w:pPr>
            <w:r>
              <w:rPr>
                <w:rFonts w:ascii="Calibri" w:hAnsi="Calibri" w:cs="Calibri"/>
                <w:sz w:val="20"/>
              </w:rPr>
              <w:t>Plan Estándar</w:t>
            </w:r>
          </w:p>
        </w:tc>
        <w:tc>
          <w:tcPr>
            <w:tcW w:type="dxa" w:w="1226"/>
            <w:vAlign w:val="center"/>
            <w:tcMar>
              <w:top w:w="100" w:type="dxa"/>
              <w:left w:w="100" w:type="dxa"/>
              <w:bottom w:w="100" w:type="dxa"/>
              <w:right w:w="100" w:type="dxa"/>
            </w:tcMar>
          </w:tcPr>
          <w:p>
            <w:pPr>
              <w:spacing w:after="0" w:line="240" w:lineRule="auto"/>
              <w:jc w:val="left"/>
            </w:pPr>
            <w:r>
              <w:rPr>
                <w:rFonts w:ascii="Calibri" w:hAnsi="Calibri" w:cs="Calibri"/>
                <w:sz w:val="20"/>
              </w:rPr>
              <w:t>B</w:t>
            </w:r>
          </w:p>
        </w:tc>
        <w:tc>
          <w:tcPr>
            <w:tcW w:type="dxa" w:w="1237"/>
            <w:vAlign w:val="center"/>
            <w:tcMar>
              <w:top w:w="100" w:type="dxa"/>
              <w:left w:w="100" w:type="dxa"/>
              <w:bottom w:w="100" w:type="dxa"/>
              <w:right w:w="100" w:type="dxa"/>
            </w:tcMar>
          </w:tcPr>
          <w:p>
            <w:pPr>
              <w:spacing w:after="0" w:line="240" w:lineRule="auto"/>
              <w:jc w:val="right"/>
            </w:pPr>
            <w:r>
              <w:rPr>
                <w:rFonts w:ascii="Calibri" w:hAnsi="Calibri" w:cs="Calibri"/>
                <w:sz w:val="20"/>
              </w:rPr>
              <w:t>$ 239.000</w:t>
            </w:r>
          </w:p>
        </w:tc>
        <w:tc>
          <w:tcPr>
            <w:tcW w:type="dxa" w:w="1540"/>
            <w:vAlign w:val="center"/>
            <w:tcMar>
              <w:top w:w="100" w:type="dxa"/>
              <w:left w:w="100" w:type="dxa"/>
              <w:bottom w:w="100" w:type="dxa"/>
              <w:right w:w="100" w:type="dxa"/>
            </w:tcMar>
          </w:tcPr>
          <w:p>
            <w:pPr>
              <w:spacing w:after="0" w:line="240" w:lineRule="auto"/>
              <w:jc w:val="right"/>
            </w:pPr>
            <w:r>
              <w:rPr>
                <w:rFonts w:ascii="Calibri" w:hAnsi="Calibri" w:cs="Calibri"/>
                <w:sz w:val="20"/>
              </w:rPr>
              <w:t>50</w:t>
            </w:r>
          </w:p>
        </w:tc>
        <w:tc>
          <w:tcPr>
            <w:tcW w:type="dxa" w:w="1516"/>
            <w:vAlign w:val="center"/>
            <w:tcMar>
              <w:top w:w="100" w:type="dxa"/>
              <w:left w:w="100" w:type="dxa"/>
              <w:bottom w:w="100" w:type="dxa"/>
              <w:right w:w="100" w:type="dxa"/>
            </w:tcMar>
          </w:tcPr>
          <w:p>
            <w:pPr>
              <w:spacing w:after="0" w:line="240" w:lineRule="auto"/>
              <w:jc w:val="right"/>
            </w:pPr>
            <w:r>
              <w:rPr>
                <w:rFonts w:ascii="Calibri" w:hAnsi="Calibri" w:cs="Calibri"/>
                <w:sz w:val="20"/>
              </w:rPr>
              <w:t>$ 3.500</w:t>
            </w:r>
          </w:p>
        </w:tc>
        <w:tc>
          <w:tcPr>
            <w:tcW w:type="dxa" w:w="1644"/>
            <w:vAlign w:val="center"/>
            <w:tcMar>
              <w:top w:w="100" w:type="dxa"/>
              <w:left w:w="100" w:type="dxa"/>
              <w:bottom w:w="100" w:type="dxa"/>
              <w:right w:w="100" w:type="dxa"/>
            </w:tcMar>
          </w:tcPr>
          <w:p>
            <w:pPr>
              <w:spacing w:after="0" w:line="240" w:lineRule="auto"/>
              <w:jc w:val="right"/>
            </w:pPr>
            <w:r>
              <w:rPr>
                <w:rFonts w:ascii="Calibri" w:hAnsi="Calibri" w:cs="Calibri"/>
                <w:sz w:val="20"/>
              </w:rPr>
              <w:t>$ 25.000</w:t>
            </w:r>
          </w:p>
        </w:tc>
      </w:tr>
      <w:tr>
        <w:tc>
          <w:tcPr>
            <w:tcW w:type="dxa" w:w="1342"/>
            <w:vAlign w:val="center"/>
            <w:tcMar>
              <w:top w:w="100" w:type="dxa"/>
              <w:left w:w="100" w:type="dxa"/>
              <w:bottom w:w="100" w:type="dxa"/>
              <w:right w:w="100" w:type="dxa"/>
            </w:tcMar>
          </w:tcPr>
          <w:p>
            <w:pPr>
              <w:spacing w:after="0" w:line="240" w:lineRule="auto"/>
              <w:jc w:val="left"/>
            </w:pPr>
            <w:r>
              <w:rPr>
                <w:rFonts w:ascii="Calibri" w:hAnsi="Calibri" w:cs="Calibri"/>
                <w:sz w:val="20"/>
              </w:rPr>
              <w:t>Plan Partner</w:t>
            </w:r>
          </w:p>
        </w:tc>
        <w:tc>
          <w:tcPr>
            <w:tcW w:type="dxa" w:w="1226"/>
            <w:vAlign w:val="center"/>
            <w:tcMar>
              <w:top w:w="100" w:type="dxa"/>
              <w:left w:w="100" w:type="dxa"/>
              <w:bottom w:w="100" w:type="dxa"/>
              <w:right w:w="100" w:type="dxa"/>
            </w:tcMar>
          </w:tcPr>
          <w:p>
            <w:pPr>
              <w:spacing w:after="0" w:line="240" w:lineRule="auto"/>
              <w:jc w:val="left"/>
            </w:pPr>
            <w:r>
              <w:rPr>
                <w:rFonts w:ascii="Calibri" w:hAnsi="Calibri" w:cs="Calibri"/>
                <w:sz w:val="20"/>
              </w:rPr>
              <w:t>C</w:t>
            </w:r>
          </w:p>
        </w:tc>
        <w:tc>
          <w:tcPr>
            <w:tcW w:type="dxa" w:w="1237"/>
            <w:vAlign w:val="center"/>
            <w:tcMar>
              <w:top w:w="100" w:type="dxa"/>
              <w:left w:w="100" w:type="dxa"/>
              <w:bottom w:w="100" w:type="dxa"/>
              <w:right w:w="100" w:type="dxa"/>
            </w:tcMar>
          </w:tcPr>
          <w:p>
            <w:pPr>
              <w:spacing w:after="0" w:line="240" w:lineRule="auto"/>
              <w:jc w:val="right"/>
            </w:pPr>
            <w:r>
              <w:rPr>
                <w:rFonts w:ascii="Calibri" w:hAnsi="Calibri" w:cs="Calibri"/>
                <w:sz w:val="20"/>
              </w:rPr>
              <w:t>$ 69.000</w:t>
            </w:r>
          </w:p>
        </w:tc>
        <w:tc>
          <w:tcPr>
            <w:tcW w:type="dxa" w:w="1540"/>
            <w:vAlign w:val="center"/>
            <w:tcMar>
              <w:top w:w="100" w:type="dxa"/>
              <w:left w:w="100" w:type="dxa"/>
              <w:bottom w:w="100" w:type="dxa"/>
              <w:right w:w="100" w:type="dxa"/>
            </w:tcMar>
          </w:tcPr>
          <w:p>
            <w:pPr>
              <w:spacing w:after="0" w:line="240" w:lineRule="auto"/>
              <w:jc w:val="right"/>
            </w:pPr>
            <w:r>
              <w:rPr>
                <w:rFonts w:ascii="Calibri" w:hAnsi="Calibri" w:cs="Calibri"/>
                <w:sz w:val="20"/>
              </w:rPr>
              <w:t>30</w:t>
            </w:r>
          </w:p>
        </w:tc>
        <w:tc>
          <w:tcPr>
            <w:tcW w:type="dxa" w:w="1516"/>
            <w:vAlign w:val="center"/>
            <w:tcMar>
              <w:top w:w="100" w:type="dxa"/>
              <w:left w:w="100" w:type="dxa"/>
              <w:bottom w:w="100" w:type="dxa"/>
              <w:right w:w="100" w:type="dxa"/>
            </w:tcMar>
          </w:tcPr>
          <w:p>
            <w:pPr>
              <w:spacing w:after="0" w:line="240" w:lineRule="auto"/>
              <w:jc w:val="right"/>
            </w:pPr>
            <w:r>
              <w:rPr>
                <w:rFonts w:ascii="Calibri" w:hAnsi="Calibri" w:cs="Calibri"/>
                <w:sz w:val="20"/>
              </w:rPr>
              <w:t>$ 2.800</w:t>
            </w:r>
          </w:p>
        </w:tc>
        <w:tc>
          <w:tcPr>
            <w:tcW w:type="dxa" w:w="1644"/>
            <w:vAlign w:val="center"/>
            <w:tcMar>
              <w:top w:w="100" w:type="dxa"/>
              <w:left w:w="100" w:type="dxa"/>
              <w:bottom w:w="100" w:type="dxa"/>
              <w:right w:w="100" w:type="dxa"/>
            </w:tcMar>
          </w:tcPr>
          <w:p>
            <w:pPr>
              <w:spacing w:after="0" w:line="240" w:lineRule="auto"/>
              <w:jc w:val="right"/>
            </w:pPr>
            <w:r>
              <w:rPr>
                <w:rFonts w:ascii="Calibri" w:hAnsi="Calibri" w:cs="Calibri"/>
                <w:sz w:val="20"/>
              </w:rPr>
              <w:t>$ 7.000</w:t>
            </w:r>
          </w:p>
        </w:tc>
      </w:tr>
    </w:tbl>
    <w:p>
      <w:pPr>
        <w:jc w:val="both"/>
      </w:pPr>
      <w:r>
        <w:rPr>
          <w:rFonts w:ascii="Calibri" w:hAnsi="Calibri" w:cs="Calibri"/>
        </w:rPr>
        <w:t xml:space="preserve">El costo variable de cada línea se compone de tres conceptos: infraestructura por cliente, soporte y onboarding, y el servicio externo de inteligencia artificial. El detalle por concepto está en la hoja </w:t>
      </w:r>
      <w:r>
        <w:rPr>
          <w:rFonts w:ascii="Calibri" w:hAnsi="Calibri" w:cs="Calibri"/>
          <w:b/>
        </w:rPr>
        <w:t>Planes</w:t>
      </w:r>
      <w:r>
        <w:rPr>
          <w:rFonts w:ascii="Calibri" w:hAnsi="Calibri" w:cs="Calibri"/>
        </w:rPr>
        <w:t xml:space="preserve"> del libro, que además calcula el margen de contribución de cada línea a partir de estos valores.</w:t>
      </w:r>
    </w:p>
    <w:p>
      <w:pPr>
        <w:jc w:val="both"/>
      </w:pPr>
      <w:r>
        <w:rPr>
          <w:rFonts w:ascii="Calibri" w:hAnsi="Calibri" w:cs="Calibri"/>
        </w:rPr>
        <w:t>El precio por equipo baja de una línea a la otra —el Plan Estándar cobra menos por equipo que el Inicial, y el Partner menos que los dos— y eso es deliberado: el Estándar tiene escala y el Partner llega por un canal que aporta el contacto y la primera atención.</w:t>
      </w:r>
    </w:p>
    <w:p>
      <w:pPr>
        <w:pStyle w:val="Ttulo2"/>
        <w:jc w:val="both"/>
      </w:pPr>
      <w:r>
        <w:rPr>
          <w:rFonts w:ascii="Calibri" w:hAnsi="Calibri" w:cs="Calibri"/>
        </w:rPr>
        <w:t>2.2. Cómo se construye la proyección</w:t>
      </w:r>
    </w:p>
    <w:p>
      <w:pPr>
        <w:jc w:val="both"/>
      </w:pPr>
      <w:r>
        <w:rPr>
          <w:rFonts w:ascii="Calibri" w:hAnsi="Calibri" w:cs="Calibri"/>
        </w:rPr>
        <w:t xml:space="preserve">La proyección es de </w:t>
      </w:r>
      <w:r>
        <w:rPr>
          <w:rFonts w:ascii="Calibri" w:hAnsi="Calibri" w:cs="Calibri"/>
          <w:b/>
        </w:rPr>
        <w:t>clientes</w:t>
      </w:r>
      <w:r>
        <w:rPr>
          <w:rFonts w:ascii="Calibri" w:hAnsi="Calibri" w:cs="Calibri"/>
        </w:rPr>
        <w:t>, mes a mes y por línea, y de ahí salen los ingresos. No se proyecta facturación directamente: eso esconde si el crecimiento viene de más clientes o de más precio.</w:t>
      </w:r>
    </w:p>
    <w:p>
      <w:pPr>
        <w:jc w:val="both"/>
      </w:pPr>
      <w:r>
        <w:rPr>
          <w:rFonts w:ascii="Calibri" w:hAnsi="Calibri" w:cs="Calibri"/>
        </w:rPr>
        <w:t>Cada mes, por línea:</w:t>
      </w:r>
    </w:p>
    <w:p>
      <w:pPr>
        <w:jc w:val="both"/>
      </w:pPr>
      <w:r>
        <w:rPr>
          <w:rFonts w:ascii="Calibri" w:hAnsi="Calibri" w:cs="Calibri"/>
          <w:b/>
        </w:rPr>
        <w:t>base al inicio + altas − bajas = base activa al cierre</w:t>
      </w:r>
    </w:p>
    <w:p>
      <w:pPr>
        <w:jc w:val="both"/>
      </w:pPr>
      <w:r>
        <w:rPr>
          <w:rFonts w:ascii="Calibri" w:hAnsi="Calibri" w:cs="Calibri"/>
        </w:rPr>
        <w:t>Las altas tienen tres orígenes distintos y se cuentan por separado:</w:t>
      </w:r>
    </w:p>
    <w:p>
      <w:pPr>
        <w:ind w:left="510" w:hanging="510"/>
        <w:jc w:val="both"/>
      </w:pPr>
      <w:r>
        <w:rPr>
          <w:rFonts w:ascii="Calibri" w:hAnsi="Calibri" w:cs="Calibri"/>
        </w:rPr>
        <w:t>1.</w:t>
        <w:tab/>
      </w:r>
      <w:r>
        <w:rPr>
          <w:rFonts w:ascii="Calibri" w:hAnsi="Calibri" w:cs="Calibri"/>
          <w:b/>
        </w:rPr>
        <w:t>Embudo directo.</w:t>
      </w:r>
      <w:r>
        <w:rPr>
          <w:rFonts w:ascii="Calibri" w:hAnsi="Calibri" w:cs="Calibri"/>
        </w:rPr>
        <w:t xml:space="preserve"> Visitas web por las cuatro tasas del punto 1.3. Es el canal del Segmento A.</w:t>
      </w:r>
    </w:p>
    <w:p>
      <w:pPr>
        <w:ind w:left="510" w:hanging="510"/>
        <w:jc w:val="both"/>
      </w:pPr>
      <w:r>
        <w:rPr>
          <w:rFonts w:ascii="Calibri" w:hAnsi="Calibri" w:cs="Calibri"/>
        </w:rPr>
        <w:t>2.</w:t>
        <w:tab/>
      </w:r>
      <w:r>
        <w:rPr>
          <w:rFonts w:ascii="Calibri" w:hAnsi="Calibri" w:cs="Calibri"/>
          <w:b/>
        </w:rPr>
        <w:t>Conversión de pilotos.</w:t>
      </w:r>
      <w:r>
        <w:rPr>
          <w:rFonts w:ascii="Calibri" w:hAnsi="Calibri" w:cs="Calibri"/>
        </w:rPr>
        <w:t xml:space="preserve"> Los cinco pilotos de la Etapa E1, con su tasa de conversión, entrando en el mes 6.</w:t>
      </w:r>
    </w:p>
    <w:p>
      <w:pPr>
        <w:ind w:left="510" w:hanging="510"/>
        <w:jc w:val="both"/>
      </w:pPr>
      <w:r>
        <w:rPr>
          <w:rFonts w:ascii="Calibri" w:hAnsi="Calibri" w:cs="Calibri"/>
        </w:rPr>
        <w:t>3.</w:t>
        <w:tab/>
      </w:r>
      <w:r>
        <w:rPr>
          <w:rFonts w:ascii="Calibri" w:hAnsi="Calibri" w:cs="Calibri"/>
          <w:b/>
        </w:rPr>
        <w:t>Canal de partners.</w:t>
      </w:r>
      <w:r>
        <w:rPr>
          <w:rFonts w:ascii="Calibri" w:hAnsi="Calibri" w:cs="Calibri"/>
        </w:rPr>
        <w:t xml:space="preserve"> Partners activos por clientes gestionados. Alimenta la línea Partner.</w:t>
      </w:r>
    </w:p>
    <w:p>
      <w:pPr>
        <w:jc w:val="both"/>
      </w:pPr>
      <w:r>
        <w:rPr>
          <w:rFonts w:ascii="Calibri" w:hAnsi="Calibri" w:cs="Calibri"/>
        </w:rPr>
        <w:t xml:space="preserve">Las altas del </w:t>
      </w:r>
      <w:r>
        <w:rPr>
          <w:rFonts w:ascii="Calibri" w:hAnsi="Calibri" w:cs="Calibri"/>
          <w:b/>
        </w:rPr>
        <w:t>Plan Estándar</w:t>
      </w:r>
      <w:r>
        <w:rPr>
          <w:rFonts w:ascii="Calibri" w:hAnsi="Calibri" w:cs="Calibri"/>
        </w:rPr>
        <w:t xml:space="preserve"> son un supuesto directo por año y no salen del embudo: el ciclo de venta del Segmento B es de sesenta a noventa días (documento 5.3.5) y el primer cliente no entra por una prueba gratuita. Son 1,2 / 4,8 / 9,6 / 14,4 clientes nuevos por año.</w:t>
      </w:r>
    </w:p>
    <w:p>
      <w:pPr>
        <w:jc w:val="both"/>
      </w:pPr>
      <w:r>
        <w:rPr>
          <w:rFonts w:ascii="Calibri" w:hAnsi="Calibri" w:cs="Calibri"/>
        </w:rPr>
        <w:t>Las bajas se aplican sobre la base al inicio del mes con la tasa del punto 1.5.</w:t>
      </w:r>
    </w:p>
    <w:p>
      <w:pPr>
        <w:pStyle w:val="Ttulo1"/>
        <w:pageBreakBefore/>
        <w:jc w:val="both"/>
      </w:pPr>
      <w:r>
        <w:rPr>
          <w:rFonts w:ascii="Calibri" w:hAnsi="Calibri" w:cs="Calibri"/>
        </w:rPr>
        <w:t>3. Modelo de ingresos</w:t>
      </w:r>
    </w:p>
    <w:p>
      <w:pPr>
        <w:jc w:val="both"/>
      </w:pPr>
      <w:r>
        <w:rPr>
          <w:rFonts w:ascii="Calibri" w:hAnsi="Calibri" w:cs="Calibri"/>
        </w:rPr>
        <w:t>La facturación de cada línea, mes a mes:</w:t>
      </w:r>
    </w:p>
    <w:p>
      <w:pPr>
        <w:jc w:val="both"/>
      </w:pPr>
      <w:r>
        <w:rPr>
          <w:rFonts w:ascii="Calibri" w:hAnsi="Calibri" w:cs="Calibri"/>
          <w:b/>
        </w:rPr>
        <w:t>base activa × abono mensual + (equipos promedio − equipos incluidos) × precio del equipo adicional</w:t>
      </w:r>
    </w:p>
    <w:p>
      <w:pPr>
        <w:jc w:val="both"/>
      </w:pPr>
      <w:r>
        <w:rPr>
          <w:rFonts w:ascii="Calibri" w:hAnsi="Calibri" w:cs="Calibri"/>
        </w:rPr>
        <w:t xml:space="preserve">Las dos partes se informan por separado en la hoja </w:t>
      </w:r>
      <w:r>
        <w:rPr>
          <w:rFonts w:ascii="Calibri" w:hAnsi="Calibri" w:cs="Calibri"/>
          <w:b/>
        </w:rPr>
        <w:t>Modelo de ingresos</w:t>
      </w:r>
      <w:r>
        <w:rPr>
          <w:rFonts w:ascii="Calibri" w:hAnsi="Calibri" w:cs="Calibri"/>
        </w:rPr>
        <w:t>, porque responden preguntas distintas: la primera dice cuántos clientes hay y la segunda cuánto crece el parque que administran.</w:t>
      </w:r>
    </w:p>
    <w:p>
      <w:pPr>
        <w:jc w:val="both"/>
      </w:pPr>
      <w:r>
        <w:rPr>
          <w:rFonts w:ascii="Calibri" w:hAnsi="Calibri" w:cs="Calibri"/>
        </w:rPr>
        <w:t>Los precios se ajustan una vez por año por el supuesto de aumento de precios de lista del punto 1.1, no por inflación. Es una decisión de política comercial: la revisión es trimestral y va apenas por encima de la inflación proyectada, de modo que el precio real no se licúe.</w:t>
      </w:r>
    </w:p>
    <w:p>
      <w:pPr>
        <w:jc w:val="both"/>
      </w:pPr>
      <w:r>
        <w:rPr>
          <w:rFonts w:ascii="Calibri" w:hAnsi="Calibri" w:cs="Calibri"/>
        </w:rPr>
        <w:t>Ninguna línea factura antes de tener base activa, así que el mes 1 no tiene ingresos por definición.</w:t>
      </w:r>
    </w:p>
    <w:p>
      <w:pPr>
        <w:pStyle w:val="Ttulo1"/>
        <w:pageBreakBefore/>
        <w:jc w:val="both"/>
      </w:pPr>
      <w:r>
        <w:rPr>
          <w:rFonts w:ascii="Calibri" w:hAnsi="Calibri" w:cs="Calibri"/>
        </w:rPr>
        <w:t>4. Modelo de egresos</w:t>
      </w:r>
    </w:p>
    <w:p>
      <w:pPr>
        <w:jc w:val="both"/>
      </w:pPr>
      <w:r>
        <w:rPr>
          <w:rFonts w:ascii="Calibri" w:hAnsi="Calibri" w:cs="Calibri"/>
        </w:rPr>
        <w:t>El modelo de egresos no carga ningún importe: consolida las tres estructuras de costo que siguen y las presenta en un solo lugar, mes a mes, con el total.</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835"/>
        <w:gridCol w:w="2835"/>
        <w:gridCol w:w="2835"/>
      </w:tblGrid>
      <w:tr>
        <w:trPr>
          <w:tblHeader/>
        </w:trPr>
        <w:tc>
          <w:tcPr>
            <w:tcW w:type="dxa" w:w="1691"/>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Estructura</w:t>
            </w:r>
          </w:p>
        </w:tc>
        <w:tc>
          <w:tcPr>
            <w:tcW w:type="dxa" w:w="3760"/>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Qué incluye</w:t>
            </w:r>
          </w:p>
        </w:tc>
        <w:tc>
          <w:tcPr>
            <w:tcW w:type="dxa" w:w="3053"/>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De qué depende</w:t>
            </w:r>
          </w:p>
        </w:tc>
      </w:tr>
      <w:tr>
        <w:tc>
          <w:tcPr>
            <w:tcW w:type="dxa" w:w="1691"/>
            <w:vAlign w:val="center"/>
            <w:tcMar>
              <w:top w:w="100" w:type="dxa"/>
              <w:left w:w="100" w:type="dxa"/>
              <w:bottom w:w="100" w:type="dxa"/>
              <w:right w:w="100" w:type="dxa"/>
            </w:tcMar>
          </w:tcPr>
          <w:p>
            <w:pPr>
              <w:spacing w:after="0" w:line="240" w:lineRule="auto"/>
              <w:jc w:val="left"/>
            </w:pPr>
            <w:r>
              <w:rPr>
                <w:rFonts w:ascii="Calibri" w:hAnsi="Calibri" w:cs="Calibri"/>
                <w:sz w:val="20"/>
              </w:rPr>
              <w:t>Costos fijos</w:t>
            </w:r>
          </w:p>
        </w:tc>
        <w:tc>
          <w:tcPr>
            <w:tcW w:type="dxa" w:w="3760"/>
            <w:vAlign w:val="center"/>
            <w:tcMar>
              <w:top w:w="100" w:type="dxa"/>
              <w:left w:w="100" w:type="dxa"/>
              <w:bottom w:w="100" w:type="dxa"/>
              <w:right w:w="100" w:type="dxa"/>
            </w:tcMar>
          </w:tcPr>
          <w:p>
            <w:pPr>
              <w:spacing w:after="0" w:line="240" w:lineRule="auto"/>
              <w:jc w:val="left"/>
            </w:pPr>
            <w:r>
              <w:rPr>
                <w:rFonts w:ascii="Calibri" w:hAnsi="Calibri" w:cs="Calibri"/>
                <w:sz w:val="20"/>
              </w:rPr>
              <w:t>Infraestructura base, herramientas, marketing, administración, operación</w:t>
            </w:r>
          </w:p>
        </w:tc>
        <w:tc>
          <w:tcPr>
            <w:tcW w:type="dxa" w:w="3053"/>
            <w:vAlign w:val="center"/>
            <w:tcMar>
              <w:top w:w="100" w:type="dxa"/>
              <w:left w:w="100" w:type="dxa"/>
              <w:bottom w:w="100" w:type="dxa"/>
              <w:right w:w="100" w:type="dxa"/>
            </w:tcMar>
          </w:tcPr>
          <w:p>
            <w:pPr>
              <w:spacing w:after="0" w:line="240" w:lineRule="auto"/>
              <w:jc w:val="left"/>
            </w:pPr>
            <w:r>
              <w:rPr>
                <w:rFonts w:ascii="Calibri" w:hAnsi="Calibri" w:cs="Calibri"/>
                <w:sz w:val="20"/>
              </w:rPr>
              <w:t>Del año, no del volumen</w:t>
            </w:r>
          </w:p>
        </w:tc>
      </w:tr>
      <w:tr>
        <w:tc>
          <w:tcPr>
            <w:tcW w:type="dxa" w:w="1691"/>
            <w:vAlign w:val="center"/>
            <w:tcMar>
              <w:top w:w="100" w:type="dxa"/>
              <w:left w:w="100" w:type="dxa"/>
              <w:bottom w:w="100" w:type="dxa"/>
              <w:right w:w="100" w:type="dxa"/>
            </w:tcMar>
          </w:tcPr>
          <w:p>
            <w:pPr>
              <w:spacing w:after="0" w:line="240" w:lineRule="auto"/>
              <w:jc w:val="left"/>
            </w:pPr>
            <w:r>
              <w:rPr>
                <w:rFonts w:ascii="Calibri" w:hAnsi="Calibri" w:cs="Calibri"/>
                <w:sz w:val="20"/>
              </w:rPr>
              <w:t>Costos variables</w:t>
            </w:r>
          </w:p>
        </w:tc>
        <w:tc>
          <w:tcPr>
            <w:tcW w:type="dxa" w:w="3760"/>
            <w:vAlign w:val="center"/>
            <w:tcMar>
              <w:top w:w="100" w:type="dxa"/>
              <w:left w:w="100" w:type="dxa"/>
              <w:bottom w:w="100" w:type="dxa"/>
              <w:right w:w="100" w:type="dxa"/>
            </w:tcMar>
          </w:tcPr>
          <w:p>
            <w:pPr>
              <w:spacing w:after="0" w:line="240" w:lineRule="auto"/>
              <w:jc w:val="left"/>
            </w:pPr>
            <w:r>
              <w:rPr>
                <w:rFonts w:ascii="Calibri" w:hAnsi="Calibri" w:cs="Calibri"/>
                <w:sz w:val="20"/>
              </w:rPr>
              <w:t>Infraestructura por cliente, soporte y onboarding, servicio de IA</w:t>
            </w:r>
          </w:p>
        </w:tc>
        <w:tc>
          <w:tcPr>
            <w:tcW w:type="dxa" w:w="3053"/>
            <w:vAlign w:val="center"/>
            <w:tcMar>
              <w:top w:w="100" w:type="dxa"/>
              <w:left w:w="100" w:type="dxa"/>
              <w:bottom w:w="100" w:type="dxa"/>
              <w:right w:w="100" w:type="dxa"/>
            </w:tcMar>
          </w:tcPr>
          <w:p>
            <w:pPr>
              <w:spacing w:after="0" w:line="240" w:lineRule="auto"/>
              <w:jc w:val="left"/>
            </w:pPr>
            <w:r>
              <w:rPr>
                <w:rFonts w:ascii="Calibri" w:hAnsi="Calibri" w:cs="Calibri"/>
                <w:sz w:val="20"/>
              </w:rPr>
              <w:t>De la cantidad de clientes activos</w:t>
            </w:r>
          </w:p>
        </w:tc>
      </w:tr>
      <w:tr>
        <w:tc>
          <w:tcPr>
            <w:tcW w:type="dxa" w:w="1691"/>
            <w:vAlign w:val="center"/>
            <w:tcMar>
              <w:top w:w="100" w:type="dxa"/>
              <w:left w:w="100" w:type="dxa"/>
              <w:bottom w:w="100" w:type="dxa"/>
              <w:right w:w="100" w:type="dxa"/>
            </w:tcMar>
          </w:tcPr>
          <w:p>
            <w:pPr>
              <w:spacing w:after="0" w:line="240" w:lineRule="auto"/>
              <w:jc w:val="left"/>
            </w:pPr>
            <w:r>
              <w:rPr>
                <w:rFonts w:ascii="Calibri" w:hAnsi="Calibri" w:cs="Calibri"/>
                <w:sz w:val="20"/>
              </w:rPr>
              <w:t>Costos de RRHH</w:t>
            </w:r>
          </w:p>
        </w:tc>
        <w:tc>
          <w:tcPr>
            <w:tcW w:type="dxa" w:w="3760"/>
            <w:vAlign w:val="center"/>
            <w:tcMar>
              <w:top w:w="100" w:type="dxa"/>
              <w:left w:w="100" w:type="dxa"/>
              <w:bottom w:w="100" w:type="dxa"/>
              <w:right w:w="100" w:type="dxa"/>
            </w:tcMar>
          </w:tcPr>
          <w:p>
            <w:pPr>
              <w:spacing w:after="0" w:line="240" w:lineRule="auto"/>
              <w:jc w:val="left"/>
            </w:pPr>
            <w:r>
              <w:rPr>
                <w:rFonts w:ascii="Calibri" w:hAnsi="Calibri" w:cs="Calibri"/>
                <w:sz w:val="20"/>
              </w:rPr>
              <w:t>Salarios brutos y cargas sociales</w:t>
            </w:r>
          </w:p>
        </w:tc>
        <w:tc>
          <w:tcPr>
            <w:tcW w:type="dxa" w:w="3053"/>
            <w:vAlign w:val="center"/>
            <w:tcMar>
              <w:top w:w="100" w:type="dxa"/>
              <w:left w:w="100" w:type="dxa"/>
              <w:bottom w:w="100" w:type="dxa"/>
              <w:right w:w="100" w:type="dxa"/>
            </w:tcMar>
          </w:tcPr>
          <w:p>
            <w:pPr>
              <w:spacing w:after="0" w:line="240" w:lineRule="auto"/>
              <w:jc w:val="left"/>
            </w:pPr>
            <w:r>
              <w:rPr>
                <w:rFonts w:ascii="Calibri" w:hAnsi="Calibri" w:cs="Calibri"/>
                <w:sz w:val="20"/>
              </w:rPr>
              <w:t>De la plantilla y del mes de incorporación de cada rol</w:t>
            </w:r>
          </w:p>
        </w:tc>
      </w:tr>
    </w:tbl>
    <w:p>
      <w:pPr>
        <w:jc w:val="both"/>
      </w:pPr>
      <w:r>
        <w:rPr>
          <w:rFonts w:ascii="Calibri" w:hAnsi="Calibri" w:cs="Calibri"/>
        </w:rPr>
        <w:t>Están separadas porque se comportan distinto y porque el punto de equilibrio sólo se puede calcular si se distingue lo que crece con cada cliente de lo que no. Un modelo que suma todo en «gastos» no permite responder cuántos clientes hacen falta para cubrir la estructura.</w:t>
      </w:r>
    </w:p>
    <w:p>
      <w:pPr>
        <w:pStyle w:val="Ttulo1"/>
        <w:pageBreakBefore/>
        <w:jc w:val="both"/>
      </w:pPr>
      <w:r>
        <w:rPr>
          <w:rFonts w:ascii="Calibri" w:hAnsi="Calibri" w:cs="Calibri"/>
        </w:rPr>
        <w:t>5. Costos fijos</w:t>
      </w:r>
    </w:p>
    <w:p>
      <w:pPr>
        <w:jc w:val="both"/>
      </w:pPr>
      <w:r>
        <w:rPr>
          <w:rFonts w:ascii="Calibri" w:hAnsi="Calibri" w:cs="Calibri"/>
        </w:rPr>
        <w:t>No dependen del volumen de clientes. Se carga el importe mensual de cada concepto por año y dentro del año se ajusta por el supuesto de inflación.</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417"/>
        <w:gridCol w:w="1417"/>
        <w:gridCol w:w="1417"/>
        <w:gridCol w:w="1417"/>
        <w:gridCol w:w="1417"/>
        <w:gridCol w:w="1417"/>
      </w:tblGrid>
      <w:tr>
        <w:trPr>
          <w:tblHeader/>
        </w:trPr>
        <w:tc>
          <w:tcPr>
            <w:tcW w:type="dxa" w:w="2309"/>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Concepto</w:t>
            </w:r>
          </w:p>
        </w:tc>
        <w:tc>
          <w:tcPr>
            <w:tcW w:type="dxa" w:w="1975"/>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Rubro</w:t>
            </w:r>
          </w:p>
        </w:tc>
        <w:tc>
          <w:tcPr>
            <w:tcW w:type="dxa" w:w="1055"/>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2027</w:t>
            </w:r>
          </w:p>
        </w:tc>
        <w:tc>
          <w:tcPr>
            <w:tcW w:type="dxa" w:w="1055"/>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2028</w:t>
            </w:r>
          </w:p>
        </w:tc>
        <w:tc>
          <w:tcPr>
            <w:tcW w:type="dxa" w:w="1055"/>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2029</w:t>
            </w:r>
          </w:p>
        </w:tc>
        <w:tc>
          <w:tcPr>
            <w:tcW w:type="dxa" w:w="1055"/>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2030</w:t>
            </w:r>
          </w:p>
        </w:tc>
      </w:tr>
      <w:tr>
        <w:tc>
          <w:tcPr>
            <w:tcW w:type="dxa" w:w="2309"/>
            <w:vAlign w:val="center"/>
            <w:tcMar>
              <w:top w:w="100" w:type="dxa"/>
              <w:left w:w="100" w:type="dxa"/>
              <w:bottom w:w="100" w:type="dxa"/>
              <w:right w:w="100" w:type="dxa"/>
            </w:tcMar>
          </w:tcPr>
          <w:p>
            <w:pPr>
              <w:spacing w:after="0" w:line="240" w:lineRule="auto"/>
              <w:jc w:val="left"/>
            </w:pPr>
            <w:r>
              <w:rPr>
                <w:rFonts w:ascii="Calibri" w:hAnsi="Calibri" w:cs="Calibri"/>
                <w:sz w:val="20"/>
              </w:rPr>
              <w:t>Infraestructura en la nube (base)</w:t>
            </w:r>
          </w:p>
        </w:tc>
        <w:tc>
          <w:tcPr>
            <w:tcW w:type="dxa" w:w="1975"/>
            <w:vAlign w:val="center"/>
            <w:tcMar>
              <w:top w:w="100" w:type="dxa"/>
              <w:left w:w="100" w:type="dxa"/>
              <w:bottom w:w="100" w:type="dxa"/>
              <w:right w:w="100" w:type="dxa"/>
            </w:tcMar>
          </w:tcPr>
          <w:p>
            <w:pPr>
              <w:spacing w:after="0" w:line="240" w:lineRule="auto"/>
              <w:jc w:val="left"/>
            </w:pPr>
            <w:r>
              <w:rPr>
                <w:rFonts w:ascii="Calibri" w:hAnsi="Calibri" w:cs="Calibri"/>
                <w:sz w:val="20"/>
              </w:rPr>
              <w:t>Infraestructura</w:t>
            </w:r>
          </w:p>
        </w:tc>
        <w:tc>
          <w:tcPr>
            <w:tcW w:type="dxa" w:w="1055"/>
            <w:vAlign w:val="center"/>
            <w:tcMar>
              <w:top w:w="100" w:type="dxa"/>
              <w:left w:w="100" w:type="dxa"/>
              <w:bottom w:w="100" w:type="dxa"/>
              <w:right w:w="100" w:type="dxa"/>
            </w:tcMar>
          </w:tcPr>
          <w:p>
            <w:pPr>
              <w:spacing w:after="0" w:line="240" w:lineRule="auto"/>
              <w:jc w:val="right"/>
            </w:pPr>
            <w:r>
              <w:rPr>
                <w:rFonts w:ascii="Calibri" w:hAnsi="Calibri" w:cs="Calibri"/>
                <w:sz w:val="20"/>
              </w:rPr>
              <w:t>$ 120.000</w:t>
            </w:r>
          </w:p>
        </w:tc>
        <w:tc>
          <w:tcPr>
            <w:tcW w:type="dxa" w:w="1055"/>
            <w:vAlign w:val="center"/>
            <w:tcMar>
              <w:top w:w="100" w:type="dxa"/>
              <w:left w:w="100" w:type="dxa"/>
              <w:bottom w:w="100" w:type="dxa"/>
              <w:right w:w="100" w:type="dxa"/>
            </w:tcMar>
          </w:tcPr>
          <w:p>
            <w:pPr>
              <w:spacing w:after="0" w:line="240" w:lineRule="auto"/>
              <w:jc w:val="right"/>
            </w:pPr>
            <w:r>
              <w:rPr>
                <w:rFonts w:ascii="Calibri" w:hAnsi="Calibri" w:cs="Calibri"/>
                <w:sz w:val="20"/>
              </w:rPr>
              <w:t>$ 200.000</w:t>
            </w:r>
          </w:p>
        </w:tc>
        <w:tc>
          <w:tcPr>
            <w:tcW w:type="dxa" w:w="1055"/>
            <w:vAlign w:val="center"/>
            <w:tcMar>
              <w:top w:w="100" w:type="dxa"/>
              <w:left w:w="100" w:type="dxa"/>
              <w:bottom w:w="100" w:type="dxa"/>
              <w:right w:w="100" w:type="dxa"/>
            </w:tcMar>
          </w:tcPr>
          <w:p>
            <w:pPr>
              <w:spacing w:after="0" w:line="240" w:lineRule="auto"/>
              <w:jc w:val="right"/>
            </w:pPr>
            <w:r>
              <w:rPr>
                <w:rFonts w:ascii="Calibri" w:hAnsi="Calibri" w:cs="Calibri"/>
                <w:sz w:val="20"/>
              </w:rPr>
              <w:t>$ 320.000</w:t>
            </w:r>
          </w:p>
        </w:tc>
        <w:tc>
          <w:tcPr>
            <w:tcW w:type="dxa" w:w="1055"/>
            <w:vAlign w:val="center"/>
            <w:tcMar>
              <w:top w:w="100" w:type="dxa"/>
              <w:left w:w="100" w:type="dxa"/>
              <w:bottom w:w="100" w:type="dxa"/>
              <w:right w:w="100" w:type="dxa"/>
            </w:tcMar>
          </w:tcPr>
          <w:p>
            <w:pPr>
              <w:spacing w:after="0" w:line="240" w:lineRule="auto"/>
              <w:jc w:val="right"/>
            </w:pPr>
            <w:r>
              <w:rPr>
                <w:rFonts w:ascii="Calibri" w:hAnsi="Calibri" w:cs="Calibri"/>
                <w:sz w:val="20"/>
              </w:rPr>
              <w:t>$ 430.000</w:t>
            </w:r>
          </w:p>
        </w:tc>
      </w:tr>
      <w:tr>
        <w:tc>
          <w:tcPr>
            <w:tcW w:type="dxa" w:w="2309"/>
            <w:vAlign w:val="center"/>
            <w:tcMar>
              <w:top w:w="100" w:type="dxa"/>
              <w:left w:w="100" w:type="dxa"/>
              <w:bottom w:w="100" w:type="dxa"/>
              <w:right w:w="100" w:type="dxa"/>
            </w:tcMar>
          </w:tcPr>
          <w:p>
            <w:pPr>
              <w:spacing w:after="0" w:line="240" w:lineRule="auto"/>
              <w:jc w:val="left"/>
            </w:pPr>
            <w:r>
              <w:rPr>
                <w:rFonts w:ascii="Calibri" w:hAnsi="Calibri" w:cs="Calibri"/>
                <w:sz w:val="20"/>
              </w:rPr>
              <w:t>Herramientas y licencias de desarrollo</w:t>
            </w:r>
          </w:p>
        </w:tc>
        <w:tc>
          <w:tcPr>
            <w:tcW w:type="dxa" w:w="1975"/>
            <w:vAlign w:val="center"/>
            <w:tcMar>
              <w:top w:w="100" w:type="dxa"/>
              <w:left w:w="100" w:type="dxa"/>
              <w:bottom w:w="100" w:type="dxa"/>
              <w:right w:w="100" w:type="dxa"/>
            </w:tcMar>
          </w:tcPr>
          <w:p>
            <w:pPr>
              <w:spacing w:after="0" w:line="240" w:lineRule="auto"/>
              <w:jc w:val="left"/>
            </w:pPr>
            <w:r>
              <w:rPr>
                <w:rFonts w:ascii="Calibri" w:hAnsi="Calibri" w:cs="Calibri"/>
                <w:sz w:val="20"/>
              </w:rPr>
              <w:t>Infraestructura</w:t>
            </w:r>
          </w:p>
        </w:tc>
        <w:tc>
          <w:tcPr>
            <w:tcW w:type="dxa" w:w="1055"/>
            <w:vAlign w:val="center"/>
            <w:tcMar>
              <w:top w:w="100" w:type="dxa"/>
              <w:left w:w="100" w:type="dxa"/>
              <w:bottom w:w="100" w:type="dxa"/>
              <w:right w:w="100" w:type="dxa"/>
            </w:tcMar>
          </w:tcPr>
          <w:p>
            <w:pPr>
              <w:spacing w:after="0" w:line="240" w:lineRule="auto"/>
              <w:jc w:val="right"/>
            </w:pPr>
            <w:r>
              <w:rPr>
                <w:rFonts w:ascii="Calibri" w:hAnsi="Calibri" w:cs="Calibri"/>
                <w:sz w:val="20"/>
              </w:rPr>
              <w:t>$ 40.000</w:t>
            </w:r>
          </w:p>
        </w:tc>
        <w:tc>
          <w:tcPr>
            <w:tcW w:type="dxa" w:w="1055"/>
            <w:vAlign w:val="center"/>
            <w:tcMar>
              <w:top w:w="100" w:type="dxa"/>
              <w:left w:w="100" w:type="dxa"/>
              <w:bottom w:w="100" w:type="dxa"/>
              <w:right w:w="100" w:type="dxa"/>
            </w:tcMar>
          </w:tcPr>
          <w:p>
            <w:pPr>
              <w:spacing w:after="0" w:line="240" w:lineRule="auto"/>
              <w:jc w:val="right"/>
            </w:pPr>
            <w:r>
              <w:rPr>
                <w:rFonts w:ascii="Calibri" w:hAnsi="Calibri" w:cs="Calibri"/>
                <w:sz w:val="20"/>
              </w:rPr>
              <w:t>$ 60.000</w:t>
            </w:r>
          </w:p>
        </w:tc>
        <w:tc>
          <w:tcPr>
            <w:tcW w:type="dxa" w:w="1055"/>
            <w:vAlign w:val="center"/>
            <w:tcMar>
              <w:top w:w="100" w:type="dxa"/>
              <w:left w:w="100" w:type="dxa"/>
              <w:bottom w:w="100" w:type="dxa"/>
              <w:right w:w="100" w:type="dxa"/>
            </w:tcMar>
          </w:tcPr>
          <w:p>
            <w:pPr>
              <w:spacing w:after="0" w:line="240" w:lineRule="auto"/>
              <w:jc w:val="right"/>
            </w:pPr>
            <w:r>
              <w:rPr>
                <w:rFonts w:ascii="Calibri" w:hAnsi="Calibri" w:cs="Calibri"/>
                <w:sz w:val="20"/>
              </w:rPr>
              <w:t>$ 90.000</w:t>
            </w:r>
          </w:p>
        </w:tc>
        <w:tc>
          <w:tcPr>
            <w:tcW w:type="dxa" w:w="1055"/>
            <w:vAlign w:val="center"/>
            <w:tcMar>
              <w:top w:w="100" w:type="dxa"/>
              <w:left w:w="100" w:type="dxa"/>
              <w:bottom w:w="100" w:type="dxa"/>
              <w:right w:w="100" w:type="dxa"/>
            </w:tcMar>
          </w:tcPr>
          <w:p>
            <w:pPr>
              <w:spacing w:after="0" w:line="240" w:lineRule="auto"/>
              <w:jc w:val="right"/>
            </w:pPr>
            <w:r>
              <w:rPr>
                <w:rFonts w:ascii="Calibri" w:hAnsi="Calibri" w:cs="Calibri"/>
                <w:sz w:val="20"/>
              </w:rPr>
              <w:t>$ 120.000</w:t>
            </w:r>
          </w:p>
        </w:tc>
      </w:tr>
      <w:tr>
        <w:tc>
          <w:tcPr>
            <w:tcW w:type="dxa" w:w="2309"/>
            <w:vAlign w:val="center"/>
            <w:tcMar>
              <w:top w:w="100" w:type="dxa"/>
              <w:left w:w="100" w:type="dxa"/>
              <w:bottom w:w="100" w:type="dxa"/>
              <w:right w:w="100" w:type="dxa"/>
            </w:tcMar>
          </w:tcPr>
          <w:p>
            <w:pPr>
              <w:spacing w:after="0" w:line="240" w:lineRule="auto"/>
              <w:jc w:val="left"/>
            </w:pPr>
            <w:r>
              <w:rPr>
                <w:rFonts w:ascii="Calibri" w:hAnsi="Calibri" w:cs="Calibri"/>
                <w:sz w:val="20"/>
              </w:rPr>
              <w:t>Marketing y contenidos</w:t>
            </w:r>
          </w:p>
        </w:tc>
        <w:tc>
          <w:tcPr>
            <w:tcW w:type="dxa" w:w="1975"/>
            <w:vAlign w:val="center"/>
            <w:tcMar>
              <w:top w:w="100" w:type="dxa"/>
              <w:left w:w="100" w:type="dxa"/>
              <w:bottom w:w="100" w:type="dxa"/>
              <w:right w:w="100" w:type="dxa"/>
            </w:tcMar>
          </w:tcPr>
          <w:p>
            <w:pPr>
              <w:spacing w:after="0" w:line="240" w:lineRule="auto"/>
              <w:jc w:val="left"/>
            </w:pPr>
            <w:r>
              <w:rPr>
                <w:rFonts w:ascii="Calibri" w:hAnsi="Calibri" w:cs="Calibri"/>
                <w:sz w:val="20"/>
              </w:rPr>
              <w:t>Comercial</w:t>
            </w:r>
          </w:p>
        </w:tc>
        <w:tc>
          <w:tcPr>
            <w:tcW w:type="dxa" w:w="1055"/>
            <w:vAlign w:val="center"/>
            <w:tcMar>
              <w:top w:w="100" w:type="dxa"/>
              <w:left w:w="100" w:type="dxa"/>
              <w:bottom w:w="100" w:type="dxa"/>
              <w:right w:w="100" w:type="dxa"/>
            </w:tcMar>
          </w:tcPr>
          <w:p>
            <w:pPr>
              <w:spacing w:after="0" w:line="240" w:lineRule="auto"/>
              <w:jc w:val="right"/>
            </w:pPr>
            <w:r>
              <w:rPr>
                <w:rFonts w:ascii="Calibri" w:hAnsi="Calibri" w:cs="Calibri"/>
                <w:sz w:val="20"/>
              </w:rPr>
              <w:t>$ 175.000</w:t>
            </w:r>
          </w:p>
        </w:tc>
        <w:tc>
          <w:tcPr>
            <w:tcW w:type="dxa" w:w="1055"/>
            <w:vAlign w:val="center"/>
            <w:tcMar>
              <w:top w:w="100" w:type="dxa"/>
              <w:left w:w="100" w:type="dxa"/>
              <w:bottom w:w="100" w:type="dxa"/>
              <w:right w:w="100" w:type="dxa"/>
            </w:tcMar>
          </w:tcPr>
          <w:p>
            <w:pPr>
              <w:spacing w:after="0" w:line="240" w:lineRule="auto"/>
              <w:jc w:val="right"/>
            </w:pPr>
            <w:r>
              <w:rPr>
                <w:rFonts w:ascii="Calibri" w:hAnsi="Calibri" w:cs="Calibri"/>
                <w:sz w:val="20"/>
              </w:rPr>
              <w:t>$ 260.000</w:t>
            </w:r>
          </w:p>
        </w:tc>
        <w:tc>
          <w:tcPr>
            <w:tcW w:type="dxa" w:w="1055"/>
            <w:vAlign w:val="center"/>
            <w:tcMar>
              <w:top w:w="100" w:type="dxa"/>
              <w:left w:w="100" w:type="dxa"/>
              <w:bottom w:w="100" w:type="dxa"/>
              <w:right w:w="100" w:type="dxa"/>
            </w:tcMar>
          </w:tcPr>
          <w:p>
            <w:pPr>
              <w:spacing w:after="0" w:line="240" w:lineRule="auto"/>
              <w:jc w:val="right"/>
            </w:pPr>
            <w:r>
              <w:rPr>
                <w:rFonts w:ascii="Calibri" w:hAnsi="Calibri" w:cs="Calibri"/>
                <w:sz w:val="20"/>
              </w:rPr>
              <w:t>$ 340.000</w:t>
            </w:r>
          </w:p>
        </w:tc>
        <w:tc>
          <w:tcPr>
            <w:tcW w:type="dxa" w:w="1055"/>
            <w:vAlign w:val="center"/>
            <w:tcMar>
              <w:top w:w="100" w:type="dxa"/>
              <w:left w:w="100" w:type="dxa"/>
              <w:bottom w:w="100" w:type="dxa"/>
              <w:right w:w="100" w:type="dxa"/>
            </w:tcMar>
          </w:tcPr>
          <w:p>
            <w:pPr>
              <w:spacing w:after="0" w:line="240" w:lineRule="auto"/>
              <w:jc w:val="right"/>
            </w:pPr>
            <w:r>
              <w:rPr>
                <w:rFonts w:ascii="Calibri" w:hAnsi="Calibri" w:cs="Calibri"/>
                <w:sz w:val="20"/>
              </w:rPr>
              <w:t>$ 420.000</w:t>
            </w:r>
          </w:p>
        </w:tc>
      </w:tr>
      <w:tr>
        <w:tc>
          <w:tcPr>
            <w:tcW w:type="dxa" w:w="2309"/>
            <w:vAlign w:val="center"/>
            <w:tcMar>
              <w:top w:w="100" w:type="dxa"/>
              <w:left w:w="100" w:type="dxa"/>
              <w:bottom w:w="100" w:type="dxa"/>
              <w:right w:w="100" w:type="dxa"/>
            </w:tcMar>
          </w:tcPr>
          <w:p>
            <w:pPr>
              <w:spacing w:after="0" w:line="240" w:lineRule="auto"/>
              <w:jc w:val="left"/>
            </w:pPr>
            <w:r>
              <w:rPr>
                <w:rFonts w:ascii="Calibri" w:hAnsi="Calibri" w:cs="Calibri"/>
                <w:sz w:val="20"/>
              </w:rPr>
              <w:t>Estudio contable y legales</w:t>
            </w:r>
          </w:p>
        </w:tc>
        <w:tc>
          <w:tcPr>
            <w:tcW w:type="dxa" w:w="1975"/>
            <w:vAlign w:val="center"/>
            <w:tcMar>
              <w:top w:w="100" w:type="dxa"/>
              <w:left w:w="100" w:type="dxa"/>
              <w:bottom w:w="100" w:type="dxa"/>
              <w:right w:w="100" w:type="dxa"/>
            </w:tcMar>
          </w:tcPr>
          <w:p>
            <w:pPr>
              <w:spacing w:after="0" w:line="240" w:lineRule="auto"/>
              <w:jc w:val="left"/>
            </w:pPr>
            <w:r>
              <w:rPr>
                <w:rFonts w:ascii="Calibri" w:hAnsi="Calibri" w:cs="Calibri"/>
                <w:sz w:val="20"/>
              </w:rPr>
              <w:t>Administración</w:t>
            </w:r>
          </w:p>
        </w:tc>
        <w:tc>
          <w:tcPr>
            <w:tcW w:type="dxa" w:w="1055"/>
            <w:vAlign w:val="center"/>
            <w:tcMar>
              <w:top w:w="100" w:type="dxa"/>
              <w:left w:w="100" w:type="dxa"/>
              <w:bottom w:w="100" w:type="dxa"/>
              <w:right w:w="100" w:type="dxa"/>
            </w:tcMar>
          </w:tcPr>
          <w:p>
            <w:pPr>
              <w:spacing w:after="0" w:line="240" w:lineRule="auto"/>
              <w:jc w:val="right"/>
            </w:pPr>
            <w:r>
              <w:rPr>
                <w:rFonts w:ascii="Calibri" w:hAnsi="Calibri" w:cs="Calibri"/>
                <w:sz w:val="20"/>
              </w:rPr>
              <w:t>$ 105.000</w:t>
            </w:r>
          </w:p>
        </w:tc>
        <w:tc>
          <w:tcPr>
            <w:tcW w:type="dxa" w:w="1055"/>
            <w:vAlign w:val="center"/>
            <w:tcMar>
              <w:top w:w="100" w:type="dxa"/>
              <w:left w:w="100" w:type="dxa"/>
              <w:bottom w:w="100" w:type="dxa"/>
              <w:right w:w="100" w:type="dxa"/>
            </w:tcMar>
          </w:tcPr>
          <w:p>
            <w:pPr>
              <w:spacing w:after="0" w:line="240" w:lineRule="auto"/>
              <w:jc w:val="right"/>
            </w:pPr>
            <w:r>
              <w:rPr>
                <w:rFonts w:ascii="Calibri" w:hAnsi="Calibri" w:cs="Calibri"/>
                <w:sz w:val="20"/>
              </w:rPr>
              <w:t>$ 130.000</w:t>
            </w:r>
          </w:p>
        </w:tc>
        <w:tc>
          <w:tcPr>
            <w:tcW w:type="dxa" w:w="1055"/>
            <w:vAlign w:val="center"/>
            <w:tcMar>
              <w:top w:w="100" w:type="dxa"/>
              <w:left w:w="100" w:type="dxa"/>
              <w:bottom w:w="100" w:type="dxa"/>
              <w:right w:w="100" w:type="dxa"/>
            </w:tcMar>
          </w:tcPr>
          <w:p>
            <w:pPr>
              <w:spacing w:after="0" w:line="240" w:lineRule="auto"/>
              <w:jc w:val="right"/>
            </w:pPr>
            <w:r>
              <w:rPr>
                <w:rFonts w:ascii="Calibri" w:hAnsi="Calibri" w:cs="Calibri"/>
                <w:sz w:val="20"/>
              </w:rPr>
              <w:t>$ 170.000</w:t>
            </w:r>
          </w:p>
        </w:tc>
        <w:tc>
          <w:tcPr>
            <w:tcW w:type="dxa" w:w="1055"/>
            <w:vAlign w:val="center"/>
            <w:tcMar>
              <w:top w:w="100" w:type="dxa"/>
              <w:left w:w="100" w:type="dxa"/>
              <w:bottom w:w="100" w:type="dxa"/>
              <w:right w:w="100" w:type="dxa"/>
            </w:tcMar>
          </w:tcPr>
          <w:p>
            <w:pPr>
              <w:spacing w:after="0" w:line="240" w:lineRule="auto"/>
              <w:jc w:val="right"/>
            </w:pPr>
            <w:r>
              <w:rPr>
                <w:rFonts w:ascii="Calibri" w:hAnsi="Calibri" w:cs="Calibri"/>
                <w:sz w:val="20"/>
              </w:rPr>
              <w:t>$ 210.000</w:t>
            </w:r>
          </w:p>
        </w:tc>
      </w:tr>
      <w:tr>
        <w:tc>
          <w:tcPr>
            <w:tcW w:type="dxa" w:w="2309"/>
            <w:vAlign w:val="center"/>
            <w:tcMar>
              <w:top w:w="100" w:type="dxa"/>
              <w:left w:w="100" w:type="dxa"/>
              <w:bottom w:w="100" w:type="dxa"/>
              <w:right w:w="100" w:type="dxa"/>
            </w:tcMar>
          </w:tcPr>
          <w:p>
            <w:pPr>
              <w:spacing w:after="0" w:line="240" w:lineRule="auto"/>
              <w:jc w:val="left"/>
            </w:pPr>
            <w:r>
              <w:rPr>
                <w:rFonts w:ascii="Calibri" w:hAnsi="Calibri" w:cs="Calibri"/>
                <w:sz w:val="20"/>
              </w:rPr>
              <w:t>Espacio de trabajo, internet y telefonía</w:t>
            </w:r>
          </w:p>
        </w:tc>
        <w:tc>
          <w:tcPr>
            <w:tcW w:type="dxa" w:w="1975"/>
            <w:vAlign w:val="center"/>
            <w:tcMar>
              <w:top w:w="100" w:type="dxa"/>
              <w:left w:w="100" w:type="dxa"/>
              <w:bottom w:w="100" w:type="dxa"/>
              <w:right w:w="100" w:type="dxa"/>
            </w:tcMar>
          </w:tcPr>
          <w:p>
            <w:pPr>
              <w:spacing w:after="0" w:line="240" w:lineRule="auto"/>
              <w:jc w:val="left"/>
            </w:pPr>
            <w:r>
              <w:rPr>
                <w:rFonts w:ascii="Calibri" w:hAnsi="Calibri" w:cs="Calibri"/>
                <w:sz w:val="20"/>
              </w:rPr>
              <w:t>Operación</w:t>
            </w:r>
          </w:p>
        </w:tc>
        <w:tc>
          <w:tcPr>
            <w:tcW w:type="dxa" w:w="1055"/>
            <w:vAlign w:val="center"/>
            <w:tcMar>
              <w:top w:w="100" w:type="dxa"/>
              <w:left w:w="100" w:type="dxa"/>
              <w:bottom w:w="100" w:type="dxa"/>
              <w:right w:w="100" w:type="dxa"/>
            </w:tcMar>
          </w:tcPr>
          <w:p>
            <w:pPr>
              <w:spacing w:after="0" w:line="240" w:lineRule="auto"/>
              <w:jc w:val="right"/>
            </w:pPr>
            <w:r>
              <w:rPr>
                <w:rFonts w:ascii="Calibri" w:hAnsi="Calibri" w:cs="Calibri"/>
                <w:sz w:val="20"/>
              </w:rPr>
              <w:t>$ 60.000</w:t>
            </w:r>
          </w:p>
        </w:tc>
        <w:tc>
          <w:tcPr>
            <w:tcW w:type="dxa" w:w="1055"/>
            <w:vAlign w:val="center"/>
            <w:tcMar>
              <w:top w:w="100" w:type="dxa"/>
              <w:left w:w="100" w:type="dxa"/>
              <w:bottom w:w="100" w:type="dxa"/>
              <w:right w:w="100" w:type="dxa"/>
            </w:tcMar>
          </w:tcPr>
          <w:p>
            <w:pPr>
              <w:spacing w:after="0" w:line="240" w:lineRule="auto"/>
              <w:jc w:val="right"/>
            </w:pPr>
            <w:r>
              <w:rPr>
                <w:rFonts w:ascii="Calibri" w:hAnsi="Calibri" w:cs="Calibri"/>
                <w:sz w:val="20"/>
              </w:rPr>
              <w:t>$ 90.000</w:t>
            </w:r>
          </w:p>
        </w:tc>
        <w:tc>
          <w:tcPr>
            <w:tcW w:type="dxa" w:w="1055"/>
            <w:vAlign w:val="center"/>
            <w:tcMar>
              <w:top w:w="100" w:type="dxa"/>
              <w:left w:w="100" w:type="dxa"/>
              <w:bottom w:w="100" w:type="dxa"/>
              <w:right w:w="100" w:type="dxa"/>
            </w:tcMar>
          </w:tcPr>
          <w:p>
            <w:pPr>
              <w:spacing w:after="0" w:line="240" w:lineRule="auto"/>
              <w:jc w:val="right"/>
            </w:pPr>
            <w:r>
              <w:rPr>
                <w:rFonts w:ascii="Calibri" w:hAnsi="Calibri" w:cs="Calibri"/>
                <w:sz w:val="20"/>
              </w:rPr>
              <w:t>$ 140.000</w:t>
            </w:r>
          </w:p>
        </w:tc>
        <w:tc>
          <w:tcPr>
            <w:tcW w:type="dxa" w:w="1055"/>
            <w:vAlign w:val="center"/>
            <w:tcMar>
              <w:top w:w="100" w:type="dxa"/>
              <w:left w:w="100" w:type="dxa"/>
              <w:bottom w:w="100" w:type="dxa"/>
              <w:right w:w="100" w:type="dxa"/>
            </w:tcMar>
          </w:tcPr>
          <w:p>
            <w:pPr>
              <w:spacing w:after="0" w:line="240" w:lineRule="auto"/>
              <w:jc w:val="right"/>
            </w:pPr>
            <w:r>
              <w:rPr>
                <w:rFonts w:ascii="Calibri" w:hAnsi="Calibri" w:cs="Calibri"/>
                <w:sz w:val="20"/>
              </w:rPr>
              <w:t>$ 190.000</w:t>
            </w:r>
          </w:p>
        </w:tc>
      </w:tr>
      <w:tr>
        <w:tc>
          <w:tcPr>
            <w:tcW w:type="dxa" w:w="2309"/>
            <w:vAlign w:val="center"/>
            <w:tcMar>
              <w:top w:w="100" w:type="dxa"/>
              <w:left w:w="100" w:type="dxa"/>
              <w:bottom w:w="100" w:type="dxa"/>
              <w:right w:w="100" w:type="dxa"/>
            </w:tcMar>
          </w:tcPr>
          <w:p>
            <w:pPr>
              <w:spacing w:after="0" w:line="240" w:lineRule="auto"/>
              <w:jc w:val="left"/>
            </w:pPr>
            <w:r>
              <w:rPr>
                <w:rFonts w:ascii="Calibri" w:hAnsi="Calibri" w:cs="Calibri"/>
                <w:sz w:val="20"/>
              </w:rPr>
              <w:t>Otros gastos operativos</w:t>
            </w:r>
          </w:p>
        </w:tc>
        <w:tc>
          <w:tcPr>
            <w:tcW w:type="dxa" w:w="1975"/>
            <w:vAlign w:val="center"/>
            <w:tcMar>
              <w:top w:w="100" w:type="dxa"/>
              <w:left w:w="100" w:type="dxa"/>
              <w:bottom w:w="100" w:type="dxa"/>
              <w:right w:w="100" w:type="dxa"/>
            </w:tcMar>
          </w:tcPr>
          <w:p>
            <w:pPr>
              <w:spacing w:after="0" w:line="240" w:lineRule="auto"/>
              <w:jc w:val="left"/>
            </w:pPr>
            <w:r>
              <w:rPr>
                <w:rFonts w:ascii="Calibri" w:hAnsi="Calibri" w:cs="Calibri"/>
                <w:sz w:val="20"/>
              </w:rPr>
              <w:t>Operación</w:t>
            </w:r>
          </w:p>
        </w:tc>
        <w:tc>
          <w:tcPr>
            <w:tcW w:type="dxa" w:w="1055"/>
            <w:vAlign w:val="center"/>
            <w:tcMar>
              <w:top w:w="100" w:type="dxa"/>
              <w:left w:w="100" w:type="dxa"/>
              <w:bottom w:w="100" w:type="dxa"/>
              <w:right w:w="100" w:type="dxa"/>
            </w:tcMar>
          </w:tcPr>
          <w:p>
            <w:pPr>
              <w:spacing w:after="0" w:line="240" w:lineRule="auto"/>
              <w:jc w:val="right"/>
            </w:pPr>
            <w:r>
              <w:rPr>
                <w:rFonts w:ascii="Calibri" w:hAnsi="Calibri" w:cs="Calibri"/>
                <w:sz w:val="20"/>
              </w:rPr>
              <w:t>$ 40.000</w:t>
            </w:r>
          </w:p>
        </w:tc>
        <w:tc>
          <w:tcPr>
            <w:tcW w:type="dxa" w:w="1055"/>
            <w:vAlign w:val="center"/>
            <w:tcMar>
              <w:top w:w="100" w:type="dxa"/>
              <w:left w:w="100" w:type="dxa"/>
              <w:bottom w:w="100" w:type="dxa"/>
              <w:right w:w="100" w:type="dxa"/>
            </w:tcMar>
          </w:tcPr>
          <w:p>
            <w:pPr>
              <w:spacing w:after="0" w:line="240" w:lineRule="auto"/>
              <w:jc w:val="right"/>
            </w:pPr>
            <w:r>
              <w:rPr>
                <w:rFonts w:ascii="Calibri" w:hAnsi="Calibri" w:cs="Calibri"/>
                <w:sz w:val="20"/>
              </w:rPr>
              <w:t>$ 60.000</w:t>
            </w:r>
          </w:p>
        </w:tc>
        <w:tc>
          <w:tcPr>
            <w:tcW w:type="dxa" w:w="1055"/>
            <w:vAlign w:val="center"/>
            <w:tcMar>
              <w:top w:w="100" w:type="dxa"/>
              <w:left w:w="100" w:type="dxa"/>
              <w:bottom w:w="100" w:type="dxa"/>
              <w:right w:w="100" w:type="dxa"/>
            </w:tcMar>
          </w:tcPr>
          <w:p>
            <w:pPr>
              <w:spacing w:after="0" w:line="240" w:lineRule="auto"/>
              <w:jc w:val="right"/>
            </w:pPr>
            <w:r>
              <w:rPr>
                <w:rFonts w:ascii="Calibri" w:hAnsi="Calibri" w:cs="Calibri"/>
                <w:sz w:val="20"/>
              </w:rPr>
              <w:t>$ 90.000</w:t>
            </w:r>
          </w:p>
        </w:tc>
        <w:tc>
          <w:tcPr>
            <w:tcW w:type="dxa" w:w="1055"/>
            <w:vAlign w:val="center"/>
            <w:tcMar>
              <w:top w:w="100" w:type="dxa"/>
              <w:left w:w="100" w:type="dxa"/>
              <w:bottom w:w="100" w:type="dxa"/>
              <w:right w:w="100" w:type="dxa"/>
            </w:tcMar>
          </w:tcPr>
          <w:p>
            <w:pPr>
              <w:spacing w:after="0" w:line="240" w:lineRule="auto"/>
              <w:jc w:val="right"/>
            </w:pPr>
            <w:r>
              <w:rPr>
                <w:rFonts w:ascii="Calibri" w:hAnsi="Calibri" w:cs="Calibri"/>
                <w:sz w:val="20"/>
              </w:rPr>
              <w:t>$ 120.000</w:t>
            </w:r>
          </w:p>
        </w:tc>
      </w:tr>
    </w:tbl>
    <w:p>
      <w:pPr>
        <w:jc w:val="both"/>
      </w:pPr>
      <w:r>
        <w:rPr>
          <w:rFonts w:ascii="Calibri" w:hAnsi="Calibri" w:cs="Calibri"/>
        </w:rPr>
        <w:t>La infraestructura aparece en las dos estructuras y no es un error: hay una parte que se paga exista o no un cliente —el entorno, las bases, el monitoreo— y otra que crece con cada cliente que se suma. Están separadas porque se comportan distinto.</w:t>
      </w:r>
    </w:p>
    <w:p>
      <w:pPr>
        <w:pStyle w:val="Ttulo1"/>
        <w:pageBreakBefore/>
        <w:jc w:val="both"/>
      </w:pPr>
      <w:r>
        <w:rPr>
          <w:rFonts w:ascii="Calibri" w:hAnsi="Calibri" w:cs="Calibri"/>
        </w:rPr>
        <w:t>6. Costos variables</w:t>
      </w:r>
    </w:p>
    <w:p>
      <w:pPr>
        <w:jc w:val="both"/>
      </w:pPr>
      <w:r>
        <w:rPr>
          <w:rFonts w:ascii="Calibri" w:hAnsi="Calibri" w:cs="Calibri"/>
        </w:rPr>
        <w:t xml:space="preserve">Se mueven con cada cliente activo. Los importes unitarios no se cargan acá: se toman de la hoja </w:t>
      </w:r>
      <w:r>
        <w:rPr>
          <w:rFonts w:ascii="Calibri" w:hAnsi="Calibri" w:cs="Calibri"/>
          <w:b/>
        </w:rPr>
        <w:t>Planes</w:t>
      </w:r>
      <w:r>
        <w:rPr>
          <w:rFonts w:ascii="Calibri" w:hAnsi="Calibri" w:cs="Calibri"/>
        </w:rPr>
        <w:t>, para que no haya dos versiones del mismo número.</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126"/>
        <w:gridCol w:w="2126"/>
        <w:gridCol w:w="2126"/>
        <w:gridCol w:w="2126"/>
      </w:tblGrid>
      <w:tr>
        <w:trPr>
          <w:tblHeader/>
        </w:trPr>
        <w:tc>
          <w:tcPr>
            <w:tcW w:type="dxa" w:w="3828"/>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Concepto</w:t>
            </w:r>
          </w:p>
        </w:tc>
        <w:tc>
          <w:tcPr>
            <w:tcW w:type="dxa" w:w="1508"/>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Plan Inicial</w:t>
            </w:r>
          </w:p>
        </w:tc>
        <w:tc>
          <w:tcPr>
            <w:tcW w:type="dxa" w:w="1661"/>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Plan Estándar</w:t>
            </w:r>
          </w:p>
        </w:tc>
        <w:tc>
          <w:tcPr>
            <w:tcW w:type="dxa" w:w="1508"/>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Plan Partner</w:t>
            </w:r>
          </w:p>
        </w:tc>
      </w:tr>
      <w:tr>
        <w:tc>
          <w:tcPr>
            <w:tcW w:type="dxa" w:w="3828"/>
            <w:vAlign w:val="center"/>
            <w:tcMar>
              <w:top w:w="100" w:type="dxa"/>
              <w:left w:w="100" w:type="dxa"/>
              <w:bottom w:w="100" w:type="dxa"/>
              <w:right w:w="100" w:type="dxa"/>
            </w:tcMar>
          </w:tcPr>
          <w:p>
            <w:pPr>
              <w:spacing w:after="0" w:line="240" w:lineRule="auto"/>
              <w:jc w:val="left"/>
            </w:pPr>
            <w:r>
              <w:rPr>
                <w:rFonts w:ascii="Calibri" w:hAnsi="Calibri" w:cs="Calibri"/>
                <w:sz w:val="20"/>
              </w:rPr>
              <w:t>Infraestructura por cliente</w:t>
            </w:r>
          </w:p>
        </w:tc>
        <w:tc>
          <w:tcPr>
            <w:tcW w:type="dxa" w:w="1508"/>
            <w:vAlign w:val="center"/>
            <w:tcMar>
              <w:top w:w="100" w:type="dxa"/>
              <w:left w:w="100" w:type="dxa"/>
              <w:bottom w:w="100" w:type="dxa"/>
              <w:right w:w="100" w:type="dxa"/>
            </w:tcMar>
          </w:tcPr>
          <w:p>
            <w:pPr>
              <w:spacing w:after="0" w:line="240" w:lineRule="auto"/>
              <w:jc w:val="right"/>
            </w:pPr>
            <w:r>
              <w:rPr>
                <w:rFonts w:ascii="Calibri" w:hAnsi="Calibri" w:cs="Calibri"/>
                <w:sz w:val="20"/>
              </w:rPr>
              <w:t>$ 3.000</w:t>
            </w:r>
          </w:p>
        </w:tc>
        <w:tc>
          <w:tcPr>
            <w:tcW w:type="dxa" w:w="1661"/>
            <w:vAlign w:val="center"/>
            <w:tcMar>
              <w:top w:w="100" w:type="dxa"/>
              <w:left w:w="100" w:type="dxa"/>
              <w:bottom w:w="100" w:type="dxa"/>
              <w:right w:w="100" w:type="dxa"/>
            </w:tcMar>
          </w:tcPr>
          <w:p>
            <w:pPr>
              <w:spacing w:after="0" w:line="240" w:lineRule="auto"/>
              <w:jc w:val="right"/>
            </w:pPr>
            <w:r>
              <w:rPr>
                <w:rFonts w:ascii="Calibri" w:hAnsi="Calibri" w:cs="Calibri"/>
                <w:sz w:val="20"/>
              </w:rPr>
              <w:t>$ 9.000</w:t>
            </w:r>
          </w:p>
        </w:tc>
        <w:tc>
          <w:tcPr>
            <w:tcW w:type="dxa" w:w="1508"/>
            <w:vAlign w:val="center"/>
            <w:tcMar>
              <w:top w:w="100" w:type="dxa"/>
              <w:left w:w="100" w:type="dxa"/>
              <w:bottom w:w="100" w:type="dxa"/>
              <w:right w:w="100" w:type="dxa"/>
            </w:tcMar>
          </w:tcPr>
          <w:p>
            <w:pPr>
              <w:spacing w:after="0" w:line="240" w:lineRule="auto"/>
              <w:jc w:val="right"/>
            </w:pPr>
            <w:r>
              <w:rPr>
                <w:rFonts w:ascii="Calibri" w:hAnsi="Calibri" w:cs="Calibri"/>
                <w:sz w:val="20"/>
              </w:rPr>
              <w:t>$ 2.500</w:t>
            </w:r>
          </w:p>
        </w:tc>
      </w:tr>
      <w:tr>
        <w:tc>
          <w:tcPr>
            <w:tcW w:type="dxa" w:w="3828"/>
            <w:vAlign w:val="center"/>
            <w:tcMar>
              <w:top w:w="100" w:type="dxa"/>
              <w:left w:w="100" w:type="dxa"/>
              <w:bottom w:w="100" w:type="dxa"/>
              <w:right w:w="100" w:type="dxa"/>
            </w:tcMar>
          </w:tcPr>
          <w:p>
            <w:pPr>
              <w:spacing w:after="0" w:line="240" w:lineRule="auto"/>
              <w:jc w:val="left"/>
            </w:pPr>
            <w:r>
              <w:rPr>
                <w:rFonts w:ascii="Calibri" w:hAnsi="Calibri" w:cs="Calibri"/>
                <w:sz w:val="20"/>
              </w:rPr>
              <w:t>Soporte y onboarding</w:t>
            </w:r>
          </w:p>
        </w:tc>
        <w:tc>
          <w:tcPr>
            <w:tcW w:type="dxa" w:w="1508"/>
            <w:vAlign w:val="center"/>
            <w:tcMar>
              <w:top w:w="100" w:type="dxa"/>
              <w:left w:w="100" w:type="dxa"/>
              <w:bottom w:w="100" w:type="dxa"/>
              <w:right w:w="100" w:type="dxa"/>
            </w:tcMar>
          </w:tcPr>
          <w:p>
            <w:pPr>
              <w:spacing w:after="0" w:line="240" w:lineRule="auto"/>
              <w:jc w:val="right"/>
            </w:pPr>
            <w:r>
              <w:rPr>
                <w:rFonts w:ascii="Calibri" w:hAnsi="Calibri" w:cs="Calibri"/>
                <w:sz w:val="20"/>
              </w:rPr>
              <w:t>$ 4.000</w:t>
            </w:r>
          </w:p>
        </w:tc>
        <w:tc>
          <w:tcPr>
            <w:tcW w:type="dxa" w:w="1661"/>
            <w:vAlign w:val="center"/>
            <w:tcMar>
              <w:top w:w="100" w:type="dxa"/>
              <w:left w:w="100" w:type="dxa"/>
              <w:bottom w:w="100" w:type="dxa"/>
              <w:right w:w="100" w:type="dxa"/>
            </w:tcMar>
          </w:tcPr>
          <w:p>
            <w:pPr>
              <w:spacing w:after="0" w:line="240" w:lineRule="auto"/>
              <w:jc w:val="right"/>
            </w:pPr>
            <w:r>
              <w:rPr>
                <w:rFonts w:ascii="Calibri" w:hAnsi="Calibri" w:cs="Calibri"/>
                <w:sz w:val="20"/>
              </w:rPr>
              <w:t>$ 12.000</w:t>
            </w:r>
          </w:p>
        </w:tc>
        <w:tc>
          <w:tcPr>
            <w:tcW w:type="dxa" w:w="1508"/>
            <w:vAlign w:val="center"/>
            <w:tcMar>
              <w:top w:w="100" w:type="dxa"/>
              <w:left w:w="100" w:type="dxa"/>
              <w:bottom w:w="100" w:type="dxa"/>
              <w:right w:w="100" w:type="dxa"/>
            </w:tcMar>
          </w:tcPr>
          <w:p>
            <w:pPr>
              <w:spacing w:after="0" w:line="240" w:lineRule="auto"/>
              <w:jc w:val="right"/>
            </w:pPr>
            <w:r>
              <w:rPr>
                <w:rFonts w:ascii="Calibri" w:hAnsi="Calibri" w:cs="Calibri"/>
                <w:sz w:val="20"/>
              </w:rPr>
              <w:t>$ 2.500</w:t>
            </w:r>
          </w:p>
        </w:tc>
      </w:tr>
      <w:tr>
        <w:tc>
          <w:tcPr>
            <w:tcW w:type="dxa" w:w="3828"/>
            <w:vAlign w:val="center"/>
            <w:tcMar>
              <w:top w:w="100" w:type="dxa"/>
              <w:left w:w="100" w:type="dxa"/>
              <w:bottom w:w="100" w:type="dxa"/>
              <w:right w:w="100" w:type="dxa"/>
            </w:tcMar>
          </w:tcPr>
          <w:p>
            <w:pPr>
              <w:spacing w:after="0" w:line="240" w:lineRule="auto"/>
              <w:jc w:val="left"/>
            </w:pPr>
            <w:r>
              <w:rPr>
                <w:rFonts w:ascii="Calibri" w:hAnsi="Calibri" w:cs="Calibri"/>
                <w:sz w:val="20"/>
              </w:rPr>
              <w:t>Servicio externo de inteligencia artificial</w:t>
            </w:r>
          </w:p>
        </w:tc>
        <w:tc>
          <w:tcPr>
            <w:tcW w:type="dxa" w:w="1508"/>
            <w:vAlign w:val="center"/>
            <w:tcMar>
              <w:top w:w="100" w:type="dxa"/>
              <w:left w:w="100" w:type="dxa"/>
              <w:bottom w:w="100" w:type="dxa"/>
              <w:right w:w="100" w:type="dxa"/>
            </w:tcMar>
          </w:tcPr>
          <w:p>
            <w:pPr>
              <w:spacing w:after="0" w:line="240" w:lineRule="auto"/>
              <w:jc w:val="right"/>
            </w:pPr>
            <w:r>
              <w:rPr>
                <w:rFonts w:ascii="Calibri" w:hAnsi="Calibri" w:cs="Calibri"/>
                <w:sz w:val="20"/>
              </w:rPr>
              <w:t>$ 1.500</w:t>
            </w:r>
          </w:p>
        </w:tc>
        <w:tc>
          <w:tcPr>
            <w:tcW w:type="dxa" w:w="1661"/>
            <w:vAlign w:val="center"/>
            <w:tcMar>
              <w:top w:w="100" w:type="dxa"/>
              <w:left w:w="100" w:type="dxa"/>
              <w:bottom w:w="100" w:type="dxa"/>
              <w:right w:w="100" w:type="dxa"/>
            </w:tcMar>
          </w:tcPr>
          <w:p>
            <w:pPr>
              <w:spacing w:after="0" w:line="240" w:lineRule="auto"/>
              <w:jc w:val="right"/>
            </w:pPr>
            <w:r>
              <w:rPr>
                <w:rFonts w:ascii="Calibri" w:hAnsi="Calibri" w:cs="Calibri"/>
                <w:sz w:val="20"/>
              </w:rPr>
              <w:t>$ 4.000</w:t>
            </w:r>
          </w:p>
        </w:tc>
        <w:tc>
          <w:tcPr>
            <w:tcW w:type="dxa" w:w="1508"/>
            <w:vAlign w:val="center"/>
            <w:tcMar>
              <w:top w:w="100" w:type="dxa"/>
              <w:left w:w="100" w:type="dxa"/>
              <w:bottom w:w="100" w:type="dxa"/>
              <w:right w:w="100" w:type="dxa"/>
            </w:tcMar>
          </w:tcPr>
          <w:p>
            <w:pPr>
              <w:spacing w:after="0" w:line="240" w:lineRule="auto"/>
              <w:jc w:val="right"/>
            </w:pPr>
            <w:r>
              <w:rPr>
                <w:rFonts w:ascii="Calibri" w:hAnsi="Calibri" w:cs="Calibri"/>
                <w:sz w:val="20"/>
              </w:rPr>
              <w:t>$ 2.000</w:t>
            </w:r>
          </w:p>
        </w:tc>
      </w:tr>
      <w:tr>
        <w:tc>
          <w:tcPr>
            <w:tcW w:type="dxa" w:w="3828"/>
            <w:vAlign w:val="center"/>
            <w:tcMar>
              <w:top w:w="100" w:type="dxa"/>
              <w:left w:w="100" w:type="dxa"/>
              <w:bottom w:w="100" w:type="dxa"/>
              <w:right w:w="100" w:type="dxa"/>
            </w:tcMar>
          </w:tcPr>
          <w:p>
            <w:pPr>
              <w:spacing w:after="0" w:line="240" w:lineRule="auto"/>
              <w:jc w:val="left"/>
            </w:pPr>
            <w:r>
              <w:rPr>
                <w:rFonts w:ascii="Calibri" w:hAnsi="Calibri" w:cs="Calibri"/>
                <w:b/>
                <w:sz w:val="20"/>
              </w:rPr>
              <w:t>Total por cliente</w:t>
            </w:r>
          </w:p>
        </w:tc>
        <w:tc>
          <w:tcPr>
            <w:tcW w:type="dxa" w:w="1508"/>
            <w:vAlign w:val="center"/>
            <w:tcMar>
              <w:top w:w="100" w:type="dxa"/>
              <w:left w:w="100" w:type="dxa"/>
              <w:bottom w:w="100" w:type="dxa"/>
              <w:right w:w="100" w:type="dxa"/>
            </w:tcMar>
          </w:tcPr>
          <w:p>
            <w:pPr>
              <w:spacing w:after="0" w:line="240" w:lineRule="auto"/>
              <w:jc w:val="right"/>
            </w:pPr>
            <w:r>
              <w:rPr>
                <w:rFonts w:ascii="Calibri" w:hAnsi="Calibri" w:cs="Calibri"/>
                <w:b/>
                <w:sz w:val="20"/>
              </w:rPr>
              <w:t>$ 8.500</w:t>
            </w:r>
          </w:p>
        </w:tc>
        <w:tc>
          <w:tcPr>
            <w:tcW w:type="dxa" w:w="1661"/>
            <w:vAlign w:val="center"/>
            <w:tcMar>
              <w:top w:w="100" w:type="dxa"/>
              <w:left w:w="100" w:type="dxa"/>
              <w:bottom w:w="100" w:type="dxa"/>
              <w:right w:w="100" w:type="dxa"/>
            </w:tcMar>
          </w:tcPr>
          <w:p>
            <w:pPr>
              <w:spacing w:after="0" w:line="240" w:lineRule="auto"/>
              <w:jc w:val="right"/>
            </w:pPr>
            <w:r>
              <w:rPr>
                <w:rFonts w:ascii="Calibri" w:hAnsi="Calibri" w:cs="Calibri"/>
                <w:b/>
                <w:sz w:val="20"/>
              </w:rPr>
              <w:t>$ 25.000</w:t>
            </w:r>
          </w:p>
        </w:tc>
        <w:tc>
          <w:tcPr>
            <w:tcW w:type="dxa" w:w="1508"/>
            <w:vAlign w:val="center"/>
            <w:tcMar>
              <w:top w:w="100" w:type="dxa"/>
              <w:left w:w="100" w:type="dxa"/>
              <w:bottom w:w="100" w:type="dxa"/>
              <w:right w:w="100" w:type="dxa"/>
            </w:tcMar>
          </w:tcPr>
          <w:p>
            <w:pPr>
              <w:spacing w:after="0" w:line="240" w:lineRule="auto"/>
              <w:jc w:val="right"/>
            </w:pPr>
            <w:r>
              <w:rPr>
                <w:rFonts w:ascii="Calibri" w:hAnsi="Calibri" w:cs="Calibri"/>
                <w:b/>
                <w:sz w:val="20"/>
              </w:rPr>
              <w:t>$ 7.000</w:t>
            </w:r>
          </w:p>
        </w:tc>
      </w:tr>
    </w:tbl>
    <w:p>
      <w:pPr>
        <w:jc w:val="both"/>
      </w:pPr>
      <w:r>
        <w:rPr>
          <w:rFonts w:ascii="Calibri" w:hAnsi="Calibri" w:cs="Calibri"/>
        </w:rPr>
        <w:t xml:space="preserve">El costo del servicio de inteligencia artificial es el único de todo el modelo que </w:t>
      </w:r>
      <w:r>
        <w:rPr>
          <w:rFonts w:ascii="Calibri" w:hAnsi="Calibri" w:cs="Calibri"/>
          <w:b/>
        </w:rPr>
        <w:t>el sistema mide por sí mismo</w:t>
      </w:r>
      <w:r>
        <w:rPr>
          <w:rFonts w:ascii="Calibri" w:hAnsi="Calibri" w:cs="Calibri"/>
        </w:rPr>
        <w:t>: cada consulta de clasificación y de asignación queda registrada, así que el supuesto se puede contrastar contra el consumo real en lugar de defenderse con una estimación.</w:t>
      </w:r>
    </w:p>
    <w:p>
      <w:pPr>
        <w:jc w:val="both"/>
      </w:pPr>
      <w:r>
        <w:rPr>
          <w:rFonts w:ascii="Calibri" w:hAnsi="Calibri" w:cs="Calibri"/>
        </w:rPr>
        <w:t>El soporte del Plan Partner es más bajo que el del Inicial aunque el parque sea parecido: el partner absorbe la primera atención, que es justamente lo que justifica su descuento.</w:t>
      </w:r>
    </w:p>
    <w:p>
      <w:pPr>
        <w:pStyle w:val="Ttulo1"/>
        <w:pageBreakBefore/>
        <w:jc w:val="both"/>
      </w:pPr>
      <w:r>
        <w:rPr>
          <w:rFonts w:ascii="Calibri" w:hAnsi="Calibri" w:cs="Calibri"/>
        </w:rPr>
        <w:t>7. Costos de recursos humanos</w:t>
      </w:r>
    </w:p>
    <w:p>
      <w:pPr>
        <w:jc w:val="both"/>
      </w:pPr>
      <w:r>
        <w:rPr>
          <w:rFonts w:ascii="Calibri" w:hAnsi="Calibri" w:cs="Calibri"/>
        </w:rPr>
        <w:t>La plantilla sale de la sección 7.6 del documento principal. Los cuatro roles funcionales se cubren de a poco: en las primeras etapas los socios fundadores asumen más de un rol y las incorporaciones se escalonan.</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126"/>
        <w:gridCol w:w="2126"/>
        <w:gridCol w:w="2126"/>
        <w:gridCol w:w="2126"/>
      </w:tblGrid>
      <w:tr>
        <w:trPr>
          <w:tblHeader/>
        </w:trPr>
        <w:tc>
          <w:tcPr>
            <w:tcW w:type="dxa" w:w="3442"/>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Rol</w:t>
            </w:r>
          </w:p>
        </w:tc>
        <w:tc>
          <w:tcPr>
            <w:tcW w:type="dxa" w:w="2330"/>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Salario bruto mensual</w:t>
            </w:r>
          </w:p>
        </w:tc>
        <w:tc>
          <w:tcPr>
            <w:tcW w:type="dxa" w:w="1241"/>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Mes de alta</w:t>
            </w:r>
          </w:p>
        </w:tc>
        <w:tc>
          <w:tcPr>
            <w:tcW w:type="dxa" w:w="1491"/>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Vínculo</w:t>
            </w:r>
          </w:p>
        </w:tc>
      </w:tr>
      <w:tr>
        <w:tc>
          <w:tcPr>
            <w:tcW w:type="dxa" w:w="3442"/>
            <w:vAlign w:val="center"/>
            <w:tcMar>
              <w:top w:w="100" w:type="dxa"/>
              <w:left w:w="100" w:type="dxa"/>
              <w:bottom w:w="100" w:type="dxa"/>
              <w:right w:w="100" w:type="dxa"/>
            </w:tcMar>
          </w:tcPr>
          <w:p>
            <w:pPr>
              <w:spacing w:after="0" w:line="240" w:lineRule="auto"/>
              <w:jc w:val="left"/>
            </w:pPr>
            <w:r>
              <w:rPr>
                <w:rFonts w:ascii="Calibri" w:hAnsi="Calibri" w:cs="Calibri"/>
                <w:sz w:val="20"/>
              </w:rPr>
              <w:t>Responsable de Producto y Desarrollo</w:t>
            </w:r>
          </w:p>
        </w:tc>
        <w:tc>
          <w:tcPr>
            <w:tcW w:type="dxa" w:w="2330"/>
            <w:vAlign w:val="center"/>
            <w:tcMar>
              <w:top w:w="100" w:type="dxa"/>
              <w:left w:w="100" w:type="dxa"/>
              <w:bottom w:w="100" w:type="dxa"/>
              <w:right w:w="100" w:type="dxa"/>
            </w:tcMar>
          </w:tcPr>
          <w:p>
            <w:pPr>
              <w:spacing w:after="0" w:line="240" w:lineRule="auto"/>
              <w:jc w:val="right"/>
            </w:pPr>
            <w:r>
              <w:rPr>
                <w:rFonts w:ascii="Calibri" w:hAnsi="Calibri" w:cs="Calibri"/>
                <w:sz w:val="20"/>
              </w:rPr>
              <w:t>$ 4.200.000</w:t>
            </w:r>
          </w:p>
        </w:tc>
        <w:tc>
          <w:tcPr>
            <w:tcW w:type="dxa" w:w="1241"/>
            <w:vAlign w:val="center"/>
            <w:tcMar>
              <w:top w:w="100" w:type="dxa"/>
              <w:left w:w="100" w:type="dxa"/>
              <w:bottom w:w="100" w:type="dxa"/>
              <w:right w:w="100" w:type="dxa"/>
            </w:tcMar>
          </w:tcPr>
          <w:p>
            <w:pPr>
              <w:spacing w:after="0" w:line="240" w:lineRule="auto"/>
              <w:jc w:val="right"/>
            </w:pPr>
            <w:r>
              <w:rPr>
                <w:rFonts w:ascii="Calibri" w:hAnsi="Calibri" w:cs="Calibri"/>
                <w:sz w:val="20"/>
              </w:rPr>
              <w:t>1</w:t>
            </w:r>
          </w:p>
        </w:tc>
        <w:tc>
          <w:tcPr>
            <w:tcW w:type="dxa" w:w="1491"/>
            <w:vAlign w:val="center"/>
            <w:tcMar>
              <w:top w:w="100" w:type="dxa"/>
              <w:left w:w="100" w:type="dxa"/>
              <w:bottom w:w="100" w:type="dxa"/>
              <w:right w:w="100" w:type="dxa"/>
            </w:tcMar>
          </w:tcPr>
          <w:p>
            <w:pPr>
              <w:spacing w:after="0" w:line="240" w:lineRule="auto"/>
              <w:jc w:val="left"/>
            </w:pPr>
            <w:r>
              <w:rPr>
                <w:rFonts w:ascii="Calibri" w:hAnsi="Calibri" w:cs="Calibri"/>
                <w:sz w:val="20"/>
              </w:rPr>
              <w:t>Socio</w:t>
            </w:r>
          </w:p>
        </w:tc>
      </w:tr>
      <w:tr>
        <w:tc>
          <w:tcPr>
            <w:tcW w:type="dxa" w:w="3442"/>
            <w:vAlign w:val="center"/>
            <w:tcMar>
              <w:top w:w="100" w:type="dxa"/>
              <w:left w:w="100" w:type="dxa"/>
              <w:bottom w:w="100" w:type="dxa"/>
              <w:right w:w="100" w:type="dxa"/>
            </w:tcMar>
          </w:tcPr>
          <w:p>
            <w:pPr>
              <w:spacing w:after="0" w:line="240" w:lineRule="auto"/>
              <w:jc w:val="left"/>
            </w:pPr>
            <w:r>
              <w:rPr>
                <w:rFonts w:ascii="Calibri" w:hAnsi="Calibri" w:cs="Calibri"/>
                <w:sz w:val="20"/>
              </w:rPr>
              <w:t>Responsable Comercial y de Cuentas</w:t>
            </w:r>
          </w:p>
        </w:tc>
        <w:tc>
          <w:tcPr>
            <w:tcW w:type="dxa" w:w="2330"/>
            <w:vAlign w:val="center"/>
            <w:tcMar>
              <w:top w:w="100" w:type="dxa"/>
              <w:left w:w="100" w:type="dxa"/>
              <w:bottom w:w="100" w:type="dxa"/>
              <w:right w:w="100" w:type="dxa"/>
            </w:tcMar>
          </w:tcPr>
          <w:p>
            <w:pPr>
              <w:spacing w:after="0" w:line="240" w:lineRule="auto"/>
              <w:jc w:val="right"/>
            </w:pPr>
            <w:r>
              <w:rPr>
                <w:rFonts w:ascii="Calibri" w:hAnsi="Calibri" w:cs="Calibri"/>
                <w:sz w:val="20"/>
              </w:rPr>
              <w:t>$ 3.600.000</w:t>
            </w:r>
          </w:p>
        </w:tc>
        <w:tc>
          <w:tcPr>
            <w:tcW w:type="dxa" w:w="1241"/>
            <w:vAlign w:val="center"/>
            <w:tcMar>
              <w:top w:w="100" w:type="dxa"/>
              <w:left w:w="100" w:type="dxa"/>
              <w:bottom w:w="100" w:type="dxa"/>
              <w:right w:w="100" w:type="dxa"/>
            </w:tcMar>
          </w:tcPr>
          <w:p>
            <w:pPr>
              <w:spacing w:after="0" w:line="240" w:lineRule="auto"/>
              <w:jc w:val="right"/>
            </w:pPr>
            <w:r>
              <w:rPr>
                <w:rFonts w:ascii="Calibri" w:hAnsi="Calibri" w:cs="Calibri"/>
                <w:sz w:val="20"/>
              </w:rPr>
              <w:t>1</w:t>
            </w:r>
          </w:p>
        </w:tc>
        <w:tc>
          <w:tcPr>
            <w:tcW w:type="dxa" w:w="1491"/>
            <w:vAlign w:val="center"/>
            <w:tcMar>
              <w:top w:w="100" w:type="dxa"/>
              <w:left w:w="100" w:type="dxa"/>
              <w:bottom w:w="100" w:type="dxa"/>
              <w:right w:w="100" w:type="dxa"/>
            </w:tcMar>
          </w:tcPr>
          <w:p>
            <w:pPr>
              <w:spacing w:after="0" w:line="240" w:lineRule="auto"/>
              <w:jc w:val="left"/>
            </w:pPr>
            <w:r>
              <w:rPr>
                <w:rFonts w:ascii="Calibri" w:hAnsi="Calibri" w:cs="Calibri"/>
                <w:sz w:val="20"/>
              </w:rPr>
              <w:t>Socio</w:t>
            </w:r>
          </w:p>
        </w:tc>
      </w:tr>
      <w:tr>
        <w:tc>
          <w:tcPr>
            <w:tcW w:type="dxa" w:w="3442"/>
            <w:vAlign w:val="center"/>
            <w:tcMar>
              <w:top w:w="100" w:type="dxa"/>
              <w:left w:w="100" w:type="dxa"/>
              <w:bottom w:w="100" w:type="dxa"/>
              <w:right w:w="100" w:type="dxa"/>
            </w:tcMar>
          </w:tcPr>
          <w:p>
            <w:pPr>
              <w:spacing w:after="0" w:line="240" w:lineRule="auto"/>
              <w:jc w:val="left"/>
            </w:pPr>
            <w:r>
              <w:rPr>
                <w:rFonts w:ascii="Calibri" w:hAnsi="Calibri" w:cs="Calibri"/>
                <w:sz w:val="20"/>
              </w:rPr>
              <w:t>Responsable de Soporte y Onboarding</w:t>
            </w:r>
          </w:p>
        </w:tc>
        <w:tc>
          <w:tcPr>
            <w:tcW w:type="dxa" w:w="2330"/>
            <w:vAlign w:val="center"/>
            <w:tcMar>
              <w:top w:w="100" w:type="dxa"/>
              <w:left w:w="100" w:type="dxa"/>
              <w:bottom w:w="100" w:type="dxa"/>
              <w:right w:w="100" w:type="dxa"/>
            </w:tcMar>
          </w:tcPr>
          <w:p>
            <w:pPr>
              <w:spacing w:after="0" w:line="240" w:lineRule="auto"/>
              <w:jc w:val="right"/>
            </w:pPr>
            <w:r>
              <w:rPr>
                <w:rFonts w:ascii="Calibri" w:hAnsi="Calibri" w:cs="Calibri"/>
                <w:sz w:val="20"/>
              </w:rPr>
              <w:t>$ 2.400.000</w:t>
            </w:r>
          </w:p>
        </w:tc>
        <w:tc>
          <w:tcPr>
            <w:tcW w:type="dxa" w:w="1241"/>
            <w:vAlign w:val="center"/>
            <w:tcMar>
              <w:top w:w="100" w:type="dxa"/>
              <w:left w:w="100" w:type="dxa"/>
              <w:bottom w:w="100" w:type="dxa"/>
              <w:right w:w="100" w:type="dxa"/>
            </w:tcMar>
          </w:tcPr>
          <w:p>
            <w:pPr>
              <w:spacing w:after="0" w:line="240" w:lineRule="auto"/>
              <w:jc w:val="right"/>
            </w:pPr>
            <w:r>
              <w:rPr>
                <w:rFonts w:ascii="Calibri" w:hAnsi="Calibri" w:cs="Calibri"/>
                <w:sz w:val="20"/>
              </w:rPr>
              <w:t>6</w:t>
            </w:r>
          </w:p>
        </w:tc>
        <w:tc>
          <w:tcPr>
            <w:tcW w:type="dxa" w:w="1491"/>
            <w:vAlign w:val="center"/>
            <w:tcMar>
              <w:top w:w="100" w:type="dxa"/>
              <w:left w:w="100" w:type="dxa"/>
              <w:bottom w:w="100" w:type="dxa"/>
              <w:right w:w="100" w:type="dxa"/>
            </w:tcMar>
          </w:tcPr>
          <w:p>
            <w:pPr>
              <w:spacing w:after="0" w:line="240" w:lineRule="auto"/>
              <w:jc w:val="left"/>
            </w:pPr>
            <w:r>
              <w:rPr>
                <w:rFonts w:ascii="Calibri" w:hAnsi="Calibri" w:cs="Calibri"/>
                <w:sz w:val="20"/>
              </w:rPr>
              <w:t>Empleado</w:t>
            </w:r>
          </w:p>
        </w:tc>
      </w:tr>
      <w:tr>
        <w:tc>
          <w:tcPr>
            <w:tcW w:type="dxa" w:w="3442"/>
            <w:vAlign w:val="center"/>
            <w:tcMar>
              <w:top w:w="100" w:type="dxa"/>
              <w:left w:w="100" w:type="dxa"/>
              <w:bottom w:w="100" w:type="dxa"/>
              <w:right w:w="100" w:type="dxa"/>
            </w:tcMar>
          </w:tcPr>
          <w:p>
            <w:pPr>
              <w:spacing w:after="0" w:line="240" w:lineRule="auto"/>
              <w:jc w:val="left"/>
            </w:pPr>
            <w:r>
              <w:rPr>
                <w:rFonts w:ascii="Calibri" w:hAnsi="Calibri" w:cs="Calibri"/>
                <w:sz w:val="20"/>
              </w:rPr>
              <w:t>Responsable de Marketing y Contenidos</w:t>
            </w:r>
          </w:p>
        </w:tc>
        <w:tc>
          <w:tcPr>
            <w:tcW w:type="dxa" w:w="2330"/>
            <w:vAlign w:val="center"/>
            <w:tcMar>
              <w:top w:w="100" w:type="dxa"/>
              <w:left w:w="100" w:type="dxa"/>
              <w:bottom w:w="100" w:type="dxa"/>
              <w:right w:w="100" w:type="dxa"/>
            </w:tcMar>
          </w:tcPr>
          <w:p>
            <w:pPr>
              <w:spacing w:after="0" w:line="240" w:lineRule="auto"/>
              <w:jc w:val="right"/>
            </w:pPr>
            <w:r>
              <w:rPr>
                <w:rFonts w:ascii="Calibri" w:hAnsi="Calibri" w:cs="Calibri"/>
                <w:sz w:val="20"/>
              </w:rPr>
              <w:t>$ 2.200.000</w:t>
            </w:r>
          </w:p>
        </w:tc>
        <w:tc>
          <w:tcPr>
            <w:tcW w:type="dxa" w:w="1241"/>
            <w:vAlign w:val="center"/>
            <w:tcMar>
              <w:top w:w="100" w:type="dxa"/>
              <w:left w:w="100" w:type="dxa"/>
              <w:bottom w:w="100" w:type="dxa"/>
              <w:right w:w="100" w:type="dxa"/>
            </w:tcMar>
          </w:tcPr>
          <w:p>
            <w:pPr>
              <w:spacing w:after="0" w:line="240" w:lineRule="auto"/>
              <w:jc w:val="right"/>
            </w:pPr>
            <w:r>
              <w:rPr>
                <w:rFonts w:ascii="Calibri" w:hAnsi="Calibri" w:cs="Calibri"/>
                <w:sz w:val="20"/>
              </w:rPr>
              <w:t>9</w:t>
            </w:r>
          </w:p>
        </w:tc>
        <w:tc>
          <w:tcPr>
            <w:tcW w:type="dxa" w:w="1491"/>
            <w:vAlign w:val="center"/>
            <w:tcMar>
              <w:top w:w="100" w:type="dxa"/>
              <w:left w:w="100" w:type="dxa"/>
              <w:bottom w:w="100" w:type="dxa"/>
              <w:right w:w="100" w:type="dxa"/>
            </w:tcMar>
          </w:tcPr>
          <w:p>
            <w:pPr>
              <w:spacing w:after="0" w:line="240" w:lineRule="auto"/>
              <w:jc w:val="left"/>
            </w:pPr>
            <w:r>
              <w:rPr>
                <w:rFonts w:ascii="Calibri" w:hAnsi="Calibri" w:cs="Calibri"/>
                <w:sz w:val="20"/>
              </w:rPr>
              <w:t>Empleado</w:t>
            </w:r>
          </w:p>
        </w:tc>
      </w:tr>
      <w:tr>
        <w:tc>
          <w:tcPr>
            <w:tcW w:type="dxa" w:w="3442"/>
            <w:vAlign w:val="center"/>
            <w:tcMar>
              <w:top w:w="100" w:type="dxa"/>
              <w:left w:w="100" w:type="dxa"/>
              <w:bottom w:w="100" w:type="dxa"/>
              <w:right w:w="100" w:type="dxa"/>
            </w:tcMar>
          </w:tcPr>
          <w:p>
            <w:pPr>
              <w:spacing w:after="0" w:line="240" w:lineRule="auto"/>
              <w:jc w:val="left"/>
            </w:pPr>
            <w:r>
              <w:rPr>
                <w:rFonts w:ascii="Calibri" w:hAnsi="Calibri" w:cs="Calibri"/>
                <w:sz w:val="20"/>
              </w:rPr>
              <w:t>Colaborador de desarrollo</w:t>
            </w:r>
          </w:p>
        </w:tc>
        <w:tc>
          <w:tcPr>
            <w:tcW w:type="dxa" w:w="2330"/>
            <w:vAlign w:val="center"/>
            <w:tcMar>
              <w:top w:w="100" w:type="dxa"/>
              <w:left w:w="100" w:type="dxa"/>
              <w:bottom w:w="100" w:type="dxa"/>
              <w:right w:w="100" w:type="dxa"/>
            </w:tcMar>
          </w:tcPr>
          <w:p>
            <w:pPr>
              <w:spacing w:after="0" w:line="240" w:lineRule="auto"/>
              <w:jc w:val="right"/>
            </w:pPr>
            <w:r>
              <w:rPr>
                <w:rFonts w:ascii="Calibri" w:hAnsi="Calibri" w:cs="Calibri"/>
                <w:sz w:val="20"/>
              </w:rPr>
              <w:t>$ 2.900.000</w:t>
            </w:r>
          </w:p>
        </w:tc>
        <w:tc>
          <w:tcPr>
            <w:tcW w:type="dxa" w:w="1241"/>
            <w:vAlign w:val="center"/>
            <w:tcMar>
              <w:top w:w="100" w:type="dxa"/>
              <w:left w:w="100" w:type="dxa"/>
              <w:bottom w:w="100" w:type="dxa"/>
              <w:right w:w="100" w:type="dxa"/>
            </w:tcMar>
          </w:tcPr>
          <w:p>
            <w:pPr>
              <w:spacing w:after="0" w:line="240" w:lineRule="auto"/>
              <w:jc w:val="right"/>
            </w:pPr>
            <w:r>
              <w:rPr>
                <w:rFonts w:ascii="Calibri" w:hAnsi="Calibri" w:cs="Calibri"/>
                <w:sz w:val="20"/>
              </w:rPr>
              <w:t>9</w:t>
            </w:r>
          </w:p>
        </w:tc>
        <w:tc>
          <w:tcPr>
            <w:tcW w:type="dxa" w:w="1491"/>
            <w:vAlign w:val="center"/>
            <w:tcMar>
              <w:top w:w="100" w:type="dxa"/>
              <w:left w:w="100" w:type="dxa"/>
              <w:bottom w:w="100" w:type="dxa"/>
              <w:right w:w="100" w:type="dxa"/>
            </w:tcMar>
          </w:tcPr>
          <w:p>
            <w:pPr>
              <w:spacing w:after="0" w:line="240" w:lineRule="auto"/>
              <w:jc w:val="left"/>
            </w:pPr>
            <w:r>
              <w:rPr>
                <w:rFonts w:ascii="Calibri" w:hAnsi="Calibri" w:cs="Calibri"/>
                <w:sz w:val="20"/>
              </w:rPr>
              <w:t>Empleado</w:t>
            </w:r>
          </w:p>
        </w:tc>
      </w:tr>
      <w:tr>
        <w:tc>
          <w:tcPr>
            <w:tcW w:type="dxa" w:w="3442"/>
            <w:vAlign w:val="center"/>
            <w:tcMar>
              <w:top w:w="100" w:type="dxa"/>
              <w:left w:w="100" w:type="dxa"/>
              <w:bottom w:w="100" w:type="dxa"/>
              <w:right w:w="100" w:type="dxa"/>
            </w:tcMar>
          </w:tcPr>
          <w:p>
            <w:pPr>
              <w:spacing w:after="0" w:line="240" w:lineRule="auto"/>
              <w:jc w:val="left"/>
            </w:pPr>
            <w:r>
              <w:rPr>
                <w:rFonts w:ascii="Calibri" w:hAnsi="Calibri" w:cs="Calibri"/>
                <w:sz w:val="20"/>
              </w:rPr>
              <w:t>Segundo colaborador de soporte</w:t>
            </w:r>
          </w:p>
        </w:tc>
        <w:tc>
          <w:tcPr>
            <w:tcW w:type="dxa" w:w="2330"/>
            <w:vAlign w:val="center"/>
            <w:tcMar>
              <w:top w:w="100" w:type="dxa"/>
              <w:left w:w="100" w:type="dxa"/>
              <w:bottom w:w="100" w:type="dxa"/>
              <w:right w:w="100" w:type="dxa"/>
            </w:tcMar>
          </w:tcPr>
          <w:p>
            <w:pPr>
              <w:spacing w:after="0" w:line="240" w:lineRule="auto"/>
              <w:jc w:val="right"/>
            </w:pPr>
            <w:r>
              <w:rPr>
                <w:rFonts w:ascii="Calibri" w:hAnsi="Calibri" w:cs="Calibri"/>
                <w:sz w:val="20"/>
              </w:rPr>
              <w:t>$ 1.800.000</w:t>
            </w:r>
          </w:p>
        </w:tc>
        <w:tc>
          <w:tcPr>
            <w:tcW w:type="dxa" w:w="1241"/>
            <w:vAlign w:val="center"/>
            <w:tcMar>
              <w:top w:w="100" w:type="dxa"/>
              <w:left w:w="100" w:type="dxa"/>
              <w:bottom w:w="100" w:type="dxa"/>
              <w:right w:w="100" w:type="dxa"/>
            </w:tcMar>
          </w:tcPr>
          <w:p>
            <w:pPr>
              <w:spacing w:after="0" w:line="240" w:lineRule="auto"/>
              <w:jc w:val="right"/>
            </w:pPr>
            <w:r>
              <w:rPr>
                <w:rFonts w:ascii="Calibri" w:hAnsi="Calibri" w:cs="Calibri"/>
                <w:sz w:val="20"/>
              </w:rPr>
              <w:t>18</w:t>
            </w:r>
          </w:p>
        </w:tc>
        <w:tc>
          <w:tcPr>
            <w:tcW w:type="dxa" w:w="1491"/>
            <w:vAlign w:val="center"/>
            <w:tcMar>
              <w:top w:w="100" w:type="dxa"/>
              <w:left w:w="100" w:type="dxa"/>
              <w:bottom w:w="100" w:type="dxa"/>
              <w:right w:w="100" w:type="dxa"/>
            </w:tcMar>
          </w:tcPr>
          <w:p>
            <w:pPr>
              <w:spacing w:after="0" w:line="240" w:lineRule="auto"/>
              <w:jc w:val="left"/>
            </w:pPr>
            <w:r>
              <w:rPr>
                <w:rFonts w:ascii="Calibri" w:hAnsi="Calibri" w:cs="Calibri"/>
                <w:sz w:val="20"/>
              </w:rPr>
              <w:t>Empleado</w:t>
            </w:r>
          </w:p>
        </w:tc>
      </w:tr>
    </w:tbl>
    <w:p>
      <w:pPr>
        <w:pStyle w:val="Ttulo2"/>
        <w:jc w:val="both"/>
      </w:pPr>
      <w:r>
        <w:rPr>
          <w:rFonts w:ascii="Calibri" w:hAnsi="Calibri" w:cs="Calibri"/>
        </w:rPr>
        <w:t>7.1. El retiro de los socios</w:t>
      </w:r>
    </w:p>
    <w:p>
      <w:pPr>
        <w:jc w:val="both"/>
      </w:pPr>
      <w:r>
        <w:rPr>
          <w:rFonts w:ascii="Calibri" w:hAnsi="Calibri" w:cs="Calibri"/>
        </w:rPr>
        <w:t>Los dos socios no cobran su salario de mercado desde el primer mes. Se carga el porcentaje que retiran efectivamente:</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1"/>
        <w:gridCol w:w="1701"/>
        <w:gridCol w:w="1701"/>
        <w:gridCol w:w="1701"/>
        <w:gridCol w:w="1701"/>
      </w:tblGrid>
      <w:tr>
        <w:trPr>
          <w:tblHeader/>
        </w:trPr>
        <w:tc>
          <w:tcPr>
            <w:tcW w:type="dxa" w:w="4651"/>
            <w:vAlign w:val="center"/>
            <w:tcMar>
              <w:top w:w="100" w:type="dxa"/>
              <w:left w:w="100" w:type="dxa"/>
              <w:bottom w:w="100" w:type="dxa"/>
              <w:right w:w="100" w:type="dxa"/>
            </w:tcMar>
            <w:shd w:val="clear" w:color="auto" w:fill="DDEBF7"/>
          </w:tcPr>
          <w:p>
            <w:pPr>
              <w:spacing w:after="0" w:line="240" w:lineRule="auto"/>
              <w:jc w:val="center"/>
            </w:pPr>
          </w:p>
        </w:tc>
        <w:tc>
          <w:tcPr>
            <w:tcW w:type="dxa" w:w="943"/>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2027</w:t>
            </w:r>
          </w:p>
        </w:tc>
        <w:tc>
          <w:tcPr>
            <w:tcW w:type="dxa" w:w="943"/>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2028</w:t>
            </w:r>
          </w:p>
        </w:tc>
        <w:tc>
          <w:tcPr>
            <w:tcW w:type="dxa" w:w="943"/>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2029</w:t>
            </w:r>
          </w:p>
        </w:tc>
        <w:tc>
          <w:tcPr>
            <w:tcW w:type="dxa" w:w="1024"/>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2030</w:t>
            </w:r>
          </w:p>
        </w:tc>
      </w:tr>
      <w:tr>
        <w:tc>
          <w:tcPr>
            <w:tcW w:type="dxa" w:w="4651"/>
            <w:vAlign w:val="center"/>
            <w:tcMar>
              <w:top w:w="100" w:type="dxa"/>
              <w:left w:w="100" w:type="dxa"/>
              <w:bottom w:w="100" w:type="dxa"/>
              <w:right w:w="100" w:type="dxa"/>
            </w:tcMar>
          </w:tcPr>
          <w:p>
            <w:pPr>
              <w:spacing w:after="0" w:line="240" w:lineRule="auto"/>
              <w:jc w:val="left"/>
            </w:pPr>
            <w:r>
              <w:rPr>
                <w:rFonts w:ascii="Calibri" w:hAnsi="Calibri" w:cs="Calibri"/>
                <w:sz w:val="20"/>
              </w:rPr>
              <w:t>% del salario de mercado que retira cada socio</w:t>
            </w:r>
          </w:p>
        </w:tc>
        <w:tc>
          <w:tcPr>
            <w:tcW w:type="dxa" w:w="943"/>
            <w:vAlign w:val="center"/>
            <w:tcMar>
              <w:top w:w="100" w:type="dxa"/>
              <w:left w:w="100" w:type="dxa"/>
              <w:bottom w:w="100" w:type="dxa"/>
              <w:right w:w="100" w:type="dxa"/>
            </w:tcMar>
          </w:tcPr>
          <w:p>
            <w:pPr>
              <w:spacing w:after="0" w:line="240" w:lineRule="auto"/>
              <w:jc w:val="right"/>
            </w:pPr>
            <w:r>
              <w:rPr>
                <w:rFonts w:ascii="Calibri" w:hAnsi="Calibri" w:cs="Calibri"/>
                <w:sz w:val="20"/>
              </w:rPr>
              <w:t>30 %</w:t>
            </w:r>
          </w:p>
        </w:tc>
        <w:tc>
          <w:tcPr>
            <w:tcW w:type="dxa" w:w="943"/>
            <w:vAlign w:val="center"/>
            <w:tcMar>
              <w:top w:w="100" w:type="dxa"/>
              <w:left w:w="100" w:type="dxa"/>
              <w:bottom w:w="100" w:type="dxa"/>
              <w:right w:w="100" w:type="dxa"/>
            </w:tcMar>
          </w:tcPr>
          <w:p>
            <w:pPr>
              <w:spacing w:after="0" w:line="240" w:lineRule="auto"/>
              <w:jc w:val="right"/>
            </w:pPr>
            <w:r>
              <w:rPr>
                <w:rFonts w:ascii="Calibri" w:hAnsi="Calibri" w:cs="Calibri"/>
                <w:sz w:val="20"/>
              </w:rPr>
              <w:t>55 %</w:t>
            </w:r>
          </w:p>
        </w:tc>
        <w:tc>
          <w:tcPr>
            <w:tcW w:type="dxa" w:w="943"/>
            <w:vAlign w:val="center"/>
            <w:tcMar>
              <w:top w:w="100" w:type="dxa"/>
              <w:left w:w="100" w:type="dxa"/>
              <w:bottom w:w="100" w:type="dxa"/>
              <w:right w:w="100" w:type="dxa"/>
            </w:tcMar>
          </w:tcPr>
          <w:p>
            <w:pPr>
              <w:spacing w:after="0" w:line="240" w:lineRule="auto"/>
              <w:jc w:val="right"/>
            </w:pPr>
            <w:r>
              <w:rPr>
                <w:rFonts w:ascii="Calibri" w:hAnsi="Calibri" w:cs="Calibri"/>
                <w:sz w:val="20"/>
              </w:rPr>
              <w:t>80 %</w:t>
            </w:r>
          </w:p>
        </w:tc>
        <w:tc>
          <w:tcPr>
            <w:tcW w:type="dxa" w:w="1024"/>
            <w:vAlign w:val="center"/>
            <w:tcMar>
              <w:top w:w="100" w:type="dxa"/>
              <w:left w:w="100" w:type="dxa"/>
              <w:bottom w:w="100" w:type="dxa"/>
              <w:right w:w="100" w:type="dxa"/>
            </w:tcMar>
          </w:tcPr>
          <w:p>
            <w:pPr>
              <w:spacing w:after="0" w:line="240" w:lineRule="auto"/>
              <w:jc w:val="right"/>
            </w:pPr>
            <w:r>
              <w:rPr>
                <w:rFonts w:ascii="Calibri" w:hAnsi="Calibri" w:cs="Calibri"/>
                <w:sz w:val="20"/>
              </w:rPr>
              <w:t>100 %</w:t>
            </w:r>
          </w:p>
        </w:tc>
      </w:tr>
    </w:tbl>
    <w:p>
      <w:pPr>
        <w:jc w:val="both"/>
      </w:pPr>
      <w:r>
        <w:rPr>
          <w:rFonts w:ascii="Calibri" w:hAnsi="Calibri" w:cs="Calibri"/>
        </w:rPr>
        <w:t>El primer año es un retiro de subsistencia. La brecha entre lo que retiran y lo que valdría su trabajo en el mercado es el aporte de capital de los socios, y está registrada como tal en lugar de quedar escondida en un costo laboral irrealmente bajo.</w:t>
      </w:r>
    </w:p>
    <w:p>
      <w:pPr>
        <w:pStyle w:val="Ttulo2"/>
        <w:jc w:val="both"/>
      </w:pPr>
      <w:r>
        <w:rPr>
          <w:rFonts w:ascii="Calibri" w:hAnsi="Calibri" w:cs="Calibri"/>
        </w:rPr>
        <w:t>7.2. Cargas sociales</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252"/>
        <w:gridCol w:w="4252"/>
      </w:tblGrid>
      <w:tr>
        <w:trPr>
          <w:tblHeader/>
        </w:trPr>
        <w:tc>
          <w:tcPr>
            <w:tcW w:type="dxa" w:w="5963"/>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Concepto</w:t>
            </w:r>
          </w:p>
        </w:tc>
        <w:tc>
          <w:tcPr>
            <w:tcW w:type="dxa" w:w="2541"/>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Alícuota</w:t>
            </w:r>
          </w:p>
        </w:tc>
      </w:tr>
      <w:tr>
        <w:tc>
          <w:tcPr>
            <w:tcW w:type="dxa" w:w="5963"/>
            <w:vAlign w:val="center"/>
            <w:tcMar>
              <w:top w:w="100" w:type="dxa"/>
              <w:left w:w="100" w:type="dxa"/>
              <w:bottom w:w="100" w:type="dxa"/>
              <w:right w:w="100" w:type="dxa"/>
            </w:tcMar>
          </w:tcPr>
          <w:p>
            <w:pPr>
              <w:spacing w:after="0" w:line="240" w:lineRule="auto"/>
              <w:jc w:val="left"/>
            </w:pPr>
            <w:r>
              <w:rPr>
                <w:rFonts w:ascii="Calibri" w:hAnsi="Calibri" w:cs="Calibri"/>
                <w:sz w:val="20"/>
              </w:rPr>
              <w:t>Jubilación</w:t>
            </w:r>
          </w:p>
        </w:tc>
        <w:tc>
          <w:tcPr>
            <w:tcW w:type="dxa" w:w="2541"/>
            <w:vAlign w:val="center"/>
            <w:tcMar>
              <w:top w:w="100" w:type="dxa"/>
              <w:left w:w="100" w:type="dxa"/>
              <w:bottom w:w="100" w:type="dxa"/>
              <w:right w:w="100" w:type="dxa"/>
            </w:tcMar>
          </w:tcPr>
          <w:p>
            <w:pPr>
              <w:spacing w:after="0" w:line="240" w:lineRule="auto"/>
              <w:jc w:val="right"/>
            </w:pPr>
            <w:r>
              <w:rPr>
                <w:rFonts w:ascii="Calibri" w:hAnsi="Calibri" w:cs="Calibri"/>
                <w:sz w:val="20"/>
              </w:rPr>
              <w:t>10,17 %</w:t>
            </w:r>
          </w:p>
        </w:tc>
      </w:tr>
      <w:tr>
        <w:tc>
          <w:tcPr>
            <w:tcW w:type="dxa" w:w="5963"/>
            <w:vAlign w:val="center"/>
            <w:tcMar>
              <w:top w:w="100" w:type="dxa"/>
              <w:left w:w="100" w:type="dxa"/>
              <w:bottom w:w="100" w:type="dxa"/>
              <w:right w:w="100" w:type="dxa"/>
            </w:tcMar>
          </w:tcPr>
          <w:p>
            <w:pPr>
              <w:spacing w:after="0" w:line="240" w:lineRule="auto"/>
              <w:jc w:val="left"/>
            </w:pPr>
            <w:r>
              <w:rPr>
                <w:rFonts w:ascii="Calibri" w:hAnsi="Calibri" w:cs="Calibri"/>
                <w:sz w:val="20"/>
              </w:rPr>
              <w:t>PAMI (Ley 19.032)</w:t>
            </w:r>
          </w:p>
        </w:tc>
        <w:tc>
          <w:tcPr>
            <w:tcW w:type="dxa" w:w="2541"/>
            <w:vAlign w:val="center"/>
            <w:tcMar>
              <w:top w:w="100" w:type="dxa"/>
              <w:left w:w="100" w:type="dxa"/>
              <w:bottom w:w="100" w:type="dxa"/>
              <w:right w:w="100" w:type="dxa"/>
            </w:tcMar>
          </w:tcPr>
          <w:p>
            <w:pPr>
              <w:spacing w:after="0" w:line="240" w:lineRule="auto"/>
              <w:jc w:val="right"/>
            </w:pPr>
            <w:r>
              <w:rPr>
                <w:rFonts w:ascii="Calibri" w:hAnsi="Calibri" w:cs="Calibri"/>
                <w:sz w:val="20"/>
              </w:rPr>
              <w:t>1,50 %</w:t>
            </w:r>
          </w:p>
        </w:tc>
      </w:tr>
      <w:tr>
        <w:tc>
          <w:tcPr>
            <w:tcW w:type="dxa" w:w="5963"/>
            <w:vAlign w:val="center"/>
            <w:tcMar>
              <w:top w:w="100" w:type="dxa"/>
              <w:left w:w="100" w:type="dxa"/>
              <w:bottom w:w="100" w:type="dxa"/>
              <w:right w:w="100" w:type="dxa"/>
            </w:tcMar>
          </w:tcPr>
          <w:p>
            <w:pPr>
              <w:spacing w:after="0" w:line="240" w:lineRule="auto"/>
              <w:jc w:val="left"/>
            </w:pPr>
            <w:r>
              <w:rPr>
                <w:rFonts w:ascii="Calibri" w:hAnsi="Calibri" w:cs="Calibri"/>
                <w:sz w:val="20"/>
              </w:rPr>
              <w:t>Asignaciones familiares</w:t>
            </w:r>
          </w:p>
        </w:tc>
        <w:tc>
          <w:tcPr>
            <w:tcW w:type="dxa" w:w="2541"/>
            <w:vAlign w:val="center"/>
            <w:tcMar>
              <w:top w:w="100" w:type="dxa"/>
              <w:left w:w="100" w:type="dxa"/>
              <w:bottom w:w="100" w:type="dxa"/>
              <w:right w:w="100" w:type="dxa"/>
            </w:tcMar>
          </w:tcPr>
          <w:p>
            <w:pPr>
              <w:spacing w:after="0" w:line="240" w:lineRule="auto"/>
              <w:jc w:val="right"/>
            </w:pPr>
            <w:r>
              <w:rPr>
                <w:rFonts w:ascii="Calibri" w:hAnsi="Calibri" w:cs="Calibri"/>
                <w:sz w:val="20"/>
              </w:rPr>
              <w:t>4,44 %</w:t>
            </w:r>
          </w:p>
        </w:tc>
      </w:tr>
      <w:tr>
        <w:tc>
          <w:tcPr>
            <w:tcW w:type="dxa" w:w="5963"/>
            <w:vAlign w:val="center"/>
            <w:tcMar>
              <w:top w:w="100" w:type="dxa"/>
              <w:left w:w="100" w:type="dxa"/>
              <w:bottom w:w="100" w:type="dxa"/>
              <w:right w:w="100" w:type="dxa"/>
            </w:tcMar>
          </w:tcPr>
          <w:p>
            <w:pPr>
              <w:spacing w:after="0" w:line="240" w:lineRule="auto"/>
              <w:jc w:val="left"/>
            </w:pPr>
            <w:r>
              <w:rPr>
                <w:rFonts w:ascii="Calibri" w:hAnsi="Calibri" w:cs="Calibri"/>
                <w:sz w:val="20"/>
              </w:rPr>
              <w:t>Fondo Nacional de Empleo</w:t>
            </w:r>
          </w:p>
        </w:tc>
        <w:tc>
          <w:tcPr>
            <w:tcW w:type="dxa" w:w="2541"/>
            <w:vAlign w:val="center"/>
            <w:tcMar>
              <w:top w:w="100" w:type="dxa"/>
              <w:left w:w="100" w:type="dxa"/>
              <w:bottom w:w="100" w:type="dxa"/>
              <w:right w:w="100" w:type="dxa"/>
            </w:tcMar>
          </w:tcPr>
          <w:p>
            <w:pPr>
              <w:spacing w:after="0" w:line="240" w:lineRule="auto"/>
              <w:jc w:val="right"/>
            </w:pPr>
            <w:r>
              <w:rPr>
                <w:rFonts w:ascii="Calibri" w:hAnsi="Calibri" w:cs="Calibri"/>
                <w:sz w:val="20"/>
              </w:rPr>
              <w:t>0,89 %</w:t>
            </w:r>
          </w:p>
        </w:tc>
      </w:tr>
      <w:tr>
        <w:tc>
          <w:tcPr>
            <w:tcW w:type="dxa" w:w="5963"/>
            <w:vAlign w:val="center"/>
            <w:tcMar>
              <w:top w:w="100" w:type="dxa"/>
              <w:left w:w="100" w:type="dxa"/>
              <w:bottom w:w="100" w:type="dxa"/>
              <w:right w:w="100" w:type="dxa"/>
            </w:tcMar>
          </w:tcPr>
          <w:p>
            <w:pPr>
              <w:spacing w:after="0" w:line="240" w:lineRule="auto"/>
              <w:jc w:val="left"/>
            </w:pPr>
            <w:r>
              <w:rPr>
                <w:rFonts w:ascii="Calibri" w:hAnsi="Calibri" w:cs="Calibri"/>
                <w:sz w:val="20"/>
              </w:rPr>
              <w:t>Obra social</w:t>
            </w:r>
          </w:p>
        </w:tc>
        <w:tc>
          <w:tcPr>
            <w:tcW w:type="dxa" w:w="2541"/>
            <w:vAlign w:val="center"/>
            <w:tcMar>
              <w:top w:w="100" w:type="dxa"/>
              <w:left w:w="100" w:type="dxa"/>
              <w:bottom w:w="100" w:type="dxa"/>
              <w:right w:w="100" w:type="dxa"/>
            </w:tcMar>
          </w:tcPr>
          <w:p>
            <w:pPr>
              <w:spacing w:after="0" w:line="240" w:lineRule="auto"/>
              <w:jc w:val="right"/>
            </w:pPr>
            <w:r>
              <w:rPr>
                <w:rFonts w:ascii="Calibri" w:hAnsi="Calibri" w:cs="Calibri"/>
                <w:sz w:val="20"/>
              </w:rPr>
              <w:t>6,00 %</w:t>
            </w:r>
          </w:p>
        </w:tc>
      </w:tr>
    </w:tbl>
    <w:p>
      <w:pPr>
        <w:jc w:val="both"/>
      </w:pPr>
      <w:r>
        <w:rPr>
          <w:rFonts w:ascii="Calibri" w:hAnsi="Calibri" w:cs="Calibri"/>
        </w:rPr>
        <w:t>Los salarios se ajustan una vez por año por el supuesto de aumento de salarios del punto 1.1, que es el más alto de los tres índices del modelo. El costo de RRHH es el que más pesa a partir de la Etapa E3, cuando los cuatro roles quedan cubiertos por personas distintas.</w:t>
      </w:r>
    </w:p>
    <w:p>
      <w:pPr>
        <w:pStyle w:val="Ttulo1"/>
        <w:pageBreakBefore/>
        <w:jc w:val="both"/>
      </w:pPr>
      <w:r>
        <w:rPr>
          <w:rFonts w:ascii="Calibri" w:hAnsi="Calibri" w:cs="Calibri"/>
        </w:rPr>
        <w:t>8. Qué no entra en esta entrega</w:t>
      </w:r>
    </w:p>
    <w:p>
      <w:pPr>
        <w:jc w:val="both"/>
      </w:pPr>
      <w:r>
        <w:rPr>
          <w:rFonts w:ascii="Calibri" w:hAnsi="Calibri" w:cs="Calibri"/>
        </w:rPr>
        <w:t>Se declara para que no se lea como algo faltante:</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252"/>
        <w:gridCol w:w="4252"/>
      </w:tblGrid>
      <w:tr>
        <w:trPr>
          <w:tblHeader/>
        </w:trPr>
        <w:tc>
          <w:tcPr>
            <w:tcW w:type="dxa" w:w="6528"/>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Contenido</w:t>
            </w:r>
          </w:p>
        </w:tc>
        <w:tc>
          <w:tcPr>
            <w:tcW w:type="dxa" w:w="1976"/>
            <w:vAlign w:val="center"/>
            <w:tcMar>
              <w:top w:w="100" w:type="dxa"/>
              <w:left w:w="100" w:type="dxa"/>
              <w:bottom w:w="100" w:type="dxa"/>
              <w:right w:w="100" w:type="dxa"/>
            </w:tcMar>
            <w:shd w:val="clear" w:color="auto" w:fill="DDEBF7"/>
          </w:tcPr>
          <w:p>
            <w:pPr>
              <w:spacing w:after="0" w:line="240" w:lineRule="auto"/>
              <w:jc w:val="center"/>
            </w:pPr>
            <w:r>
              <w:rPr>
                <w:rFonts w:ascii="Calibri" w:hAnsi="Calibri" w:cs="Calibri"/>
                <w:b/>
                <w:sz w:val="20"/>
              </w:rPr>
              <w:t>Entrega</w:t>
            </w:r>
          </w:p>
        </w:tc>
      </w:tr>
      <w:tr>
        <w:tc>
          <w:tcPr>
            <w:tcW w:type="dxa" w:w="6528"/>
            <w:vAlign w:val="center"/>
            <w:tcMar>
              <w:top w:w="100" w:type="dxa"/>
              <w:left w:w="100" w:type="dxa"/>
              <w:bottom w:w="100" w:type="dxa"/>
              <w:right w:w="100" w:type="dxa"/>
            </w:tcMar>
          </w:tcPr>
          <w:p>
            <w:pPr>
              <w:spacing w:after="0" w:line="240" w:lineRule="auto"/>
              <w:jc w:val="left"/>
            </w:pPr>
            <w:r>
              <w:rPr>
                <w:rFonts w:ascii="Calibri" w:hAnsi="Calibri" w:cs="Calibri"/>
                <w:sz w:val="20"/>
              </w:rPr>
              <w:t>Hipótesis, proyección de ventas y líneas de servicio</w:t>
            </w:r>
          </w:p>
        </w:tc>
        <w:tc>
          <w:tcPr>
            <w:tcW w:type="dxa" w:w="1976"/>
            <w:vAlign w:val="center"/>
            <w:tcMar>
              <w:top w:w="100" w:type="dxa"/>
              <w:left w:w="100" w:type="dxa"/>
              <w:bottom w:w="100" w:type="dxa"/>
              <w:right w:w="100" w:type="dxa"/>
            </w:tcMar>
          </w:tcPr>
          <w:p>
            <w:pPr>
              <w:spacing w:after="0" w:line="240" w:lineRule="auto"/>
              <w:jc w:val="left"/>
            </w:pPr>
            <w:r>
              <w:rPr>
                <w:rFonts w:ascii="Calibri" w:hAnsi="Calibri" w:cs="Calibri"/>
                <w:b/>
                <w:sz w:val="20"/>
              </w:rPr>
              <w:t>1 — esta</w:t>
            </w:r>
          </w:p>
        </w:tc>
      </w:tr>
      <w:tr>
        <w:tc>
          <w:tcPr>
            <w:tcW w:type="dxa" w:w="6528"/>
            <w:vAlign w:val="center"/>
            <w:tcMar>
              <w:top w:w="100" w:type="dxa"/>
              <w:left w:w="100" w:type="dxa"/>
              <w:bottom w:w="100" w:type="dxa"/>
              <w:right w:w="100" w:type="dxa"/>
            </w:tcMar>
          </w:tcPr>
          <w:p>
            <w:pPr>
              <w:spacing w:after="0" w:line="240" w:lineRule="auto"/>
              <w:jc w:val="left"/>
            </w:pPr>
            <w:r>
              <w:rPr>
                <w:rFonts w:ascii="Calibri" w:hAnsi="Calibri" w:cs="Calibri"/>
                <w:sz w:val="20"/>
              </w:rPr>
              <w:t>Modelo de ingresos y de egresos</w:t>
            </w:r>
          </w:p>
        </w:tc>
        <w:tc>
          <w:tcPr>
            <w:tcW w:type="dxa" w:w="1976"/>
            <w:vAlign w:val="center"/>
            <w:tcMar>
              <w:top w:w="100" w:type="dxa"/>
              <w:left w:w="100" w:type="dxa"/>
              <w:bottom w:w="100" w:type="dxa"/>
              <w:right w:w="100" w:type="dxa"/>
            </w:tcMar>
          </w:tcPr>
          <w:p>
            <w:pPr>
              <w:spacing w:after="0" w:line="240" w:lineRule="auto"/>
              <w:jc w:val="left"/>
            </w:pPr>
            <w:r>
              <w:rPr>
                <w:rFonts w:ascii="Calibri" w:hAnsi="Calibri" w:cs="Calibri"/>
                <w:b/>
                <w:sz w:val="20"/>
              </w:rPr>
              <w:t>1 — esta</w:t>
            </w:r>
          </w:p>
        </w:tc>
      </w:tr>
      <w:tr>
        <w:tc>
          <w:tcPr>
            <w:tcW w:type="dxa" w:w="6528"/>
            <w:vAlign w:val="center"/>
            <w:tcMar>
              <w:top w:w="100" w:type="dxa"/>
              <w:left w:w="100" w:type="dxa"/>
              <w:bottom w:w="100" w:type="dxa"/>
              <w:right w:w="100" w:type="dxa"/>
            </w:tcMar>
          </w:tcPr>
          <w:p>
            <w:pPr>
              <w:spacing w:after="0" w:line="240" w:lineRule="auto"/>
              <w:jc w:val="left"/>
            </w:pPr>
            <w:r>
              <w:rPr>
                <w:rFonts w:ascii="Calibri" w:hAnsi="Calibri" w:cs="Calibri"/>
                <w:sz w:val="20"/>
              </w:rPr>
              <w:t>Costos fijos, variables y de RRHH</w:t>
            </w:r>
          </w:p>
        </w:tc>
        <w:tc>
          <w:tcPr>
            <w:tcW w:type="dxa" w:w="1976"/>
            <w:vAlign w:val="center"/>
            <w:tcMar>
              <w:top w:w="100" w:type="dxa"/>
              <w:left w:w="100" w:type="dxa"/>
              <w:bottom w:w="100" w:type="dxa"/>
              <w:right w:w="100" w:type="dxa"/>
            </w:tcMar>
          </w:tcPr>
          <w:p>
            <w:pPr>
              <w:spacing w:after="0" w:line="240" w:lineRule="auto"/>
              <w:jc w:val="left"/>
            </w:pPr>
            <w:r>
              <w:rPr>
                <w:rFonts w:ascii="Calibri" w:hAnsi="Calibri" w:cs="Calibri"/>
                <w:b/>
                <w:sz w:val="20"/>
              </w:rPr>
              <w:t>1 — esta</w:t>
            </w:r>
          </w:p>
        </w:tc>
      </w:tr>
      <w:tr>
        <w:tc>
          <w:tcPr>
            <w:tcW w:type="dxa" w:w="6528"/>
            <w:vAlign w:val="center"/>
            <w:tcMar>
              <w:top w:w="100" w:type="dxa"/>
              <w:left w:w="100" w:type="dxa"/>
              <w:bottom w:w="100" w:type="dxa"/>
              <w:right w:w="100" w:type="dxa"/>
            </w:tcMar>
          </w:tcPr>
          <w:p>
            <w:pPr>
              <w:spacing w:after="0" w:line="240" w:lineRule="auto"/>
              <w:jc w:val="left"/>
            </w:pPr>
            <w:r>
              <w:rPr>
                <w:rFonts w:ascii="Calibri" w:hAnsi="Calibri" w:cs="Calibri"/>
                <w:sz w:val="20"/>
              </w:rPr>
              <w:t>Modelo de inversión</w:t>
            </w:r>
          </w:p>
        </w:tc>
        <w:tc>
          <w:tcPr>
            <w:tcW w:type="dxa" w:w="1976"/>
            <w:vAlign w:val="center"/>
            <w:tcMar>
              <w:top w:w="100" w:type="dxa"/>
              <w:left w:w="100" w:type="dxa"/>
              <w:bottom w:w="100" w:type="dxa"/>
              <w:right w:w="100" w:type="dxa"/>
            </w:tcMar>
          </w:tcPr>
          <w:p>
            <w:pPr>
              <w:spacing w:after="0" w:line="240" w:lineRule="auto"/>
              <w:jc w:val="left"/>
            </w:pPr>
            <w:r>
              <w:rPr>
                <w:rFonts w:ascii="Calibri" w:hAnsi="Calibri" w:cs="Calibri"/>
                <w:sz w:val="20"/>
              </w:rPr>
              <w:t>2</w:t>
            </w:r>
          </w:p>
        </w:tc>
      </w:tr>
      <w:tr>
        <w:tc>
          <w:tcPr>
            <w:tcW w:type="dxa" w:w="6528"/>
            <w:vAlign w:val="center"/>
            <w:tcMar>
              <w:top w:w="100" w:type="dxa"/>
              <w:left w:w="100" w:type="dxa"/>
              <w:bottom w:w="100" w:type="dxa"/>
              <w:right w:w="100" w:type="dxa"/>
            </w:tcMar>
          </w:tcPr>
          <w:p>
            <w:pPr>
              <w:spacing w:after="0" w:line="240" w:lineRule="auto"/>
              <w:jc w:val="left"/>
            </w:pPr>
            <w:r>
              <w:rPr>
                <w:rFonts w:ascii="Calibri" w:hAnsi="Calibri" w:cs="Calibri"/>
                <w:sz w:val="20"/>
              </w:rPr>
              <w:t>Flujo de fondos</w:t>
            </w:r>
          </w:p>
        </w:tc>
        <w:tc>
          <w:tcPr>
            <w:tcW w:type="dxa" w:w="1976"/>
            <w:vAlign w:val="center"/>
            <w:tcMar>
              <w:top w:w="100" w:type="dxa"/>
              <w:left w:w="100" w:type="dxa"/>
              <w:bottom w:w="100" w:type="dxa"/>
              <w:right w:w="100" w:type="dxa"/>
            </w:tcMar>
          </w:tcPr>
          <w:p>
            <w:pPr>
              <w:spacing w:after="0" w:line="240" w:lineRule="auto"/>
              <w:jc w:val="left"/>
            </w:pPr>
            <w:r>
              <w:rPr>
                <w:rFonts w:ascii="Calibri" w:hAnsi="Calibri" w:cs="Calibri"/>
                <w:sz w:val="20"/>
              </w:rPr>
              <w:t>2</w:t>
            </w:r>
          </w:p>
        </w:tc>
      </w:tr>
      <w:tr>
        <w:tc>
          <w:tcPr>
            <w:tcW w:type="dxa" w:w="6528"/>
            <w:vAlign w:val="center"/>
            <w:tcMar>
              <w:top w:w="100" w:type="dxa"/>
              <w:left w:w="100" w:type="dxa"/>
              <w:bottom w:w="100" w:type="dxa"/>
              <w:right w:w="100" w:type="dxa"/>
            </w:tcMar>
          </w:tcPr>
          <w:p>
            <w:pPr>
              <w:spacing w:after="0" w:line="240" w:lineRule="auto"/>
              <w:jc w:val="left"/>
            </w:pPr>
            <w:r>
              <w:rPr>
                <w:rFonts w:ascii="Calibri" w:hAnsi="Calibri" w:cs="Calibri"/>
                <w:sz w:val="20"/>
              </w:rPr>
              <w:t>Amortizaciones</w:t>
            </w:r>
          </w:p>
        </w:tc>
        <w:tc>
          <w:tcPr>
            <w:tcW w:type="dxa" w:w="1976"/>
            <w:vAlign w:val="center"/>
            <w:tcMar>
              <w:top w:w="100" w:type="dxa"/>
              <w:left w:w="100" w:type="dxa"/>
              <w:bottom w:w="100" w:type="dxa"/>
              <w:right w:w="100" w:type="dxa"/>
            </w:tcMar>
          </w:tcPr>
          <w:p>
            <w:pPr>
              <w:spacing w:after="0" w:line="240" w:lineRule="auto"/>
              <w:jc w:val="left"/>
            </w:pPr>
            <w:r>
              <w:rPr>
                <w:rFonts w:ascii="Calibri" w:hAnsi="Calibri" w:cs="Calibri"/>
                <w:sz w:val="20"/>
              </w:rPr>
              <w:t>2</w:t>
            </w:r>
          </w:p>
        </w:tc>
      </w:tr>
      <w:tr>
        <w:tc>
          <w:tcPr>
            <w:tcW w:type="dxa" w:w="6528"/>
            <w:vAlign w:val="center"/>
            <w:tcMar>
              <w:top w:w="100" w:type="dxa"/>
              <w:left w:w="100" w:type="dxa"/>
              <w:bottom w:w="100" w:type="dxa"/>
              <w:right w:w="100" w:type="dxa"/>
            </w:tcMar>
          </w:tcPr>
          <w:p>
            <w:pPr>
              <w:spacing w:after="0" w:line="240" w:lineRule="auto"/>
              <w:jc w:val="left"/>
            </w:pPr>
            <w:r>
              <w:rPr>
                <w:rFonts w:ascii="Calibri" w:hAnsi="Calibri" w:cs="Calibri"/>
                <w:sz w:val="20"/>
              </w:rPr>
              <w:t>Matriz de riesgos</w:t>
            </w:r>
          </w:p>
        </w:tc>
        <w:tc>
          <w:tcPr>
            <w:tcW w:type="dxa" w:w="1976"/>
            <w:vAlign w:val="center"/>
            <w:tcMar>
              <w:top w:w="100" w:type="dxa"/>
              <w:left w:w="100" w:type="dxa"/>
              <w:bottom w:w="100" w:type="dxa"/>
              <w:right w:w="100" w:type="dxa"/>
            </w:tcMar>
          </w:tcPr>
          <w:p>
            <w:pPr>
              <w:spacing w:after="0" w:line="240" w:lineRule="auto"/>
              <w:jc w:val="left"/>
            </w:pPr>
            <w:r>
              <w:rPr>
                <w:rFonts w:ascii="Calibri" w:hAnsi="Calibri" w:cs="Calibri"/>
                <w:sz w:val="20"/>
              </w:rPr>
              <w:t>2</w:t>
            </w:r>
          </w:p>
        </w:tc>
      </w:tr>
      <w:tr>
        <w:tc>
          <w:tcPr>
            <w:tcW w:type="dxa" w:w="6528"/>
            <w:vAlign w:val="center"/>
            <w:tcMar>
              <w:top w:w="100" w:type="dxa"/>
              <w:left w:w="100" w:type="dxa"/>
              <w:bottom w:w="100" w:type="dxa"/>
              <w:right w:w="100" w:type="dxa"/>
            </w:tcMar>
          </w:tcPr>
          <w:p>
            <w:pPr>
              <w:spacing w:after="0" w:line="240" w:lineRule="auto"/>
              <w:jc w:val="left"/>
            </w:pPr>
            <w:r>
              <w:rPr>
                <w:rFonts w:ascii="Calibri" w:hAnsi="Calibri" w:cs="Calibri"/>
                <w:sz w:val="20"/>
              </w:rPr>
              <w:t>Tres escenarios completos con sus planes de contingencia</w:t>
            </w:r>
          </w:p>
        </w:tc>
        <w:tc>
          <w:tcPr>
            <w:tcW w:type="dxa" w:w="1976"/>
            <w:vAlign w:val="center"/>
            <w:tcMar>
              <w:top w:w="100" w:type="dxa"/>
              <w:left w:w="100" w:type="dxa"/>
              <w:bottom w:w="100" w:type="dxa"/>
              <w:right w:w="100" w:type="dxa"/>
            </w:tcMar>
          </w:tcPr>
          <w:p>
            <w:pPr>
              <w:spacing w:after="0" w:line="240" w:lineRule="auto"/>
              <w:jc w:val="left"/>
            </w:pPr>
            <w:r>
              <w:rPr>
                <w:rFonts w:ascii="Calibri" w:hAnsi="Calibri" w:cs="Calibri"/>
                <w:sz w:val="20"/>
              </w:rPr>
              <w:t>Final</w:t>
            </w:r>
          </w:p>
        </w:tc>
      </w:tr>
    </w:tbl>
    <w:p>
      <w:pPr>
        <w:jc w:val="both"/>
      </w:pPr>
      <w:r>
        <w:rPr>
          <w:rFonts w:ascii="Calibri" w:hAnsi="Calibri" w:cs="Calibri"/>
        </w:rPr>
        <w:t xml:space="preserve">El libro de cálculo de esta entrega tiene </w:t>
      </w:r>
      <w:r>
        <w:rPr>
          <w:rFonts w:ascii="Calibri" w:hAnsi="Calibri" w:cs="Calibri"/>
          <w:b/>
        </w:rPr>
        <w:t>nueve hojas</w:t>
      </w:r>
      <w:r>
        <w:rPr>
          <w:rFonts w:ascii="Calibri" w:hAnsi="Calibri" w:cs="Calibri"/>
        </w:rPr>
        <w:t xml:space="preserve"> y llega hasta los costos de recursos humanos. Las hojas de inversión, amortizaciones, flujo de fondos, riesgos, escenarios y contingencia existen y están calculadas, pero no se incluyen acá: van en la entrega que las pide.</w:t>
      </w:r>
    </w:p>
    <w:p>
      <w:pPr>
        <w:jc w:val="both"/>
      </w:pPr>
      <w:r>
        <w:rPr>
          <w:rFonts w:ascii="Calibri" w:hAnsi="Calibri" w:cs="Calibri"/>
        </w:rPr>
        <w:t xml:space="preserve">Eso tiene una consecuencia que corresponde decir. Sin flujo de fondos no hay valor actual neto, ni tasa interna de retorno, ni período de repago, y por lo tanto esta entrega </w:t>
      </w:r>
      <w:r>
        <w:rPr>
          <w:rFonts w:ascii="Calibri" w:hAnsi="Calibri" w:cs="Calibri"/>
          <w:b/>
        </w:rPr>
        <w:t>no afirma que el proyecto sea viable</w:t>
      </w:r>
      <w:r>
        <w:rPr>
          <w:rFonts w:ascii="Calibri" w:hAnsi="Calibri" w:cs="Calibri"/>
        </w:rPr>
        <w:t>: establece con qué supuestos se va a evaluar y cuánto cuesta operarlo. La evaluación es el objeto de la Entrega 2.</w:t>
      </w:r>
    </w:p>
    <w:sectPr w:rsidR="002554B2" w:rsidRPr="002554B2">
      <w:headerReference w:type="default" r:id="rId70"/>
      <w:footerReference w:type="default" r:id="rId71"/>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B443C" w14:textId="77777777" w:rsidR="002E6436" w:rsidRDefault="002E6436" w:rsidP="002D2CDF">
      <w:pPr>
        <w:spacing w:after="0" w:line="240" w:lineRule="auto"/>
      </w:pPr>
      <w:r>
        <w:separator/>
      </w:r>
    </w:p>
  </w:endnote>
  <w:endnote w:type="continuationSeparator" w:id="0">
    <w:p w14:paraId="6D9D31EE" w14:textId="77777777" w:rsidR="002E6436" w:rsidRDefault="002E6436" w:rsidP="002D2C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9568869"/>
      <w:docPartObj>
        <w:docPartGallery w:val="Page Numbers (Bottom of Page)"/>
        <w:docPartUnique/>
      </w:docPartObj>
    </w:sdtPr>
    <w:sdtEndPr/>
    <w:sdtContent>
      <w:p w14:paraId="20B6C332" w14:textId="77777777" w:rsidR="00375C56" w:rsidRDefault="00375C56">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BA81C" w14:textId="77777777" w:rsidR="002E6436" w:rsidRDefault="002E6436" w:rsidP="002D2CDF">
      <w:pPr>
        <w:spacing w:after="0" w:line="240" w:lineRule="auto"/>
      </w:pPr>
      <w:r>
        <w:separator/>
      </w:r>
    </w:p>
  </w:footnote>
  <w:footnote w:type="continuationSeparator" w:id="0">
    <w:p w14:paraId="408D7A7C" w14:textId="77777777" w:rsidR="002E6436" w:rsidRDefault="002E6436" w:rsidP="002D2C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Look w:val="04A0" w:firstRow="1" w:lastRow="0" w:firstColumn="1" w:lastColumn="0" w:noHBand="0" w:noVBand="1"/>
    </w:tblPr>
    <w:tblGrid>
      <w:gridCol w:w="2117"/>
      <w:gridCol w:w="1424"/>
      <w:gridCol w:w="1846"/>
      <w:gridCol w:w="1559"/>
      <w:gridCol w:w="2410"/>
      <w:gridCol w:w="1417"/>
    </w:tblGrid>
    <w:tr w:rsidR="002D2CDF" w:rsidRPr="002D2CDF" w14:paraId="5C064030" w14:textId="77777777" w:rsidTr="002D2CDF">
      <w:trPr>
        <w:jc w:val="center"/>
      </w:trPr>
      <w:tc>
        <w:tcPr>
          <w:tcW w:w="10773" w:type="dxa"/>
          <w:gridSpan w:val="6"/>
          <w:tcBorders>
            <w:top w:val="single" w:sz="4" w:space="0" w:color="auto"/>
            <w:left w:val="single" w:sz="4" w:space="0" w:color="auto"/>
            <w:bottom w:val="single" w:sz="4" w:space="0" w:color="auto"/>
            <w:right w:val="single" w:sz="4" w:space="0" w:color="auto"/>
          </w:tcBorders>
          <w:hideMark/>
        </w:tcPr>
        <w:p w14:paraId="5F94BE81" w14:textId="77777777" w:rsidR="002D2CDF" w:rsidRPr="002D2CDF" w:rsidRDefault="002D2CDF" w:rsidP="002D2CDF">
          <w:pPr>
            <w:pStyle w:val="Encabezado"/>
            <w:jc w:val="center"/>
            <w:rPr>
              <w:rFonts w:ascii="Calibri" w:hAnsi="Calibri" w:cs="Calibri"/>
              <w:sz w:val="22"/>
              <w:szCs w:val="22"/>
            </w:rPr>
          </w:pPr>
          <w:r w:rsidRPr="002D2CDF">
            <w:rPr>
              <w:rFonts w:ascii="Calibri" w:hAnsi="Calibri" w:cs="Calibri"/>
              <w:sz w:val="22"/>
              <w:szCs w:val="22"/>
            </w:rPr>
            <w:t>UNIVERSIDAD ABIERTA INTERAMERICANA</w:t>
          </w:r>
        </w:p>
        <w:p w14:paraId="685D3D51" w14:textId="77777777" w:rsidR="002D2CDF" w:rsidRPr="002D2CDF" w:rsidRDefault="002D2CDF" w:rsidP="002D2CDF">
          <w:pPr>
            <w:pStyle w:val="Encabezado"/>
            <w:jc w:val="center"/>
            <w:rPr>
              <w:rFonts w:ascii="Calibri" w:hAnsi="Calibri" w:cs="Calibri"/>
              <w:sz w:val="22"/>
              <w:szCs w:val="22"/>
            </w:rPr>
          </w:pPr>
          <w:r w:rsidRPr="002D2CDF">
            <w:rPr>
              <w:rFonts w:ascii="Calibri" w:hAnsi="Calibri" w:cs="Calibri"/>
              <w:sz w:val="22"/>
              <w:szCs w:val="22"/>
            </w:rPr>
            <w:t>Facultad de Tecnología Informática</w:t>
          </w:r>
        </w:p>
      </w:tc>
    </w:tr>
    <w:tr w:rsidR="002D2CDF" w:rsidRPr="002D2CDF" w14:paraId="4C13BB9E" w14:textId="77777777" w:rsidTr="002D2CDF">
      <w:trPr>
        <w:trHeight w:val="729"/>
        <w:jc w:val="center"/>
      </w:trPr>
      <w:tc>
        <w:tcPr>
          <w:tcW w:w="2117" w:type="dxa"/>
          <w:vMerge w:val="restart"/>
          <w:tcBorders>
            <w:top w:val="single" w:sz="4" w:space="0" w:color="auto"/>
            <w:left w:val="single" w:sz="4" w:space="0" w:color="auto"/>
            <w:bottom w:val="single" w:sz="4" w:space="0" w:color="auto"/>
            <w:right w:val="single" w:sz="4" w:space="0" w:color="auto"/>
          </w:tcBorders>
          <w:hideMark/>
        </w:tcPr>
        <w:p w14:paraId="76D963A0" w14:textId="77777777" w:rsidR="002D2CDF" w:rsidRPr="002D2CDF" w:rsidRDefault="002D2CDF" w:rsidP="002D2CDF">
          <w:pPr>
            <w:pStyle w:val="Encabezado"/>
            <w:rPr>
              <w:rFonts w:ascii="Calibri" w:hAnsi="Calibri" w:cs="Calibri"/>
              <w:sz w:val="22"/>
              <w:szCs w:val="22"/>
            </w:rPr>
          </w:pPr>
          <w:r w:rsidRPr="002D2CDF">
            <w:rPr>
              <w:rFonts w:ascii="Calibri" w:hAnsi="Calibri" w:cs="Calibri"/>
              <w:noProof/>
              <w:sz w:val="22"/>
              <w:szCs w:val="22"/>
            </w:rPr>
            <w:drawing>
              <wp:inline distT="0" distB="0" distL="0" distR="0" wp14:anchorId="53A99A7C" wp14:editId="2C987B7D">
                <wp:extent cx="1089660" cy="1043940"/>
                <wp:effectExtent l="0" t="0" r="0" b="3810"/>
                <wp:docPr id="4" name="Imagen 4"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9660" cy="1043940"/>
                        </a:xfrm>
                        <a:prstGeom prst="rect">
                          <a:avLst/>
                        </a:prstGeom>
                        <a:noFill/>
                        <a:ln>
                          <a:noFill/>
                        </a:ln>
                      </pic:spPr>
                    </pic:pic>
                  </a:graphicData>
                </a:graphic>
              </wp:inline>
            </w:drawing>
          </w:r>
        </w:p>
      </w:tc>
      <w:tc>
        <w:tcPr>
          <w:tcW w:w="3270" w:type="dxa"/>
          <w:gridSpan w:val="2"/>
          <w:tcBorders>
            <w:top w:val="single" w:sz="4" w:space="0" w:color="auto"/>
            <w:left w:val="single" w:sz="4" w:space="0" w:color="auto"/>
            <w:bottom w:val="single" w:sz="4" w:space="0" w:color="auto"/>
            <w:right w:val="single" w:sz="4" w:space="0" w:color="auto"/>
          </w:tcBorders>
          <w:hideMark/>
        </w:tcPr>
        <w:p w14:paraId="0CCFEA70" w14:textId="77777777" w:rsidR="002D2CDF" w:rsidRPr="002D2CDF" w:rsidRDefault="002D2CDF" w:rsidP="002D2CDF">
          <w:pPr>
            <w:pStyle w:val="Encabezado"/>
            <w:jc w:val="center"/>
            <w:rPr>
              <w:rFonts w:ascii="Calibri" w:hAnsi="Calibri" w:cs="Calibri"/>
              <w:sz w:val="22"/>
              <w:szCs w:val="22"/>
            </w:rPr>
          </w:pPr>
          <w:r w:rsidRPr="002D2CDF">
            <w:rPr>
              <w:rFonts w:ascii="Calibri" w:hAnsi="Calibri" w:cs="Calibri"/>
              <w:sz w:val="22"/>
              <w:szCs w:val="22"/>
            </w:rPr>
            <w:t xml:space="preserve">Materia: </w:t>
          </w:r>
          <w:r w:rsidRPr="002D2CDF">
            <w:rPr>
              <w:rFonts w:ascii="Calibri" w:hAnsi="Calibri" w:cs="Calibri"/>
              <w:b/>
              <w:bCs/>
              <w:sz w:val="22"/>
              <w:szCs w:val="22"/>
            </w:rPr>
            <w:t>Trabajo Final</w:t>
          </w:r>
          <w:r w:rsidR="00375C56">
            <w:rPr>
              <w:rFonts w:ascii="Calibri" w:hAnsi="Calibri" w:cs="Calibri"/>
              <w:b/>
              <w:bCs/>
              <w:sz w:val="22"/>
              <w:szCs w:val="22"/>
            </w:rPr>
            <w:t xml:space="preserve"> de Ingeniería</w:t>
          </w:r>
        </w:p>
      </w:tc>
      <w:tc>
        <w:tcPr>
          <w:tcW w:w="3969" w:type="dxa"/>
          <w:gridSpan w:val="2"/>
          <w:tcBorders>
            <w:top w:val="single" w:sz="4" w:space="0" w:color="auto"/>
            <w:left w:val="single" w:sz="4" w:space="0" w:color="auto"/>
            <w:bottom w:val="single" w:sz="4" w:space="0" w:color="auto"/>
            <w:right w:val="single" w:sz="4" w:space="0" w:color="auto"/>
          </w:tcBorders>
          <w:hideMark/>
        </w:tcPr>
        <w:p w14:paraId="1F61812A" w14:textId="77777777" w:rsidR="002D2CDF" w:rsidRPr="002D2CDF" w:rsidRDefault="002D2CDF" w:rsidP="002D2CDF">
          <w:pPr>
            <w:pStyle w:val="Encabezado"/>
            <w:jc w:val="center"/>
            <w:rPr>
              <w:rFonts w:ascii="Calibri" w:hAnsi="Calibri" w:cs="Calibri"/>
              <w:sz w:val="22"/>
              <w:szCs w:val="22"/>
            </w:rPr>
          </w:pPr>
          <w:r w:rsidRPr="002D2CDF">
            <w:rPr>
              <w:rFonts w:ascii="Calibri" w:hAnsi="Calibri" w:cs="Calibri"/>
              <w:sz w:val="22"/>
              <w:szCs w:val="22"/>
            </w:rPr>
            <w:t>Docentes:</w:t>
          </w:r>
        </w:p>
        <w:p w14:paraId="7AA4DDC1" w14:textId="77777777" w:rsidR="002D2CDF" w:rsidRPr="002D2CDF" w:rsidRDefault="002D2CDF" w:rsidP="002D2CDF">
          <w:pPr>
            <w:pStyle w:val="Encabezado"/>
            <w:jc w:val="center"/>
            <w:rPr>
              <w:rFonts w:ascii="Calibri" w:hAnsi="Calibri" w:cs="Calibri"/>
              <w:b/>
              <w:bCs/>
              <w:sz w:val="22"/>
              <w:szCs w:val="22"/>
            </w:rPr>
          </w:pPr>
          <w:r w:rsidRPr="002D2CDF">
            <w:rPr>
              <w:rFonts w:ascii="Calibri" w:hAnsi="Calibri" w:cs="Calibri"/>
              <w:b/>
              <w:bCs/>
              <w:sz w:val="22"/>
              <w:szCs w:val="22"/>
            </w:rPr>
            <w:t>Romero, Martin - Weingand, Gastón</w:t>
          </w:r>
        </w:p>
      </w:tc>
      <w:tc>
        <w:tcPr>
          <w:tcW w:w="1417" w:type="dxa"/>
          <w:vMerge w:val="restart"/>
          <w:tcBorders>
            <w:top w:val="single" w:sz="4" w:space="0" w:color="auto"/>
            <w:left w:val="single" w:sz="4" w:space="0" w:color="auto"/>
            <w:bottom w:val="single" w:sz="4" w:space="0" w:color="auto"/>
            <w:right w:val="single" w:sz="4" w:space="0" w:color="auto"/>
          </w:tcBorders>
          <w:hideMark/>
        </w:tcPr>
        <w:p w14:paraId="21DC297B" w14:textId="77777777" w:rsidR="002D2CDF" w:rsidRPr="002D2CDF" w:rsidRDefault="002D2CDF" w:rsidP="002D2CDF">
          <w:pPr>
            <w:pStyle w:val="Encabezado"/>
            <w:rPr>
              <w:rFonts w:ascii="Calibri" w:hAnsi="Calibri" w:cs="Calibri"/>
              <w:sz w:val="22"/>
              <w:szCs w:val="22"/>
            </w:rPr>
          </w:pPr>
          <w:r w:rsidRPr="002D2CDF">
            <w:rPr>
              <w:rFonts w:ascii="Calibri" w:hAnsi="Calibri" w:cs="Calibri"/>
              <w:sz w:val="22"/>
              <w:szCs w:val="22"/>
            </w:rPr>
            <w:t xml:space="preserve">Fecha: </w:t>
          </w:r>
        </w:p>
        <w:p w14:paraId="16300A9C" w14:textId="77777777" w:rsidR="002D2CDF" w:rsidRPr="002D2CDF" w:rsidRDefault="00E93003" w:rsidP="002D2CDF">
          <w:pPr>
            <w:pStyle w:val="Encabezado"/>
            <w:rPr>
              <w:rFonts w:ascii="Calibri" w:hAnsi="Calibri" w:cs="Calibri"/>
              <w:sz w:val="22"/>
              <w:szCs w:val="22"/>
            </w:rPr>
          </w:pPr>
          <w:r>
            <w:rPr>
              <w:rFonts w:ascii="Calibri" w:hAnsi="Calibri" w:cs="Calibri"/>
              <w:sz w:val="22"/>
              <w:szCs w:val="22"/>
            </w:rPr>
            <w:t>13</w:t>
          </w:r>
          <w:r w:rsidR="002D2CDF" w:rsidRPr="002D2CDF">
            <w:rPr>
              <w:rFonts w:ascii="Calibri" w:hAnsi="Calibri" w:cs="Calibri"/>
              <w:sz w:val="22"/>
              <w:szCs w:val="22"/>
            </w:rPr>
            <w:t>/</w:t>
          </w:r>
          <w:r>
            <w:rPr>
              <w:rFonts w:ascii="Calibri" w:hAnsi="Calibri" w:cs="Calibri"/>
              <w:sz w:val="22"/>
              <w:szCs w:val="22"/>
            </w:rPr>
            <w:t>06</w:t>
          </w:r>
          <w:r w:rsidR="002D2CDF" w:rsidRPr="002D2CDF">
            <w:rPr>
              <w:rFonts w:ascii="Calibri" w:hAnsi="Calibri" w:cs="Calibri"/>
              <w:sz w:val="22"/>
              <w:szCs w:val="22"/>
            </w:rPr>
            <w:t>/2026</w:t>
          </w:r>
        </w:p>
      </w:tc>
    </w:tr>
    <w:tr w:rsidR="002D2CDF" w:rsidRPr="002D2CDF" w14:paraId="5E5C925A" w14:textId="77777777" w:rsidTr="002D2CDF">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C11780A" w14:textId="77777777" w:rsidR="002D2CDF" w:rsidRPr="002D2CDF" w:rsidRDefault="002D2CDF" w:rsidP="002D2CDF">
          <w:pPr>
            <w:pStyle w:val="Encabezado"/>
            <w:rPr>
              <w:rFonts w:ascii="Calibri" w:hAnsi="Calibri" w:cs="Calibri"/>
              <w:sz w:val="22"/>
              <w:szCs w:val="22"/>
            </w:rPr>
          </w:pPr>
        </w:p>
      </w:tc>
      <w:tc>
        <w:tcPr>
          <w:tcW w:w="4829" w:type="dxa"/>
          <w:gridSpan w:val="3"/>
          <w:tcBorders>
            <w:top w:val="single" w:sz="4" w:space="0" w:color="auto"/>
            <w:left w:val="single" w:sz="4" w:space="0" w:color="auto"/>
            <w:bottom w:val="single" w:sz="4" w:space="0" w:color="auto"/>
            <w:right w:val="single" w:sz="4" w:space="0" w:color="auto"/>
          </w:tcBorders>
          <w:hideMark/>
        </w:tcPr>
        <w:p w14:paraId="3536D0BB" w14:textId="77777777" w:rsidR="002D2CDF" w:rsidRPr="002D2CDF" w:rsidRDefault="002D2CDF" w:rsidP="002D2CDF">
          <w:pPr>
            <w:pStyle w:val="Encabezado"/>
            <w:rPr>
              <w:rFonts w:ascii="Calibri" w:hAnsi="Calibri" w:cs="Calibri"/>
              <w:sz w:val="22"/>
              <w:szCs w:val="22"/>
            </w:rPr>
          </w:pPr>
          <w:r w:rsidRPr="002D2CDF">
            <w:rPr>
              <w:rFonts w:ascii="Calibri" w:hAnsi="Calibri" w:cs="Calibri"/>
              <w:sz w:val="22"/>
              <w:szCs w:val="22"/>
            </w:rPr>
            <w:t>Alumno:</w:t>
          </w:r>
          <w:r w:rsidRPr="002D2CDF">
            <w:rPr>
              <w:rFonts w:ascii="Calibri" w:hAnsi="Calibri" w:cs="Calibri"/>
              <w:b/>
              <w:bCs/>
              <w:sz w:val="22"/>
              <w:szCs w:val="22"/>
            </w:rPr>
            <w:t xml:space="preserve"> Pettini, Patricio Ezequiel</w:t>
          </w:r>
        </w:p>
      </w:tc>
      <w:tc>
        <w:tcPr>
          <w:tcW w:w="2410" w:type="dxa"/>
          <w:tcBorders>
            <w:top w:val="single" w:sz="4" w:space="0" w:color="auto"/>
            <w:left w:val="single" w:sz="4" w:space="0" w:color="auto"/>
            <w:bottom w:val="single" w:sz="4" w:space="0" w:color="auto"/>
            <w:right w:val="single" w:sz="4" w:space="0" w:color="auto"/>
          </w:tcBorders>
          <w:hideMark/>
        </w:tcPr>
        <w:p w14:paraId="12F25926" w14:textId="77777777" w:rsidR="002D2CDF" w:rsidRPr="002D2CDF" w:rsidRDefault="002D2CDF" w:rsidP="002D2CDF">
          <w:pPr>
            <w:pStyle w:val="Encabezado"/>
            <w:rPr>
              <w:rFonts w:ascii="Calibri" w:hAnsi="Calibri" w:cs="Calibri"/>
              <w:sz w:val="22"/>
              <w:szCs w:val="22"/>
            </w:rPr>
          </w:pPr>
          <w:r w:rsidRPr="002D2CDF">
            <w:rPr>
              <w:rFonts w:ascii="Calibri" w:hAnsi="Calibri" w:cs="Calibri"/>
              <w:sz w:val="22"/>
              <w:szCs w:val="22"/>
            </w:rPr>
            <w:t xml:space="preserve">Legajo: </w:t>
          </w:r>
          <w:r w:rsidRPr="002D2CDF">
            <w:rPr>
              <w:rFonts w:ascii="Calibri" w:hAnsi="Calibri" w:cs="Calibri"/>
              <w:b/>
              <w:bCs/>
              <w:sz w:val="22"/>
              <w:szCs w:val="22"/>
            </w:rPr>
            <w:t>B00072710-T1</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652B7A8" w14:textId="77777777" w:rsidR="002D2CDF" w:rsidRPr="002D2CDF" w:rsidRDefault="002D2CDF" w:rsidP="002D2CDF">
          <w:pPr>
            <w:pStyle w:val="Encabezado"/>
            <w:rPr>
              <w:rFonts w:ascii="Calibri" w:hAnsi="Calibri" w:cs="Calibri"/>
              <w:sz w:val="22"/>
              <w:szCs w:val="22"/>
            </w:rPr>
          </w:pPr>
        </w:p>
      </w:tc>
    </w:tr>
    <w:tr w:rsidR="002D2CDF" w:rsidRPr="002D2CDF" w14:paraId="46A800F0" w14:textId="77777777" w:rsidTr="002D2CDF">
      <w:trPr>
        <w:trHeight w:val="439"/>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0677D4F" w14:textId="77777777" w:rsidR="002D2CDF" w:rsidRPr="002D2CDF" w:rsidRDefault="002D2CDF" w:rsidP="002D2CDF">
          <w:pPr>
            <w:pStyle w:val="Encabezado"/>
            <w:rPr>
              <w:rFonts w:ascii="Calibri" w:hAnsi="Calibri" w:cs="Calibri"/>
              <w:sz w:val="22"/>
              <w:szCs w:val="22"/>
            </w:rPr>
          </w:pPr>
        </w:p>
      </w:tc>
      <w:tc>
        <w:tcPr>
          <w:tcW w:w="1424" w:type="dxa"/>
          <w:tcBorders>
            <w:top w:val="single" w:sz="4" w:space="0" w:color="auto"/>
            <w:left w:val="single" w:sz="4" w:space="0" w:color="auto"/>
            <w:bottom w:val="single" w:sz="4" w:space="0" w:color="auto"/>
            <w:right w:val="single" w:sz="4" w:space="0" w:color="auto"/>
          </w:tcBorders>
          <w:hideMark/>
        </w:tcPr>
        <w:p w14:paraId="3D3F07C8" w14:textId="77777777" w:rsidR="002D2CDF" w:rsidRPr="002D2CDF" w:rsidRDefault="002D2CDF" w:rsidP="002D2CDF">
          <w:pPr>
            <w:pStyle w:val="Encabezado"/>
            <w:rPr>
              <w:rFonts w:ascii="Calibri" w:hAnsi="Calibri" w:cs="Calibri"/>
              <w:sz w:val="22"/>
              <w:szCs w:val="22"/>
            </w:rPr>
          </w:pPr>
          <w:r w:rsidRPr="002D2CDF">
            <w:rPr>
              <w:rFonts w:ascii="Calibri" w:hAnsi="Calibri" w:cs="Calibri"/>
              <w:sz w:val="22"/>
              <w:szCs w:val="22"/>
            </w:rPr>
            <w:t xml:space="preserve">Sede: </w:t>
          </w:r>
          <w:r w:rsidRPr="002D2CDF">
            <w:rPr>
              <w:rFonts w:ascii="Calibri" w:hAnsi="Calibri" w:cs="Calibri"/>
              <w:b/>
              <w:bCs/>
              <w:sz w:val="22"/>
              <w:szCs w:val="22"/>
            </w:rPr>
            <w:t>Norte</w:t>
          </w:r>
        </w:p>
      </w:tc>
      <w:tc>
        <w:tcPr>
          <w:tcW w:w="1846" w:type="dxa"/>
          <w:tcBorders>
            <w:top w:val="single" w:sz="4" w:space="0" w:color="auto"/>
            <w:left w:val="single" w:sz="4" w:space="0" w:color="auto"/>
            <w:bottom w:val="single" w:sz="4" w:space="0" w:color="auto"/>
            <w:right w:val="single" w:sz="4" w:space="0" w:color="auto"/>
          </w:tcBorders>
          <w:hideMark/>
        </w:tcPr>
        <w:p w14:paraId="361A5375" w14:textId="77777777" w:rsidR="002D2CDF" w:rsidRPr="002D2CDF" w:rsidRDefault="002D2CDF" w:rsidP="002D2CDF">
          <w:pPr>
            <w:pStyle w:val="Encabezado"/>
            <w:rPr>
              <w:rFonts w:ascii="Calibri" w:hAnsi="Calibri" w:cs="Calibri"/>
              <w:sz w:val="22"/>
              <w:szCs w:val="22"/>
            </w:rPr>
          </w:pPr>
          <w:r w:rsidRPr="002D2CDF">
            <w:rPr>
              <w:rFonts w:ascii="Calibri" w:hAnsi="Calibri" w:cs="Calibri"/>
              <w:sz w:val="22"/>
              <w:szCs w:val="22"/>
            </w:rPr>
            <w:t xml:space="preserve">Comisión: </w:t>
          </w:r>
          <w:r w:rsidRPr="002D2CDF">
            <w:rPr>
              <w:rFonts w:ascii="Calibri" w:hAnsi="Calibri" w:cs="Calibri"/>
              <w:b/>
              <w:bCs/>
              <w:sz w:val="22"/>
              <w:szCs w:val="22"/>
            </w:rPr>
            <w:t>5 - A</w:t>
          </w:r>
        </w:p>
      </w:tc>
      <w:tc>
        <w:tcPr>
          <w:tcW w:w="1559" w:type="dxa"/>
          <w:tcBorders>
            <w:top w:val="single" w:sz="4" w:space="0" w:color="auto"/>
            <w:left w:val="single" w:sz="4" w:space="0" w:color="auto"/>
            <w:bottom w:val="single" w:sz="4" w:space="0" w:color="auto"/>
            <w:right w:val="single" w:sz="4" w:space="0" w:color="auto"/>
          </w:tcBorders>
          <w:hideMark/>
        </w:tcPr>
        <w:p w14:paraId="2B007424" w14:textId="77777777" w:rsidR="002D2CDF" w:rsidRPr="002D2CDF" w:rsidRDefault="002D2CDF" w:rsidP="002D2CDF">
          <w:pPr>
            <w:pStyle w:val="Encabezado"/>
            <w:rPr>
              <w:rFonts w:ascii="Calibri" w:hAnsi="Calibri" w:cs="Calibri"/>
              <w:sz w:val="22"/>
              <w:szCs w:val="22"/>
            </w:rPr>
          </w:pPr>
          <w:r w:rsidRPr="002D2CDF">
            <w:rPr>
              <w:rFonts w:ascii="Calibri" w:hAnsi="Calibri" w:cs="Calibri"/>
              <w:sz w:val="22"/>
              <w:szCs w:val="22"/>
            </w:rPr>
            <w:t xml:space="preserve">Turno: </w:t>
          </w:r>
          <w:r w:rsidRPr="002D2CDF">
            <w:rPr>
              <w:rFonts w:ascii="Calibri" w:hAnsi="Calibri" w:cs="Calibri"/>
              <w:b/>
              <w:bCs/>
              <w:sz w:val="22"/>
              <w:szCs w:val="22"/>
            </w:rPr>
            <w:t>Noche</w:t>
          </w:r>
        </w:p>
      </w:tc>
      <w:tc>
        <w:tcPr>
          <w:tcW w:w="2410" w:type="dxa"/>
          <w:tcBorders>
            <w:top w:val="single" w:sz="4" w:space="0" w:color="auto"/>
            <w:left w:val="single" w:sz="4" w:space="0" w:color="auto"/>
            <w:bottom w:val="single" w:sz="4" w:space="0" w:color="auto"/>
            <w:right w:val="single" w:sz="4" w:space="0" w:color="auto"/>
          </w:tcBorders>
          <w:hideMark/>
        </w:tcPr>
        <w:p w14:paraId="4B744B3D" w14:textId="77777777" w:rsidR="002D2CDF" w:rsidRPr="002D2CDF" w:rsidRDefault="002D2CDF" w:rsidP="002D2CDF">
          <w:pPr>
            <w:pStyle w:val="Encabezado"/>
            <w:rPr>
              <w:rFonts w:ascii="Calibri" w:hAnsi="Calibri" w:cs="Calibri"/>
              <w:sz w:val="22"/>
              <w:szCs w:val="22"/>
            </w:rPr>
          </w:pPr>
          <w:r w:rsidRPr="002D2CDF">
            <w:rPr>
              <w:rFonts w:ascii="Calibri" w:hAnsi="Calibri" w:cs="Calibri"/>
              <w:sz w:val="22"/>
              <w:szCs w:val="22"/>
            </w:rPr>
            <w:t xml:space="preserve">Año: </w:t>
          </w:r>
          <w:r w:rsidRPr="002D2CDF">
            <w:rPr>
              <w:rFonts w:ascii="Calibri" w:hAnsi="Calibri" w:cs="Calibri"/>
              <w:b/>
              <w:bCs/>
              <w:sz w:val="22"/>
              <w:szCs w:val="22"/>
            </w:rPr>
            <w:t>2026</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7774BE9" w14:textId="77777777" w:rsidR="002D2CDF" w:rsidRPr="002D2CDF" w:rsidRDefault="002D2CDF" w:rsidP="002D2CDF">
          <w:pPr>
            <w:pStyle w:val="Encabezado"/>
            <w:rPr>
              <w:rFonts w:ascii="Calibri" w:hAnsi="Calibri" w:cs="Calibri"/>
              <w:sz w:val="22"/>
              <w:szCs w:val="22"/>
            </w:rPr>
          </w:pPr>
        </w:p>
      </w:tc>
    </w:tr>
    <w:tr w:rsidR="002D2CDF" w:rsidRPr="002D2CDF" w14:paraId="55097063" w14:textId="77777777" w:rsidTr="002D2CDF">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638C21E" w14:textId="77777777" w:rsidR="002D2CDF" w:rsidRPr="002D2CDF" w:rsidRDefault="002D2CDF" w:rsidP="002D2CDF">
          <w:pPr>
            <w:pStyle w:val="Encabezado"/>
            <w:rPr>
              <w:rFonts w:ascii="Calibri" w:hAnsi="Calibri" w:cs="Calibri"/>
              <w:sz w:val="22"/>
              <w:szCs w:val="22"/>
            </w:rPr>
          </w:pPr>
        </w:p>
      </w:tc>
      <w:tc>
        <w:tcPr>
          <w:tcW w:w="7239" w:type="dxa"/>
          <w:gridSpan w:val="4"/>
          <w:tcBorders>
            <w:top w:val="single" w:sz="4" w:space="0" w:color="auto"/>
            <w:left w:val="single" w:sz="4" w:space="0" w:color="auto"/>
            <w:bottom w:val="single" w:sz="4" w:space="0" w:color="auto"/>
            <w:right w:val="single" w:sz="4" w:space="0" w:color="auto"/>
          </w:tcBorders>
          <w:hideMark/>
        </w:tcPr>
        <w:p w14:paraId="3A7BC4F4" w14:textId="77777777" w:rsidR="002D2CDF" w:rsidRPr="002D2CDF" w:rsidRDefault="002D2CDF" w:rsidP="002D2CDF">
          <w:pPr>
            <w:pStyle w:val="Encabezado"/>
            <w:rPr>
              <w:rFonts w:ascii="Calibri" w:hAnsi="Calibri" w:cs="Calibri"/>
              <w:sz w:val="22"/>
              <w:szCs w:val="22"/>
            </w:rPr>
          </w:pPr>
          <w:r w:rsidRPr="002D2CDF">
            <w:rPr>
              <w:rFonts w:ascii="Calibri" w:hAnsi="Calibri" w:cs="Calibri"/>
              <w:sz w:val="22"/>
              <w:szCs w:val="22"/>
            </w:rPr>
            <w:t>Sistema de Mantenimiento predictivo</w:t>
          </w:r>
          <w:r w:rsidR="00375C56">
            <w:rPr>
              <w:rFonts w:ascii="Calibri" w:hAnsi="Calibri" w:cs="Calibri"/>
              <w:sz w:val="22"/>
              <w:szCs w:val="22"/>
            </w:rPr>
            <w:t xml:space="preserve"> de equipos informáticos</w:t>
          </w:r>
        </w:p>
      </w:tc>
      <w:tc>
        <w:tcPr>
          <w:tcW w:w="1417" w:type="dxa"/>
          <w:tcBorders>
            <w:top w:val="single" w:sz="4" w:space="0" w:color="auto"/>
            <w:left w:val="single" w:sz="4" w:space="0" w:color="auto"/>
            <w:bottom w:val="single" w:sz="4" w:space="0" w:color="auto"/>
            <w:right w:val="single" w:sz="4" w:space="0" w:color="auto"/>
          </w:tcBorders>
          <w:hideMark/>
        </w:tcPr>
        <w:p w14:paraId="393F8621" w14:textId="77777777" w:rsidR="002D2CDF" w:rsidRPr="002D2CDF" w:rsidRDefault="002D2CDF" w:rsidP="002D2CDF">
          <w:pPr>
            <w:pStyle w:val="Encabezado"/>
            <w:rPr>
              <w:rFonts w:ascii="Calibri" w:hAnsi="Calibri" w:cs="Calibri"/>
              <w:sz w:val="22"/>
              <w:szCs w:val="22"/>
            </w:rPr>
          </w:pPr>
          <w:r w:rsidRPr="002D2CDF">
            <w:rPr>
              <w:rFonts w:ascii="Calibri" w:hAnsi="Calibri" w:cs="Calibri"/>
              <w:sz w:val="22"/>
              <w:szCs w:val="22"/>
            </w:rPr>
            <w:t xml:space="preserve">Versión: </w:t>
          </w:r>
          <w:r w:rsidR="00E93003">
            <w:rPr>
              <w:rFonts w:ascii="Calibri" w:hAnsi="Calibri" w:cs="Calibri"/>
              <w:sz w:val="22"/>
              <w:szCs w:val="22"/>
            </w:rPr>
            <w:t>2</w:t>
          </w:r>
          <w:r w:rsidRPr="002D2CDF">
            <w:rPr>
              <w:rFonts w:ascii="Calibri" w:hAnsi="Calibri" w:cs="Calibri"/>
              <w:sz w:val="22"/>
              <w:szCs w:val="22"/>
            </w:rPr>
            <w:t>.0</w:t>
          </w:r>
        </w:p>
      </w:tc>
    </w:tr>
  </w:tbl>
  <w:p w14:paraId="66295BFB" w14:textId="77777777" w:rsidR="002D2CDF" w:rsidRDefault="002D2CD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A7751"/>
    <w:multiLevelType w:val="multilevel"/>
    <w:tmpl w:val="52E0D6E0"/>
    <w:lvl w:ilvl="0">
      <w:start w:val="1"/>
      <w:numFmt w:val="decimal"/>
      <w:lvlText w:val="%1."/>
      <w:lvlJc w:val="left"/>
      <w:pPr>
        <w:ind w:left="636" w:hanging="63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 w15:restartNumberingAfterBreak="0">
    <w:nsid w:val="0E9F1235"/>
    <w:multiLevelType w:val="multilevel"/>
    <w:tmpl w:val="77FEC2E4"/>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 w15:restartNumberingAfterBreak="0">
    <w:nsid w:val="153A003D"/>
    <w:multiLevelType w:val="multilevel"/>
    <w:tmpl w:val="8E028B38"/>
    <w:lvl w:ilvl="0">
      <w:start w:val="2"/>
      <w:numFmt w:val="decimal"/>
      <w:lvlText w:val="%1."/>
      <w:lvlJc w:val="left"/>
      <w:pPr>
        <w:ind w:left="612" w:hanging="612"/>
      </w:pPr>
      <w:rPr>
        <w:rFonts w:hint="default"/>
      </w:rPr>
    </w:lvl>
    <w:lvl w:ilvl="1">
      <w:start w:val="1"/>
      <w:numFmt w:val="decimal"/>
      <w:lvlText w:val="%1.%2."/>
      <w:lvlJc w:val="left"/>
      <w:pPr>
        <w:ind w:left="900" w:hanging="72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3" w15:restartNumberingAfterBreak="0">
    <w:nsid w:val="16667A21"/>
    <w:multiLevelType w:val="multilevel"/>
    <w:tmpl w:val="3A8461EE"/>
    <w:lvl w:ilvl="0">
      <w:start w:val="2"/>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4" w15:restartNumberingAfterBreak="0">
    <w:nsid w:val="24C264FC"/>
    <w:multiLevelType w:val="multilevel"/>
    <w:tmpl w:val="D26C1C5E"/>
    <w:lvl w:ilvl="0">
      <w:start w:val="2"/>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5" w15:restartNumberingAfterBreak="0">
    <w:nsid w:val="304F15E0"/>
    <w:multiLevelType w:val="multilevel"/>
    <w:tmpl w:val="82BE1C7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3921999"/>
    <w:multiLevelType w:val="hybridMultilevel"/>
    <w:tmpl w:val="462C5B84"/>
    <w:lvl w:ilvl="0" w:tplc="DEB45C88">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382514CA"/>
    <w:multiLevelType w:val="hybridMultilevel"/>
    <w:tmpl w:val="6BDEA41A"/>
    <w:lvl w:ilvl="0" w:tplc="E7A4FBE8">
      <w:start w:val="1"/>
      <w:numFmt w:val="bullet"/>
      <w:lvlText w:val="•"/>
      <w:lvlJc w:val="left"/>
      <w:pPr>
        <w:ind w:left="720" w:hanging="360"/>
      </w:pPr>
    </w:lvl>
    <w:lvl w:ilvl="1" w:tplc="9208BE90">
      <w:numFmt w:val="decimal"/>
      <w:lvlText w:val=""/>
      <w:lvlJc w:val="left"/>
    </w:lvl>
    <w:lvl w:ilvl="2" w:tplc="534E38FC">
      <w:numFmt w:val="decimal"/>
      <w:lvlText w:val=""/>
      <w:lvlJc w:val="left"/>
    </w:lvl>
    <w:lvl w:ilvl="3" w:tplc="99329A3A">
      <w:numFmt w:val="decimal"/>
      <w:lvlText w:val=""/>
      <w:lvlJc w:val="left"/>
    </w:lvl>
    <w:lvl w:ilvl="4" w:tplc="4C5A9DFC">
      <w:numFmt w:val="decimal"/>
      <w:lvlText w:val=""/>
      <w:lvlJc w:val="left"/>
    </w:lvl>
    <w:lvl w:ilvl="5" w:tplc="7DF6E7E4">
      <w:numFmt w:val="decimal"/>
      <w:lvlText w:val=""/>
      <w:lvlJc w:val="left"/>
    </w:lvl>
    <w:lvl w:ilvl="6" w:tplc="95AA455A">
      <w:numFmt w:val="decimal"/>
      <w:lvlText w:val=""/>
      <w:lvlJc w:val="left"/>
    </w:lvl>
    <w:lvl w:ilvl="7" w:tplc="F7809CEA">
      <w:numFmt w:val="decimal"/>
      <w:lvlText w:val=""/>
      <w:lvlJc w:val="left"/>
    </w:lvl>
    <w:lvl w:ilvl="8" w:tplc="55726126">
      <w:numFmt w:val="decimal"/>
      <w:lvlText w:val=""/>
      <w:lvlJc w:val="left"/>
    </w:lvl>
  </w:abstractNum>
  <w:abstractNum w:abstractNumId="8" w15:restartNumberingAfterBreak="0">
    <w:nsid w:val="38751580"/>
    <w:multiLevelType w:val="multilevel"/>
    <w:tmpl w:val="F3F45924"/>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9" w15:restartNumberingAfterBreak="0">
    <w:nsid w:val="3FDE6EC1"/>
    <w:multiLevelType w:val="multilevel"/>
    <w:tmpl w:val="F2741264"/>
    <w:lvl w:ilvl="0">
      <w:start w:val="1"/>
      <w:numFmt w:val="decimal"/>
      <w:lvlText w:val="%1."/>
      <w:lvlJc w:val="left"/>
      <w:pPr>
        <w:ind w:left="720" w:hanging="360"/>
      </w:pPr>
      <w:rPr>
        <w:rFonts w:asciiTheme="majorHAnsi" w:eastAsiaTheme="majorEastAsia" w:hAnsiTheme="majorHAnsi" w:cstheme="majorBidi"/>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0" w15:restartNumberingAfterBreak="0">
    <w:nsid w:val="3FF56880"/>
    <w:multiLevelType w:val="multilevel"/>
    <w:tmpl w:val="895E4742"/>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5BA2A98"/>
    <w:multiLevelType w:val="multilevel"/>
    <w:tmpl w:val="9438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05650F"/>
    <w:multiLevelType w:val="hybridMultilevel"/>
    <w:tmpl w:val="E65A929C"/>
    <w:lvl w:ilvl="0" w:tplc="8B606FA0">
      <w:start w:val="10"/>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4BD32F6A"/>
    <w:multiLevelType w:val="multilevel"/>
    <w:tmpl w:val="5046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C76EC0"/>
    <w:multiLevelType w:val="multilevel"/>
    <w:tmpl w:val="2E60A1E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F8264A2"/>
    <w:multiLevelType w:val="multilevel"/>
    <w:tmpl w:val="E254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9C4933"/>
    <w:multiLevelType w:val="multilevel"/>
    <w:tmpl w:val="CD3CF442"/>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7" w15:restartNumberingAfterBreak="0">
    <w:nsid w:val="5AE66754"/>
    <w:multiLevelType w:val="multilevel"/>
    <w:tmpl w:val="77B8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AA20C2"/>
    <w:multiLevelType w:val="hybridMultilevel"/>
    <w:tmpl w:val="9782D8DA"/>
    <w:lvl w:ilvl="0" w:tplc="E9EC9256">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5DB231BB"/>
    <w:multiLevelType w:val="hybridMultilevel"/>
    <w:tmpl w:val="54DE572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5F272E08"/>
    <w:multiLevelType w:val="multilevel"/>
    <w:tmpl w:val="5232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C8641B"/>
    <w:multiLevelType w:val="multilevel"/>
    <w:tmpl w:val="4A66A6C6"/>
    <w:lvl w:ilvl="0">
      <w:start w:val="2"/>
      <w:numFmt w:val="decimal"/>
      <w:lvlText w:val="%1"/>
      <w:lvlJc w:val="left"/>
      <w:pPr>
        <w:ind w:left="540" w:hanging="540"/>
      </w:pPr>
      <w:rPr>
        <w:rFonts w:hint="default"/>
      </w:rPr>
    </w:lvl>
    <w:lvl w:ilvl="1">
      <w:start w:val="1"/>
      <w:numFmt w:val="decimal"/>
      <w:lvlText w:val="%1.%2"/>
      <w:lvlJc w:val="left"/>
      <w:pPr>
        <w:ind w:left="1080" w:hanging="54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22" w15:restartNumberingAfterBreak="0">
    <w:nsid w:val="6D080AA8"/>
    <w:multiLevelType w:val="multilevel"/>
    <w:tmpl w:val="103C2B7A"/>
    <w:lvl w:ilvl="0">
      <w:start w:val="1"/>
      <w:numFmt w:val="decimal"/>
      <w:lvlText w:val="%1."/>
      <w:lvlJc w:val="left"/>
      <w:pPr>
        <w:ind w:left="636" w:hanging="63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3" w15:restartNumberingAfterBreak="0">
    <w:nsid w:val="79D65F54"/>
    <w:multiLevelType w:val="multilevel"/>
    <w:tmpl w:val="EBFCE3E8"/>
    <w:lvl w:ilvl="0">
      <w:start w:val="2"/>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A4E546D"/>
    <w:multiLevelType w:val="multilevel"/>
    <w:tmpl w:val="3B52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42643">
    <w:abstractNumId w:val="11"/>
  </w:num>
  <w:num w:numId="2" w16cid:durableId="1690913892">
    <w:abstractNumId w:val="6"/>
  </w:num>
  <w:num w:numId="3" w16cid:durableId="340281601">
    <w:abstractNumId w:val="18"/>
  </w:num>
  <w:num w:numId="4" w16cid:durableId="1508134647">
    <w:abstractNumId w:val="19"/>
  </w:num>
  <w:num w:numId="5" w16cid:durableId="1115443187">
    <w:abstractNumId w:val="5"/>
  </w:num>
  <w:num w:numId="6" w16cid:durableId="92210589">
    <w:abstractNumId w:val="10"/>
  </w:num>
  <w:num w:numId="7" w16cid:durableId="1591423705">
    <w:abstractNumId w:val="14"/>
  </w:num>
  <w:num w:numId="8" w16cid:durableId="1703169729">
    <w:abstractNumId w:val="0"/>
  </w:num>
  <w:num w:numId="9" w16cid:durableId="646710078">
    <w:abstractNumId w:val="8"/>
  </w:num>
  <w:num w:numId="10" w16cid:durableId="611397951">
    <w:abstractNumId w:val="16"/>
  </w:num>
  <w:num w:numId="11" w16cid:durableId="597249843">
    <w:abstractNumId w:val="22"/>
  </w:num>
  <w:num w:numId="12" w16cid:durableId="660891197">
    <w:abstractNumId w:val="1"/>
  </w:num>
  <w:num w:numId="13" w16cid:durableId="1874153007">
    <w:abstractNumId w:val="9"/>
  </w:num>
  <w:num w:numId="14" w16cid:durableId="1093360783">
    <w:abstractNumId w:val="24"/>
  </w:num>
  <w:num w:numId="15" w16cid:durableId="1277104882">
    <w:abstractNumId w:val="21"/>
  </w:num>
  <w:num w:numId="16" w16cid:durableId="1128275767">
    <w:abstractNumId w:val="3"/>
  </w:num>
  <w:num w:numId="17" w16cid:durableId="569924761">
    <w:abstractNumId w:val="2"/>
  </w:num>
  <w:num w:numId="18" w16cid:durableId="1182205406">
    <w:abstractNumId w:val="4"/>
  </w:num>
  <w:num w:numId="19" w16cid:durableId="1616936444">
    <w:abstractNumId w:val="23"/>
  </w:num>
  <w:num w:numId="20" w16cid:durableId="1306547413">
    <w:abstractNumId w:val="12"/>
  </w:num>
  <w:num w:numId="21" w16cid:durableId="1148326961">
    <w:abstractNumId w:val="20"/>
  </w:num>
  <w:num w:numId="22" w16cid:durableId="228032198">
    <w:abstractNumId w:val="17"/>
  </w:num>
  <w:num w:numId="23" w16cid:durableId="1765606547">
    <w:abstractNumId w:val="13"/>
  </w:num>
  <w:num w:numId="24" w16cid:durableId="183053570">
    <w:abstractNumId w:val="15"/>
  </w:num>
  <w:num w:numId="25" w16cid:durableId="15433970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47F"/>
    <w:rsid w:val="00002459"/>
    <w:rsid w:val="00016A8A"/>
    <w:rsid w:val="0003326A"/>
    <w:rsid w:val="00041D74"/>
    <w:rsid w:val="0006605A"/>
    <w:rsid w:val="00066CAE"/>
    <w:rsid w:val="00087033"/>
    <w:rsid w:val="000B662C"/>
    <w:rsid w:val="000E1F25"/>
    <w:rsid w:val="000F3F65"/>
    <w:rsid w:val="00114970"/>
    <w:rsid w:val="00135B7D"/>
    <w:rsid w:val="00136139"/>
    <w:rsid w:val="0015324A"/>
    <w:rsid w:val="00157A82"/>
    <w:rsid w:val="00170FB2"/>
    <w:rsid w:val="00171F49"/>
    <w:rsid w:val="00172C1A"/>
    <w:rsid w:val="001813EF"/>
    <w:rsid w:val="001814AB"/>
    <w:rsid w:val="0018522F"/>
    <w:rsid w:val="0019314C"/>
    <w:rsid w:val="001A1D69"/>
    <w:rsid w:val="001B0A50"/>
    <w:rsid w:val="001B2CEA"/>
    <w:rsid w:val="001E7BB6"/>
    <w:rsid w:val="001F071A"/>
    <w:rsid w:val="001F28C7"/>
    <w:rsid w:val="00203AB3"/>
    <w:rsid w:val="0021001C"/>
    <w:rsid w:val="00223413"/>
    <w:rsid w:val="00231880"/>
    <w:rsid w:val="00233E39"/>
    <w:rsid w:val="00234DC2"/>
    <w:rsid w:val="00243F8A"/>
    <w:rsid w:val="002554B2"/>
    <w:rsid w:val="00272275"/>
    <w:rsid w:val="002749AC"/>
    <w:rsid w:val="00275C3E"/>
    <w:rsid w:val="00284A3E"/>
    <w:rsid w:val="0028644A"/>
    <w:rsid w:val="002913FC"/>
    <w:rsid w:val="00293C05"/>
    <w:rsid w:val="002A578B"/>
    <w:rsid w:val="002A72CF"/>
    <w:rsid w:val="002B2317"/>
    <w:rsid w:val="002B7359"/>
    <w:rsid w:val="002C43C1"/>
    <w:rsid w:val="002D2CDF"/>
    <w:rsid w:val="002D4B7D"/>
    <w:rsid w:val="002D6A5E"/>
    <w:rsid w:val="002E1AF9"/>
    <w:rsid w:val="002E6436"/>
    <w:rsid w:val="002F6802"/>
    <w:rsid w:val="003155EE"/>
    <w:rsid w:val="003161D2"/>
    <w:rsid w:val="003245DF"/>
    <w:rsid w:val="00325296"/>
    <w:rsid w:val="00326EF8"/>
    <w:rsid w:val="00337A27"/>
    <w:rsid w:val="003450AD"/>
    <w:rsid w:val="003609DA"/>
    <w:rsid w:val="00375C56"/>
    <w:rsid w:val="00381B17"/>
    <w:rsid w:val="003B743E"/>
    <w:rsid w:val="003C2A13"/>
    <w:rsid w:val="003C7364"/>
    <w:rsid w:val="003D4421"/>
    <w:rsid w:val="003E3950"/>
    <w:rsid w:val="003F275E"/>
    <w:rsid w:val="003F4C5A"/>
    <w:rsid w:val="00404F9A"/>
    <w:rsid w:val="004134AC"/>
    <w:rsid w:val="0045093D"/>
    <w:rsid w:val="00472CB3"/>
    <w:rsid w:val="00474F88"/>
    <w:rsid w:val="00486E0B"/>
    <w:rsid w:val="004977E0"/>
    <w:rsid w:val="004A01BE"/>
    <w:rsid w:val="004C4A37"/>
    <w:rsid w:val="004C52EA"/>
    <w:rsid w:val="004C7BD3"/>
    <w:rsid w:val="004D4929"/>
    <w:rsid w:val="004D5616"/>
    <w:rsid w:val="004E17AF"/>
    <w:rsid w:val="004E3BF4"/>
    <w:rsid w:val="004F246B"/>
    <w:rsid w:val="00500247"/>
    <w:rsid w:val="0052073C"/>
    <w:rsid w:val="00524284"/>
    <w:rsid w:val="00537590"/>
    <w:rsid w:val="00537EF8"/>
    <w:rsid w:val="005420DE"/>
    <w:rsid w:val="00542F2C"/>
    <w:rsid w:val="00580C09"/>
    <w:rsid w:val="005A61B2"/>
    <w:rsid w:val="005C0516"/>
    <w:rsid w:val="005D2299"/>
    <w:rsid w:val="005F2875"/>
    <w:rsid w:val="00614495"/>
    <w:rsid w:val="00641744"/>
    <w:rsid w:val="006419A5"/>
    <w:rsid w:val="006425F0"/>
    <w:rsid w:val="00645376"/>
    <w:rsid w:val="006552BB"/>
    <w:rsid w:val="00663860"/>
    <w:rsid w:val="00683099"/>
    <w:rsid w:val="0068583E"/>
    <w:rsid w:val="006B2889"/>
    <w:rsid w:val="006C0565"/>
    <w:rsid w:val="006C46FC"/>
    <w:rsid w:val="006E3309"/>
    <w:rsid w:val="006E7D49"/>
    <w:rsid w:val="006F6B5E"/>
    <w:rsid w:val="00700328"/>
    <w:rsid w:val="00700826"/>
    <w:rsid w:val="00737327"/>
    <w:rsid w:val="00737C50"/>
    <w:rsid w:val="0076081F"/>
    <w:rsid w:val="007650D8"/>
    <w:rsid w:val="0077747F"/>
    <w:rsid w:val="00780E46"/>
    <w:rsid w:val="0078622D"/>
    <w:rsid w:val="007A4572"/>
    <w:rsid w:val="007B0FB2"/>
    <w:rsid w:val="007B1A6E"/>
    <w:rsid w:val="007D347F"/>
    <w:rsid w:val="007D3834"/>
    <w:rsid w:val="007D6603"/>
    <w:rsid w:val="007E1B52"/>
    <w:rsid w:val="007E2520"/>
    <w:rsid w:val="007E3CAC"/>
    <w:rsid w:val="007F01FD"/>
    <w:rsid w:val="007F21B1"/>
    <w:rsid w:val="007F3652"/>
    <w:rsid w:val="00804993"/>
    <w:rsid w:val="00840904"/>
    <w:rsid w:val="0084325D"/>
    <w:rsid w:val="008861D2"/>
    <w:rsid w:val="008A224E"/>
    <w:rsid w:val="008C1687"/>
    <w:rsid w:val="008D07C5"/>
    <w:rsid w:val="008F02F2"/>
    <w:rsid w:val="008F738D"/>
    <w:rsid w:val="009057D1"/>
    <w:rsid w:val="00931403"/>
    <w:rsid w:val="00947790"/>
    <w:rsid w:val="00950015"/>
    <w:rsid w:val="00962D52"/>
    <w:rsid w:val="00973D0D"/>
    <w:rsid w:val="009B3FE1"/>
    <w:rsid w:val="009D0DD8"/>
    <w:rsid w:val="009D11C1"/>
    <w:rsid w:val="009D217B"/>
    <w:rsid w:val="009E4A83"/>
    <w:rsid w:val="00A0787E"/>
    <w:rsid w:val="00A11440"/>
    <w:rsid w:val="00A2019E"/>
    <w:rsid w:val="00A23474"/>
    <w:rsid w:val="00A30618"/>
    <w:rsid w:val="00A319E9"/>
    <w:rsid w:val="00A45B39"/>
    <w:rsid w:val="00A560E9"/>
    <w:rsid w:val="00A7426C"/>
    <w:rsid w:val="00AA26EB"/>
    <w:rsid w:val="00AA3453"/>
    <w:rsid w:val="00AC3F15"/>
    <w:rsid w:val="00AC58A2"/>
    <w:rsid w:val="00AD0C71"/>
    <w:rsid w:val="00B14A69"/>
    <w:rsid w:val="00B63EBE"/>
    <w:rsid w:val="00B674EA"/>
    <w:rsid w:val="00B7083E"/>
    <w:rsid w:val="00B7279C"/>
    <w:rsid w:val="00B74260"/>
    <w:rsid w:val="00B86CF2"/>
    <w:rsid w:val="00B908EC"/>
    <w:rsid w:val="00BB2B30"/>
    <w:rsid w:val="00BD7A32"/>
    <w:rsid w:val="00C0041F"/>
    <w:rsid w:val="00C2566D"/>
    <w:rsid w:val="00C33E1D"/>
    <w:rsid w:val="00C40A91"/>
    <w:rsid w:val="00C43D79"/>
    <w:rsid w:val="00C62C36"/>
    <w:rsid w:val="00C66EF4"/>
    <w:rsid w:val="00C84F54"/>
    <w:rsid w:val="00C906D4"/>
    <w:rsid w:val="00C9472D"/>
    <w:rsid w:val="00CB1E0A"/>
    <w:rsid w:val="00CC10CA"/>
    <w:rsid w:val="00CC7678"/>
    <w:rsid w:val="00CE67F1"/>
    <w:rsid w:val="00D045DA"/>
    <w:rsid w:val="00D109E2"/>
    <w:rsid w:val="00D641E7"/>
    <w:rsid w:val="00D96AFE"/>
    <w:rsid w:val="00DA40D7"/>
    <w:rsid w:val="00DB3C65"/>
    <w:rsid w:val="00DE222E"/>
    <w:rsid w:val="00DE59E8"/>
    <w:rsid w:val="00E16C8B"/>
    <w:rsid w:val="00E45FC8"/>
    <w:rsid w:val="00E63B2E"/>
    <w:rsid w:val="00E679C7"/>
    <w:rsid w:val="00E72B73"/>
    <w:rsid w:val="00E75958"/>
    <w:rsid w:val="00E80F9E"/>
    <w:rsid w:val="00E8394F"/>
    <w:rsid w:val="00E93003"/>
    <w:rsid w:val="00ED7F0F"/>
    <w:rsid w:val="00EF0B74"/>
    <w:rsid w:val="00EF1FE4"/>
    <w:rsid w:val="00F040EB"/>
    <w:rsid w:val="00F14357"/>
    <w:rsid w:val="00F20720"/>
    <w:rsid w:val="00F42C97"/>
    <w:rsid w:val="00F447F9"/>
    <w:rsid w:val="00F46EC1"/>
    <w:rsid w:val="00F62DA4"/>
    <w:rsid w:val="00F75493"/>
    <w:rsid w:val="00F86D03"/>
    <w:rsid w:val="00F86F6C"/>
    <w:rsid w:val="00F8769B"/>
    <w:rsid w:val="00F87B9D"/>
    <w:rsid w:val="00F92496"/>
    <w:rsid w:val="00FA3994"/>
    <w:rsid w:val="00FA6CA6"/>
    <w:rsid w:val="00FB11D0"/>
    <w:rsid w:val="00FD327F"/>
    <w:rsid w:val="00FD5440"/>
    <w:rsid w:val="00FE5F60"/>
    <w:rsid w:val="00FF4A8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020D49"/>
  <w15:chartTrackingRefBased/>
  <w15:docId w15:val="{6AE43E5C-043A-4F8F-96A4-AE85B51FA26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D34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D34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D347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7D347F"/>
    <w:pPr>
      <w:keepNext/>
      <w:keepLines/>
      <w:spacing w:before="80" w:after="40"/>
      <w:outlineLvl w:val="3"/>
    </w:pPr>
    <w:rPr>
      <w:rFonts w:eastAsiaTheme="majorEastAsia" w:cstheme="majorBidi"/>
      <w:b/>
      <w:bCs/>
      <w:color w:val="0F4761" w:themeColor="accent1" w:themeShade="BF"/>
    </w:rPr>
  </w:style>
  <w:style w:type="paragraph" w:styleId="Ttulo5">
    <w:name w:val="heading 5"/>
    <w:basedOn w:val="Normal"/>
    <w:next w:val="Normal"/>
    <w:link w:val="Ttulo5Car"/>
    <w:uiPriority w:val="9"/>
    <w:unhideWhenUsed/>
    <w:qFormat/>
    <w:rsid w:val="007D347F"/>
    <w:pPr>
      <w:keepNext/>
      <w:keepLines/>
      <w:spacing w:before="80" w:after="40"/>
      <w:outlineLvl w:val="4"/>
    </w:pPr>
    <w:rPr>
      <w:rFonts w:eastAsiaTheme="majorEastAsia" w:cstheme="majorBidi"/>
      <w:i/>
      <w:iCs/>
      <w:color w:val="0F4761" w:themeColor="accent1" w:themeShade="BF"/>
    </w:rPr>
  </w:style>
  <w:style w:type="paragraph" w:styleId="Ttulo6">
    <w:name w:val="heading 6"/>
    <w:basedOn w:val="Normal"/>
    <w:next w:val="Normal"/>
    <w:link w:val="Ttulo6Car"/>
    <w:uiPriority w:val="9"/>
    <w:semiHidden/>
    <w:unhideWhenUsed/>
    <w:qFormat/>
    <w:rsid w:val="007D347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34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34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347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347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D347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D347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7D347F"/>
    <w:rPr>
      <w:rFonts w:eastAsiaTheme="majorEastAsia" w:cstheme="majorBidi"/>
      <w:b/>
      <w:bCs/>
      <w:color w:val="0F4761" w:themeColor="accent1" w:themeShade="BF"/>
    </w:rPr>
  </w:style>
  <w:style w:type="character" w:customStyle="1" w:styleId="Ttulo5Car">
    <w:name w:val="Título 5 Car"/>
    <w:basedOn w:val="Fuentedeprrafopredeter"/>
    <w:link w:val="Ttulo5"/>
    <w:uiPriority w:val="9"/>
    <w:rsid w:val="007D347F"/>
    <w:rPr>
      <w:rFonts w:eastAsiaTheme="majorEastAsia" w:cstheme="majorBidi"/>
      <w:i/>
      <w:iCs/>
      <w:color w:val="0F4761" w:themeColor="accent1" w:themeShade="BF"/>
    </w:rPr>
  </w:style>
  <w:style w:type="character" w:customStyle="1" w:styleId="Ttulo6Car">
    <w:name w:val="Título 6 Car"/>
    <w:basedOn w:val="Fuentedeprrafopredeter"/>
    <w:link w:val="Ttulo6"/>
    <w:uiPriority w:val="9"/>
    <w:semiHidden/>
    <w:rsid w:val="007D34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34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34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347F"/>
    <w:rPr>
      <w:rFonts w:eastAsiaTheme="majorEastAsia" w:cstheme="majorBidi"/>
      <w:color w:val="272727" w:themeColor="text1" w:themeTint="D8"/>
    </w:rPr>
  </w:style>
  <w:style w:type="paragraph" w:styleId="Ttulo">
    <w:name w:val="Title"/>
    <w:basedOn w:val="Normal"/>
    <w:next w:val="Normal"/>
    <w:link w:val="TtuloCar"/>
    <w:uiPriority w:val="10"/>
    <w:qFormat/>
    <w:rsid w:val="007D34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34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347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34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347F"/>
    <w:pPr>
      <w:spacing w:before="160"/>
      <w:jc w:val="center"/>
    </w:pPr>
    <w:rPr>
      <w:i/>
      <w:iCs/>
      <w:color w:val="404040" w:themeColor="text1" w:themeTint="BF"/>
    </w:rPr>
  </w:style>
  <w:style w:type="character" w:customStyle="1" w:styleId="CitaCar">
    <w:name w:val="Cita Car"/>
    <w:basedOn w:val="Fuentedeprrafopredeter"/>
    <w:link w:val="Cita"/>
    <w:uiPriority w:val="29"/>
    <w:rsid w:val="007D347F"/>
    <w:rPr>
      <w:i/>
      <w:iCs/>
      <w:color w:val="404040" w:themeColor="text1" w:themeTint="BF"/>
    </w:rPr>
  </w:style>
  <w:style w:type="paragraph" w:styleId="Prrafodelista">
    <w:name w:val="List Paragraph"/>
    <w:basedOn w:val="Normal"/>
    <w:qFormat/>
    <w:rsid w:val="007D347F"/>
    <w:pPr>
      <w:ind w:left="720"/>
      <w:contextualSpacing/>
    </w:pPr>
  </w:style>
  <w:style w:type="character" w:styleId="nfasisintenso">
    <w:name w:val="Intense Emphasis"/>
    <w:basedOn w:val="Fuentedeprrafopredeter"/>
    <w:uiPriority w:val="21"/>
    <w:qFormat/>
    <w:rsid w:val="007D347F"/>
    <w:rPr>
      <w:i/>
      <w:iCs/>
      <w:color w:val="0F4761" w:themeColor="accent1" w:themeShade="BF"/>
    </w:rPr>
  </w:style>
  <w:style w:type="paragraph" w:styleId="Citadestacada">
    <w:name w:val="Intense Quote"/>
    <w:basedOn w:val="Normal"/>
    <w:next w:val="Normal"/>
    <w:link w:val="CitadestacadaCar"/>
    <w:uiPriority w:val="30"/>
    <w:qFormat/>
    <w:rsid w:val="007D34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D347F"/>
    <w:rPr>
      <w:i/>
      <w:iCs/>
      <w:color w:val="0F4761" w:themeColor="accent1" w:themeShade="BF"/>
    </w:rPr>
  </w:style>
  <w:style w:type="character" w:styleId="Referenciaintensa">
    <w:name w:val="Intense Reference"/>
    <w:basedOn w:val="Fuentedeprrafopredeter"/>
    <w:uiPriority w:val="32"/>
    <w:qFormat/>
    <w:rsid w:val="007D347F"/>
    <w:rPr>
      <w:b/>
      <w:bCs/>
      <w:smallCaps/>
      <w:color w:val="0F4761" w:themeColor="accent1" w:themeShade="BF"/>
      <w:spacing w:val="5"/>
    </w:rPr>
  </w:style>
  <w:style w:type="paragraph" w:styleId="Encabezado">
    <w:name w:val="header"/>
    <w:basedOn w:val="Normal"/>
    <w:link w:val="EncabezadoCar"/>
    <w:uiPriority w:val="99"/>
    <w:unhideWhenUsed/>
    <w:rsid w:val="002D2CD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D2CDF"/>
  </w:style>
  <w:style w:type="paragraph" w:styleId="Piedepgina">
    <w:name w:val="footer"/>
    <w:basedOn w:val="Normal"/>
    <w:link w:val="PiedepginaCar"/>
    <w:uiPriority w:val="99"/>
    <w:unhideWhenUsed/>
    <w:rsid w:val="002D2CD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D2CDF"/>
  </w:style>
  <w:style w:type="table" w:styleId="Tablaconcuadrcula">
    <w:name w:val="Table Grid"/>
    <w:basedOn w:val="Tablanormal"/>
    <w:uiPriority w:val="39"/>
    <w:rsid w:val="002D2C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4D5616"/>
    <w:pPr>
      <w:spacing w:before="240" w:after="0" w:line="259" w:lineRule="auto"/>
      <w:outlineLvl w:val="9"/>
    </w:pPr>
    <w:rPr>
      <w:kern w:val="0"/>
      <w:sz w:val="32"/>
      <w:szCs w:val="32"/>
      <w:lang w:eastAsia="es-AR"/>
      <w14:ligatures w14:val="none"/>
    </w:rPr>
  </w:style>
  <w:style w:type="paragraph" w:styleId="TDC1">
    <w:name w:val="toc 1"/>
    <w:basedOn w:val="Normal"/>
    <w:next w:val="Normal"/>
    <w:autoRedefine/>
    <w:uiPriority w:val="39"/>
    <w:unhideWhenUsed/>
    <w:rsid w:val="004D5616"/>
    <w:pPr>
      <w:spacing w:after="100"/>
    </w:pPr>
  </w:style>
  <w:style w:type="paragraph" w:styleId="TDC2">
    <w:name w:val="toc 2"/>
    <w:basedOn w:val="Normal"/>
    <w:next w:val="Normal"/>
    <w:autoRedefine/>
    <w:uiPriority w:val="39"/>
    <w:unhideWhenUsed/>
    <w:rsid w:val="004D5616"/>
    <w:pPr>
      <w:spacing w:after="100"/>
      <w:ind w:left="240"/>
    </w:pPr>
  </w:style>
  <w:style w:type="paragraph" w:styleId="TDC3">
    <w:name w:val="toc 3"/>
    <w:basedOn w:val="Normal"/>
    <w:next w:val="Normal"/>
    <w:autoRedefine/>
    <w:uiPriority w:val="39"/>
    <w:unhideWhenUsed/>
    <w:rsid w:val="004D5616"/>
    <w:pPr>
      <w:spacing w:after="100"/>
      <w:ind w:left="480"/>
    </w:pPr>
  </w:style>
  <w:style w:type="character" w:styleId="Hipervnculo">
    <w:name w:val="Hyperlink"/>
    <w:basedOn w:val="Fuentedeprrafopredeter"/>
    <w:uiPriority w:val="99"/>
    <w:unhideWhenUsed/>
    <w:rsid w:val="004D5616"/>
    <w:rPr>
      <w:color w:val="467886" w:themeColor="hyperlink"/>
      <w:u w:val="single"/>
    </w:rPr>
  </w:style>
  <w:style w:type="paragraph" w:styleId="NormalWeb">
    <w:name w:val="Normal (Web)"/>
    <w:basedOn w:val="Normal"/>
    <w:uiPriority w:val="99"/>
    <w:semiHidden/>
    <w:unhideWhenUsed/>
    <w:rsid w:val="00172C1A"/>
    <w:rPr>
      <w:rFonts w:ascii="Times New Roman" w:hAnsi="Times New Roman" w:cs="Times New Roman"/>
    </w:rPr>
  </w:style>
  <w:style w:type="character" w:styleId="Textoennegrita">
    <w:name w:val="Strong"/>
    <w:basedOn w:val="Fuentedeprrafopredeter"/>
    <w:uiPriority w:val="22"/>
    <w:qFormat/>
    <w:rsid w:val="00A30618"/>
    <w:rPr>
      <w:b/>
      <w:bCs/>
    </w:rPr>
  </w:style>
  <w:style w:type="character" w:styleId="Mencinsinresolver">
    <w:name w:val="Unresolved Mention"/>
    <w:basedOn w:val="Fuentedeprrafopredeter"/>
    <w:uiPriority w:val="99"/>
    <w:semiHidden/>
    <w:unhideWhenUsed/>
    <w:rsid w:val="002554B2"/>
    <w:rPr>
      <w:color w:val="605E5C"/>
      <w:shd w:val="clear" w:color="auto" w:fill="E1DFDD"/>
    </w:rPr>
  </w:style>
  <w:style w:type="paragraph" w:styleId="TDC4">
    <w:name w:val="toc 4"/>
    <w:basedOn w:val="Normal"/>
    <w:next w:val="Normal"/>
    <w:autoRedefine/>
    <w:uiPriority w:val="39"/>
    <w:unhideWhenUsed/>
    <w:rsid w:val="00F20720"/>
    <w:pPr>
      <w:spacing w:after="100"/>
      <w:ind w:left="720"/>
    </w:pPr>
  </w:style>
  <w:style w:type="paragraph" w:styleId="TDC5">
    <w:name w:val="toc 5"/>
    <w:basedOn w:val="Normal"/>
    <w:next w:val="Normal"/>
    <w:autoRedefine/>
    <w:uiPriority w:val="39"/>
    <w:unhideWhenUsed/>
    <w:rsid w:val="00F20720"/>
    <w:pPr>
      <w:spacing w:after="100"/>
      <w:ind w:left="960"/>
    </w:pPr>
    <w:rPr>
      <w:rFonts w:eastAsiaTheme="minorEastAsia"/>
      <w:lang w:eastAsia="es-AR"/>
    </w:rPr>
  </w:style>
  <w:style w:type="paragraph" w:styleId="TDC6">
    <w:name w:val="toc 6"/>
    <w:basedOn w:val="Normal"/>
    <w:next w:val="Normal"/>
    <w:autoRedefine/>
    <w:uiPriority w:val="39"/>
    <w:unhideWhenUsed/>
    <w:rsid w:val="00F20720"/>
    <w:pPr>
      <w:spacing w:after="100"/>
      <w:ind w:left="1200"/>
    </w:pPr>
    <w:rPr>
      <w:rFonts w:eastAsiaTheme="minorEastAsia"/>
      <w:lang w:eastAsia="es-AR"/>
    </w:rPr>
  </w:style>
  <w:style w:type="paragraph" w:styleId="TDC7">
    <w:name w:val="toc 7"/>
    <w:basedOn w:val="Normal"/>
    <w:next w:val="Normal"/>
    <w:autoRedefine/>
    <w:uiPriority w:val="39"/>
    <w:unhideWhenUsed/>
    <w:rsid w:val="00F20720"/>
    <w:pPr>
      <w:spacing w:after="100"/>
      <w:ind w:left="1440"/>
    </w:pPr>
    <w:rPr>
      <w:rFonts w:eastAsiaTheme="minorEastAsia"/>
      <w:lang w:eastAsia="es-AR"/>
    </w:rPr>
  </w:style>
  <w:style w:type="paragraph" w:styleId="TDC8">
    <w:name w:val="toc 8"/>
    <w:basedOn w:val="Normal"/>
    <w:next w:val="Normal"/>
    <w:autoRedefine/>
    <w:uiPriority w:val="39"/>
    <w:unhideWhenUsed/>
    <w:rsid w:val="00F20720"/>
    <w:pPr>
      <w:spacing w:after="100"/>
      <w:ind w:left="1680"/>
    </w:pPr>
    <w:rPr>
      <w:rFonts w:eastAsiaTheme="minorEastAsia"/>
      <w:lang w:eastAsia="es-AR"/>
    </w:rPr>
  </w:style>
  <w:style w:type="paragraph" w:styleId="TDC9">
    <w:name w:val="toc 9"/>
    <w:basedOn w:val="Normal"/>
    <w:next w:val="Normal"/>
    <w:autoRedefine/>
    <w:uiPriority w:val="39"/>
    <w:unhideWhenUsed/>
    <w:rsid w:val="00F20720"/>
    <w:pPr>
      <w:spacing w:after="100"/>
      <w:ind w:left="1920"/>
    </w:pPr>
    <w:rPr>
      <w:rFonts w:eastAsiaTheme="minorEastAsia"/>
      <w:lang w:eastAsia="es-AR"/>
    </w:rPr>
  </w:style>
  <w:style w:type="paragraph" w:customStyle="1" w:styleId="Epig-PredictIT">
    <w:name w:val="Epig-PredictIT"/>
    <w:basedOn w:val="Normal"/>
    <w:pPr>
      <w:spacing w:before="80" w:after="280" w:line="240" w:lineRule="auto"/>
      <w:jc w:val="center"/>
    </w:pPr>
    <w:rPr>
      <w:rFonts w:ascii="Calibri" w:hAnsi="Calibri"/>
      <w:color w:val="444444"/>
      <w:sz w:val="20"/>
    </w:rPr>
  </w:style>
  <w:style w:type="paragraph" w:customStyle="1" w:styleId="Pantalla-PredictIT">
    <w:name w:val="Pantalla-PredictIT"/>
    <w:basedOn w:val="Normal"/>
    <w:pPr>
      <w:spacing w:before="80"/>
      <w:jc w:val="both"/>
    </w:pPr>
    <w:rPr>
      <w:rFonts w:ascii="Calibri" w:hAnsi="Calibri"/>
    </w:rPr>
  </w:style>
  <w:style w:type="paragraph" w:styleId="Tabladeilustraciones">
    <w:name w:val="table of figures"/>
    <w:basedOn w:val="Normal"/>
    <w:next w:val="Normal"/>
    <w:uiPriority w:val="99"/>
    <w:unhideWhenUsed/>
    <w:rsid w:val="00F46EC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22191">
      <w:bodyDiv w:val="1"/>
      <w:marLeft w:val="0"/>
      <w:marRight w:val="0"/>
      <w:marTop w:val="0"/>
      <w:marBottom w:val="0"/>
      <w:divBdr>
        <w:top w:val="none" w:sz="0" w:space="0" w:color="auto"/>
        <w:left w:val="none" w:sz="0" w:space="0" w:color="auto"/>
        <w:bottom w:val="none" w:sz="0" w:space="0" w:color="auto"/>
        <w:right w:val="none" w:sz="0" w:space="0" w:color="auto"/>
      </w:divBdr>
    </w:div>
    <w:div w:id="456070959">
      <w:bodyDiv w:val="1"/>
      <w:marLeft w:val="0"/>
      <w:marRight w:val="0"/>
      <w:marTop w:val="0"/>
      <w:marBottom w:val="0"/>
      <w:divBdr>
        <w:top w:val="none" w:sz="0" w:space="0" w:color="auto"/>
        <w:left w:val="none" w:sz="0" w:space="0" w:color="auto"/>
        <w:bottom w:val="none" w:sz="0" w:space="0" w:color="auto"/>
        <w:right w:val="none" w:sz="0" w:space="0" w:color="auto"/>
      </w:divBdr>
    </w:div>
    <w:div w:id="469441271">
      <w:bodyDiv w:val="1"/>
      <w:marLeft w:val="0"/>
      <w:marRight w:val="0"/>
      <w:marTop w:val="0"/>
      <w:marBottom w:val="0"/>
      <w:divBdr>
        <w:top w:val="none" w:sz="0" w:space="0" w:color="auto"/>
        <w:left w:val="none" w:sz="0" w:space="0" w:color="auto"/>
        <w:bottom w:val="none" w:sz="0" w:space="0" w:color="auto"/>
        <w:right w:val="none" w:sz="0" w:space="0" w:color="auto"/>
      </w:divBdr>
    </w:div>
    <w:div w:id="924416629">
      <w:bodyDiv w:val="1"/>
      <w:marLeft w:val="0"/>
      <w:marRight w:val="0"/>
      <w:marTop w:val="0"/>
      <w:marBottom w:val="0"/>
      <w:divBdr>
        <w:top w:val="none" w:sz="0" w:space="0" w:color="auto"/>
        <w:left w:val="none" w:sz="0" w:space="0" w:color="auto"/>
        <w:bottom w:val="none" w:sz="0" w:space="0" w:color="auto"/>
        <w:right w:val="none" w:sz="0" w:space="0" w:color="auto"/>
      </w:divBdr>
    </w:div>
    <w:div w:id="1273902101">
      <w:bodyDiv w:val="1"/>
      <w:marLeft w:val="0"/>
      <w:marRight w:val="0"/>
      <w:marTop w:val="0"/>
      <w:marBottom w:val="0"/>
      <w:divBdr>
        <w:top w:val="none" w:sz="0" w:space="0" w:color="auto"/>
        <w:left w:val="none" w:sz="0" w:space="0" w:color="auto"/>
        <w:bottom w:val="none" w:sz="0" w:space="0" w:color="auto"/>
        <w:right w:val="none" w:sz="0" w:space="0" w:color="auto"/>
      </w:divBdr>
    </w:div>
    <w:div w:id="1463425315">
      <w:bodyDiv w:val="1"/>
      <w:marLeft w:val="0"/>
      <w:marRight w:val="0"/>
      <w:marTop w:val="0"/>
      <w:marBottom w:val="0"/>
      <w:divBdr>
        <w:top w:val="none" w:sz="0" w:space="0" w:color="auto"/>
        <w:left w:val="none" w:sz="0" w:space="0" w:color="auto"/>
        <w:bottom w:val="none" w:sz="0" w:space="0" w:color="auto"/>
        <w:right w:val="none" w:sz="0" w:space="0" w:color="auto"/>
      </w:divBdr>
    </w:div>
    <w:div w:id="1705905849">
      <w:bodyDiv w:val="1"/>
      <w:marLeft w:val="0"/>
      <w:marRight w:val="0"/>
      <w:marTop w:val="0"/>
      <w:marBottom w:val="0"/>
      <w:divBdr>
        <w:top w:val="none" w:sz="0" w:space="0" w:color="auto"/>
        <w:left w:val="none" w:sz="0" w:space="0" w:color="auto"/>
        <w:bottom w:val="none" w:sz="0" w:space="0" w:color="auto"/>
        <w:right w:val="none" w:sz="0" w:space="0" w:color="auto"/>
      </w:divBdr>
    </w:div>
    <w:div w:id="1715695621">
      <w:bodyDiv w:val="1"/>
      <w:marLeft w:val="0"/>
      <w:marRight w:val="0"/>
      <w:marTop w:val="0"/>
      <w:marBottom w:val="0"/>
      <w:divBdr>
        <w:top w:val="none" w:sz="0" w:space="0" w:color="auto"/>
        <w:left w:val="none" w:sz="0" w:space="0" w:color="auto"/>
        <w:bottom w:val="none" w:sz="0" w:space="0" w:color="auto"/>
        <w:right w:val="none" w:sz="0" w:space="0" w:color="auto"/>
      </w:divBdr>
    </w:div>
    <w:div w:id="1735617551">
      <w:bodyDiv w:val="1"/>
      <w:marLeft w:val="0"/>
      <w:marRight w:val="0"/>
      <w:marTop w:val="0"/>
      <w:marBottom w:val="0"/>
      <w:divBdr>
        <w:top w:val="none" w:sz="0" w:space="0" w:color="auto"/>
        <w:left w:val="none" w:sz="0" w:space="0" w:color="auto"/>
        <w:bottom w:val="none" w:sz="0" w:space="0" w:color="auto"/>
        <w:right w:val="none" w:sz="0" w:space="0" w:color="auto"/>
      </w:divBdr>
    </w:div>
    <w:div w:id="1829589428">
      <w:bodyDiv w:val="1"/>
      <w:marLeft w:val="0"/>
      <w:marRight w:val="0"/>
      <w:marTop w:val="0"/>
      <w:marBottom w:val="0"/>
      <w:divBdr>
        <w:top w:val="none" w:sz="0" w:space="0" w:color="auto"/>
        <w:left w:val="none" w:sz="0" w:space="0" w:color="auto"/>
        <w:bottom w:val="none" w:sz="0" w:space="0" w:color="auto"/>
        <w:right w:val="none" w:sz="0" w:space="0" w:color="auto"/>
      </w:divBdr>
    </w:div>
    <w:div w:id="2076005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68" Type="http://schemas.openxmlformats.org/officeDocument/2006/relationships/hyperlink" Target="https://www.itsitio.com/ar/informes/el-nuevo-mapa-de-las-pymes-argentinas-que-las-preocupa-y-donde-ven-oportunidades/" TargetMode="External"/><Relationship Id="rId7" Type="http://schemas.openxmlformats.org/officeDocument/2006/relationships/endnotes" Target="endnotes.xml"/><Relationship Id="rId71" Type="http://schemas.openxmlformats.org/officeDocument/2006/relationships/footer" Target="footer1.xml"/><Relationship Id="rId2" Type="http://schemas.openxmlformats.org/officeDocument/2006/relationships/numbering" Target="numbering.xml"/><Relationship Id="rId66" Type="http://schemas.openxmlformats.org/officeDocument/2006/relationships/hyperlink" Target="https://publicaciones.observatoriopyme.org.ar/ici25" TargetMode="External"/><Relationship Id="rId5" Type="http://schemas.openxmlformats.org/officeDocument/2006/relationships/webSettings" Target="webSettings.xml"/><Relationship Id="rId73" Type="http://schemas.openxmlformats.org/officeDocument/2006/relationships/theme" Target="theme/theme1.xml"/><Relationship Id="rId4" Type="http://schemas.openxmlformats.org/officeDocument/2006/relationships/settings" Target="settings.xml"/><Relationship Id="rId69" Type="http://schemas.openxmlformats.org/officeDocument/2006/relationships/hyperlink" Target="https://msaffirio.com/2017/09/05/costo-del-riesgo-ti/" TargetMode="External"/><Relationship Id="rId72" Type="http://schemas.openxmlformats.org/officeDocument/2006/relationships/fontTable" Target="fontTable.xml"/><Relationship Id="rId3" Type="http://schemas.openxmlformats.org/officeDocument/2006/relationships/styles" Target="styles.xml"/><Relationship Id="rId67" Type="http://schemas.openxmlformats.org/officeDocument/2006/relationships/hyperlink" Target="https://acipan.org.ar/wp-content/uploads/2024/11/informe-pymes.pdf" TargetMode="External"/><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59.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77044-94B0-451F-8895-8E9190605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174</Pages>
  <Words>33081</Words>
  <Characters>192222</Characters>
  <Application>Microsoft Office Word</Application>
  <DocSecurity>0</DocSecurity>
  <Lines>4888</Lines>
  <Paragraphs>2005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Patricio Ezequiel Pettini</dc:creator>
  <cp:keywords/>
  <dc:description/>
  <cp:lastModifiedBy>Patricio Ezequiel Pettini</cp:lastModifiedBy>
  <cp:revision>8</cp:revision>
  <cp:lastPrinted>2026-06-13T21:17:00Z</cp:lastPrinted>
  <dcterms:created xsi:type="dcterms:W3CDTF">2026-09-04T23:27:00Z</dcterms:created>
  <dcterms:modified xsi:type="dcterms:W3CDTF">2026-09-05T19:11:00Z</dcterms:modified>
</cp:coreProperties>
</file>