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3B34" w14:textId="77777777" w:rsidR="002C3338" w:rsidRPr="002C3338" w:rsidRDefault="002C3338" w:rsidP="002C3338">
      <w:pPr>
        <w:suppressAutoHyphens/>
        <w:spacing w:after="200"/>
        <w:ind w:firstLine="0"/>
        <w:jc w:val="center"/>
        <w:rPr>
          <w:rFonts w:eastAsia="Droid Sans Fallback"/>
          <w:b/>
          <w:bCs w:val="0"/>
          <w:color w:val="00000A"/>
          <w:sz w:val="28"/>
          <w:szCs w:val="28"/>
          <w14:ligatures w14:val="none"/>
        </w:rPr>
      </w:pPr>
      <w:r w:rsidRPr="002C3338">
        <w:rPr>
          <w:rFonts w:eastAsia="Droid Sans Fallback"/>
          <w:b/>
          <w:bCs w:val="0"/>
          <w:color w:val="00000A"/>
          <w:sz w:val="28"/>
          <w:szCs w:val="28"/>
          <w14:ligatures w14:val="none"/>
        </w:rPr>
        <w:t>LISTA DE SÍMBOLOS</w:t>
      </w:r>
    </w:p>
    <w:tbl>
      <w:tblPr>
        <w:tblStyle w:val="Tablaconcuadrcula"/>
        <w:tblW w:w="505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7131"/>
      </w:tblGrid>
      <w:tr w:rsidR="002C3338" w:rsidRPr="008F1E0E" w14:paraId="1BE85680" w14:textId="77777777" w:rsidTr="00300A1C">
        <w:trPr>
          <w:trHeight w:val="170"/>
        </w:trPr>
        <w:tc>
          <w:tcPr>
            <w:tcW w:w="5000" w:type="pct"/>
            <w:gridSpan w:val="2"/>
            <w:tcMar>
              <w:top w:w="11" w:type="dxa"/>
              <w:left w:w="57" w:type="dxa"/>
              <w:bottom w:w="11" w:type="dxa"/>
            </w:tcMar>
            <w:vAlign w:val="center"/>
          </w:tcPr>
          <w:p w14:paraId="22F7EA68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i/>
                <w:iCs/>
                <w:color w:val="auto"/>
              </w:rPr>
            </w:pPr>
            <w:r>
              <w:rPr>
                <w:b/>
              </w:rPr>
              <w:t>Índices</w:t>
            </w:r>
            <w:r w:rsidRPr="00130087">
              <w:rPr>
                <w:b/>
              </w:rPr>
              <w:t>:</w:t>
            </w:r>
          </w:p>
        </w:tc>
      </w:tr>
      <w:tr w:rsidR="002C3338" w:rsidRPr="00CB6587" w14:paraId="6A9F424D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B4B2140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i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</w:rPr>
                  <m:t>ω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C47694B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</w:pPr>
            <w:r>
              <w:t>Indice das fontes de geração eólica.</w:t>
            </w:r>
          </w:p>
        </w:tc>
      </w:tr>
      <w:tr w:rsidR="002C3338" w:rsidRPr="00CB6587" w14:paraId="721A98DB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ABF7EED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</w:rPr>
                  <m:t>b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F754D13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</w:pPr>
            <w:r>
              <w:t>Indice dos SAEE</w:t>
            </w:r>
            <w:r w:rsidRPr="00130087">
              <w:t>.</w:t>
            </w:r>
          </w:p>
        </w:tc>
      </w:tr>
      <w:tr w:rsidR="002C3338" w:rsidRPr="00CB6587" w14:paraId="1D5FD2F5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1670A4A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</w:rPr>
                  <m:t>g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9026EC1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i/>
              </w:rPr>
            </w:pPr>
            <w:r>
              <w:t xml:space="preserve">Indice dos </w:t>
            </w:r>
            <w:proofErr w:type="spellStart"/>
            <w:r>
              <w:t>GCs</w:t>
            </w:r>
            <w:proofErr w:type="spellEnd"/>
            <w:r w:rsidRPr="00130087">
              <w:t>.</w:t>
            </w:r>
          </w:p>
        </w:tc>
      </w:tr>
      <w:tr w:rsidR="002C3338" w:rsidRPr="008F1E0E" w14:paraId="6A97FEE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02CD514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i/ij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2F70C19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Indice dos nós/linhas</w:t>
            </w:r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C767A2E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41A3097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p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BC700CC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t xml:space="preserve">Indice dos nós com </w:t>
            </w:r>
            <w:proofErr w:type="spellStart"/>
            <w:r>
              <w:t>FVs</w:t>
            </w:r>
            <w:proofErr w:type="spellEnd"/>
            <w:r>
              <w:t>.</w:t>
            </w:r>
          </w:p>
        </w:tc>
      </w:tr>
      <w:tr w:rsidR="002C3338" w:rsidRPr="008F1E0E" w14:paraId="18BFB5E0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83A4260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s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E114CE5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Indice dos cenários</w:t>
            </w:r>
            <w:r w:rsidRPr="00130087">
              <w:rPr>
                <w:color w:val="auto"/>
              </w:rPr>
              <w:t>.</w:t>
            </w:r>
          </w:p>
        </w:tc>
      </w:tr>
      <w:tr w:rsidR="002C3338" w:rsidRPr="008F1E0E" w14:paraId="1DBEA05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DB10D32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</w:rPr>
                  <m:t>t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C540131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</w:pPr>
            <w:r>
              <w:t>Indice dos períodos</w:t>
            </w:r>
            <w:r w:rsidRPr="00130087">
              <w:t>.</w:t>
            </w:r>
          </w:p>
        </w:tc>
      </w:tr>
      <w:tr w:rsidR="002C3338" w:rsidRPr="008F1E0E" w14:paraId="29073DD6" w14:textId="77777777" w:rsidTr="00300A1C">
        <w:trPr>
          <w:trHeight w:val="170"/>
        </w:trPr>
        <w:tc>
          <w:tcPr>
            <w:tcW w:w="5000" w:type="pct"/>
            <w:gridSpan w:val="2"/>
            <w:tcMar>
              <w:top w:w="11" w:type="dxa"/>
              <w:left w:w="57" w:type="dxa"/>
              <w:bottom w:w="11" w:type="dxa"/>
            </w:tcMar>
            <w:vAlign w:val="center"/>
          </w:tcPr>
          <w:p w14:paraId="35195CBB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b/>
              </w:rPr>
              <w:t>Parâmetros</w:t>
            </w:r>
            <w:r w:rsidRPr="00130087">
              <w:rPr>
                <w:b/>
              </w:rPr>
              <w:t>:</w:t>
            </w:r>
          </w:p>
        </w:tc>
      </w:tr>
      <w:tr w:rsidR="002C3338" w:rsidRPr="008F1E0E" w14:paraId="2D4420C1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5DC14A9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71149AC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Duração do período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8F1E0E" w14:paraId="53E4B1DA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9A95AB7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α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109E6B6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>Nível de confiança</w:t>
            </w:r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29FB53EE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787DAF4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β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1E7858E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Trade</w:t>
            </w:r>
            <w:r w:rsidRPr="00F32C8E">
              <w:rPr>
                <w:color w:val="auto"/>
              </w:rPr>
              <w:t>-off entre custo esperado e aversão ao risco.</w:t>
            </w:r>
          </w:p>
        </w:tc>
      </w:tr>
      <w:tr w:rsidR="002C3338" w:rsidRPr="00CB6587" w14:paraId="4A719580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9CFA5E9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E1C9AF6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Taxa de autodescarga do </w:t>
            </w:r>
            <w:r>
              <w:rPr>
                <w:color w:val="auto"/>
              </w:rPr>
              <w:t>SAEE</w:t>
            </w:r>
            <w:r w:rsidRPr="00F32C8E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b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25DF8C50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28129F1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032BF3E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Eficiência de carga/descarga do </w:t>
            </w:r>
            <w:r>
              <w:rPr>
                <w:color w:val="auto"/>
              </w:rPr>
              <w:t>SAEE</w:t>
            </w:r>
            <w:r w:rsidRPr="00F32C8E">
              <w:rPr>
                <w:color w:val="auto"/>
              </w:rPr>
              <w:t xml:space="preserve"> no nó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b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3B10323C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C169AEE" w14:textId="77777777" w:rsidR="002C3338" w:rsidRPr="007A63D1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VE,c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VE,d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A4242F9" w14:textId="77777777" w:rsidR="002C3338" w:rsidRPr="00F32C8E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Eficiência de carga/descarga do </w:t>
            </w:r>
            <w:r>
              <w:rPr>
                <w:color w:val="auto"/>
              </w:rPr>
              <w:t>VE</w:t>
            </w:r>
            <w:r w:rsidRPr="00F32C8E">
              <w:rPr>
                <w:color w:val="auto"/>
              </w:rPr>
              <w:t xml:space="preserve"> no nó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v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9EF96DF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763F139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02A1835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Eficiência de consumo de combustível do </w:t>
            </w:r>
            <w:r>
              <w:rPr>
                <w:color w:val="auto"/>
              </w:rPr>
              <w:t>GC</w:t>
            </w:r>
            <w:r w:rsidRPr="00F32C8E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9C6006A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77BDF3F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6306600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Probabilidade de ocorrência do cenário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8267D61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C0ACA5B" w14:textId="77777777" w:rsidR="002C3338" w:rsidRPr="00CA33B2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com</m:t>
                    </m:r>
                  </m:sup>
                </m:s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501FBD1" w14:textId="77777777" w:rsidR="002C3338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rFonts w:eastAsiaTheme="minorEastAsia"/>
              </w:rPr>
              <w:t xml:space="preserve">Custo relacionado ao despacho dos </w:t>
            </w:r>
            <w:proofErr w:type="spellStart"/>
            <w:r>
              <w:rPr>
                <w:rFonts w:eastAsiaTheme="minorEastAsia"/>
              </w:rPr>
              <w:t>GCs</w:t>
            </w:r>
            <w:proofErr w:type="spellEnd"/>
            <w:r>
              <w:rPr>
                <w:rFonts w:eastAsiaTheme="minorEastAsia"/>
              </w:rPr>
              <w:t>.</w:t>
            </w:r>
          </w:p>
        </w:tc>
      </w:tr>
      <w:tr w:rsidR="002C3338" w:rsidRPr="00CB6587" w14:paraId="376148FF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7A4E734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ESS,c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ESS,d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C467E1E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Custo de carga/descarga do </w:t>
            </w:r>
            <w:r>
              <w:rPr>
                <w:color w:val="auto"/>
              </w:rPr>
              <w:t>SAEE</w:t>
            </w:r>
            <w:r w:rsidRPr="00F32C8E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b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2F44998B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A3A4178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7EE627A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Custo da </w:t>
            </w:r>
            <w:r>
              <w:rPr>
                <w:color w:val="auto"/>
              </w:rPr>
              <w:t xml:space="preserve">geração de </w:t>
            </w:r>
            <w:r w:rsidRPr="00F32C8E">
              <w:rPr>
                <w:color w:val="auto"/>
              </w:rPr>
              <w:t xml:space="preserve">energia </w:t>
            </w:r>
            <w:r>
              <w:rPr>
                <w:color w:val="auto"/>
              </w:rPr>
              <w:t>do GC</w:t>
            </w:r>
            <w:r w:rsidRPr="00F32C8E">
              <w:rPr>
                <w:color w:val="auto"/>
              </w:rPr>
              <w:t xml:space="preserve"> no nó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039732CD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5C33E50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ls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E3A7494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>Custo d</w:t>
            </w:r>
            <w:r>
              <w:rPr>
                <w:color w:val="auto"/>
              </w:rPr>
              <w:t xml:space="preserve">o corte </w:t>
            </w:r>
            <w:r w:rsidRPr="00F32C8E">
              <w:rPr>
                <w:color w:val="auto"/>
              </w:rPr>
              <w:t xml:space="preserve">de carga no nó </w:t>
            </w:r>
            <m:oMath>
              <m:r>
                <w:rPr>
                  <w:rFonts w:ascii="Cambria Math" w:hAnsi="Cambria Math"/>
                  <w:color w:val="auto"/>
                </w:rPr>
                <m:t>i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3914117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A849E90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CC3EE14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Custo de compra de energia da subestação no período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2C562915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67B08AB" w14:textId="77777777" w:rsidR="002C3338" w:rsidRPr="00F36CF3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VE,c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VE,d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9083E98" w14:textId="77777777" w:rsidR="002C3338" w:rsidRPr="00F32C8E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F32C8E">
              <w:rPr>
                <w:color w:val="auto"/>
              </w:rPr>
              <w:t xml:space="preserve">Custo de carga/descarga do </w:t>
            </w:r>
            <w:r>
              <w:rPr>
                <w:color w:val="auto"/>
              </w:rPr>
              <w:t>VE</w:t>
            </w:r>
            <w:r w:rsidRPr="00F32C8E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v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40C92C5F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072D8A2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0ED75B3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>Nível inicial de combustível do G</w:t>
            </w:r>
            <w:r>
              <w:rPr>
                <w:color w:val="auto"/>
              </w:rPr>
              <w:t>C</w:t>
            </w:r>
            <w:r w:rsidRPr="00647E22">
              <w:rPr>
                <w:color w:val="auto"/>
              </w:rPr>
              <w:t xml:space="preserve"> no nó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22099628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0B7FD60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D7FFC94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Nível mínimo de combustível do </w:t>
            </w:r>
            <w:r>
              <w:rPr>
                <w:color w:val="auto"/>
              </w:rPr>
              <w:t>GC</w:t>
            </w:r>
            <w:r w:rsidRPr="00647E22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7CA5AC6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4D23A15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00B2D00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Capacidade de combustível do </w:t>
            </w:r>
            <w:r>
              <w:rPr>
                <w:color w:val="auto"/>
              </w:rPr>
              <w:t>GC</w:t>
            </w:r>
            <w:r w:rsidRPr="00647E22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DF30DBE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9094ED9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522AA7B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Valor calorífico volumétrico do combustível para o </w:t>
            </w:r>
            <w:r>
              <w:rPr>
                <w:color w:val="auto"/>
              </w:rPr>
              <w:t>GC</w:t>
            </w:r>
            <w:r w:rsidRPr="00647E22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2E6B78E2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06322CA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63A8776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Potência máxima para carga/descarga do </w:t>
            </w:r>
            <w:r>
              <w:rPr>
                <w:color w:val="auto"/>
              </w:rPr>
              <w:t>SAEE</w:t>
            </w:r>
            <w:r w:rsidRPr="00647E22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b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7235D9E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C0946B9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AEB1221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Limite do fator de potência do </w:t>
            </w:r>
            <w:r>
              <w:rPr>
                <w:color w:val="auto"/>
              </w:rPr>
              <w:t>GC</w:t>
            </w:r>
            <w:r w:rsidRPr="00647E22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9A81DD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2CB6A3D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pf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0B778F4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Fator de potência da carga no nó </w:t>
            </w:r>
            <m:oMath>
              <m:r>
                <w:rPr>
                  <w:rFonts w:ascii="Cambria Math" w:hAnsi="Cambria Math"/>
                  <w:color w:val="auto"/>
                </w:rPr>
                <m:t>i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B9799E1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18D2B27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PV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FBD489D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Potência nominal </w:t>
            </w:r>
            <w:r>
              <w:rPr>
                <w:color w:val="auto"/>
              </w:rPr>
              <w:t>da FV</w:t>
            </w:r>
            <w:r w:rsidRPr="00647E22">
              <w:rPr>
                <w:color w:val="auto"/>
              </w:rPr>
              <w:t xml:space="preserve"> no nó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p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05FE5E0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1F74DB2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ω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WT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76C4A02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 xml:space="preserve">Potência nominal </w:t>
            </w:r>
            <w:r>
              <w:rPr>
                <w:color w:val="auto"/>
              </w:rPr>
              <w:t>da geração eólica</w:t>
            </w:r>
            <w:r w:rsidRPr="00647E22">
              <w:rPr>
                <w:color w:val="auto"/>
              </w:rPr>
              <w:t xml:space="preserve"> no nó</w:t>
            </w:r>
            <w:r w:rsidRPr="00130087">
              <w:rPr>
                <w:rFonts w:ascii="Cambria Math" w:hAnsi="Cambria Math"/>
                <w:i/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ω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53E3BBCC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A02A738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2D5ECA1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>Resistência/reatância da linha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ij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08104A0C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2A85CBF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dw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up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FFAEAD8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 w:rsidRPr="00647E22">
              <w:rPr>
                <w:color w:val="auto"/>
              </w:rPr>
              <w:t>Limites para redução/aumento d</w:t>
            </w:r>
            <w:r>
              <w:rPr>
                <w:color w:val="auto"/>
              </w:rPr>
              <w:t>e geração do GC</w:t>
            </w:r>
            <w:r w:rsidRPr="00647E22">
              <w:rPr>
                <w:color w:val="auto"/>
              </w:rPr>
              <w:t xml:space="preserve"> no nó </w:t>
            </w:r>
            <m:oMath>
              <m:r>
                <w:rPr>
                  <w:rFonts w:ascii="Cambria Math" w:hAnsi="Cambria Math"/>
                  <w:color w:val="auto"/>
                </w:rPr>
                <m:t>g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12094B9E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3F55F49" w14:textId="77777777" w:rsidR="002C3338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SE</w:t>
            </w:r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75564D0" w14:textId="77777777" w:rsidR="002C3338" w:rsidRPr="00647E22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Nó da subestação</w:t>
            </w:r>
          </w:p>
        </w:tc>
      </w:tr>
      <w:tr w:rsidR="002C3338" w:rsidRPr="00CB6587" w14:paraId="233FCD4E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9A6ADE4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A69ADDD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color w:val="auto"/>
              </w:rPr>
            </w:pPr>
            <w:r>
              <w:rPr>
                <w:rFonts w:eastAsiaTheme="minorEastAsia"/>
              </w:rPr>
              <w:t>C</w:t>
            </w:r>
            <w:r w:rsidRPr="00647E22">
              <w:rPr>
                <w:rFonts w:eastAsiaTheme="minorEastAsia"/>
              </w:rPr>
              <w:t xml:space="preserve">onsumo médio de carga no nó </w:t>
            </w:r>
            <m:oMath>
              <m:r>
                <w:rPr>
                  <w:rFonts w:ascii="Cambria Math" w:hAnsi="Cambria Math"/>
                  <w:color w:val="auto"/>
                </w:rPr>
                <m:t>i</m:t>
              </m:r>
            </m:oMath>
            <w:r w:rsidRPr="00130087">
              <w:rPr>
                <w:color w:val="auto"/>
              </w:rPr>
              <w:t xml:space="preserve">, </w:t>
            </w:r>
            <w:r>
              <w:rPr>
                <w:color w:val="auto"/>
              </w:rPr>
              <w:t xml:space="preserve">período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16F956E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1B3F0E4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F2D4693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Theme="minorEastAsia"/>
              </w:rPr>
            </w:pPr>
            <w:r w:rsidRPr="00647E22">
              <w:rPr>
                <w:rFonts w:eastAsiaTheme="minorEastAsia"/>
              </w:rPr>
              <w:t xml:space="preserve">Consumo médio de carga no nó </w:t>
            </w:r>
            <m:oMath>
              <m:r>
                <w:rPr>
                  <w:rFonts w:ascii="Cambria Math" w:hAnsi="Cambria Math"/>
                  <w:color w:val="auto"/>
                </w:rPr>
                <m:t>i</m:t>
              </m:r>
            </m:oMath>
            <w:r w:rsidRPr="00130087">
              <w:rPr>
                <w:color w:val="auto"/>
              </w:rPr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17762C92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6870200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464BB67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Theme="minorEastAsia"/>
              </w:rPr>
            </w:pPr>
            <w:r w:rsidRPr="00647E22">
              <w:rPr>
                <w:rFonts w:eastAsiaTheme="minorEastAsia"/>
              </w:rPr>
              <w:t xml:space="preserve">Capacidade máxima do </w:t>
            </w:r>
            <w:r>
              <w:rPr>
                <w:rFonts w:eastAsiaTheme="minorEastAsia"/>
              </w:rPr>
              <w:t>GC</w:t>
            </w:r>
            <w:r w:rsidRPr="00647E22">
              <w:rPr>
                <w:rFonts w:eastAsiaTheme="minorEastAsia"/>
              </w:rPr>
              <w:t xml:space="preserve"> localizado no nó</w:t>
            </w:r>
            <w:r w:rsidRPr="0013008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 w:rsidRPr="00130087">
              <w:rPr>
                <w:rFonts w:eastAsiaTheme="minorEastAsia"/>
              </w:rPr>
              <w:t>.</w:t>
            </w:r>
          </w:p>
        </w:tc>
      </w:tr>
      <w:tr w:rsidR="002C3338" w:rsidRPr="00CB6587" w14:paraId="1B55054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B98A1D3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SOC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SOC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984EBC1" w14:textId="77777777" w:rsidR="002C3338" w:rsidRPr="00130087" w:rsidRDefault="002C3338" w:rsidP="00300A1C">
            <w:pPr>
              <w:pStyle w:val="Texto"/>
              <w:spacing w:after="120"/>
              <w:rPr>
                <w:rFonts w:eastAsia="Times New Roman"/>
                <w:color w:val="auto"/>
                <w:lang w:eastAsia="pt-BR"/>
              </w:rPr>
            </w:pPr>
            <w:r w:rsidRPr="00647E22">
              <w:rPr>
                <w:rFonts w:eastAsiaTheme="minorEastAsia"/>
              </w:rPr>
              <w:t xml:space="preserve">SOC máximo/mínimo para o </w:t>
            </w:r>
            <w:r>
              <w:rPr>
                <w:rFonts w:eastAsiaTheme="minorEastAsia"/>
              </w:rPr>
              <w:t>SAEE</w:t>
            </w:r>
            <w:r w:rsidRPr="00647E22">
              <w:rPr>
                <w:rFonts w:eastAsiaTheme="minorEastAsia"/>
              </w:rPr>
              <w:t xml:space="preserve"> no nó </w:t>
            </w:r>
            <m:oMath>
              <m:r>
                <w:rPr>
                  <w:rFonts w:ascii="Cambria Math" w:eastAsia="Times New Roman" w:hAnsi="Cambria Math"/>
                  <w:color w:val="auto"/>
                  <w:lang w:eastAsia="pt-BR"/>
                </w:rPr>
                <m:t>b</m:t>
              </m:r>
            </m:oMath>
            <w:r w:rsidRPr="00130087">
              <w:rPr>
                <w:rFonts w:eastAsia="Times New Roman"/>
                <w:color w:val="auto"/>
                <w:lang w:eastAsia="pt-BR"/>
              </w:rPr>
              <w:t>.</w:t>
            </w:r>
          </w:p>
        </w:tc>
      </w:tr>
      <w:tr w:rsidR="002C3338" w:rsidRPr="00CB6587" w14:paraId="55B90E98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7B78D05" w14:textId="77777777" w:rsidR="002C3338" w:rsidRPr="007A63D1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SOC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SOC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7A9BCB4" w14:textId="77777777" w:rsidR="002C3338" w:rsidRPr="00647E22" w:rsidRDefault="002C3338" w:rsidP="00300A1C">
            <w:pPr>
              <w:pStyle w:val="Texto"/>
              <w:spacing w:after="120"/>
              <w:rPr>
                <w:rFonts w:eastAsiaTheme="minorEastAsia"/>
              </w:rPr>
            </w:pPr>
            <w:r w:rsidRPr="00647E22">
              <w:rPr>
                <w:rFonts w:eastAsiaTheme="minorEastAsia"/>
              </w:rPr>
              <w:t xml:space="preserve">SOC máximo/mínimo para o </w:t>
            </w:r>
            <w:r>
              <w:rPr>
                <w:rFonts w:eastAsiaTheme="minorEastAsia"/>
              </w:rPr>
              <w:t>VE</w:t>
            </w:r>
            <w:r w:rsidRPr="00647E22">
              <w:rPr>
                <w:rFonts w:eastAsiaTheme="minorEastAsia"/>
              </w:rPr>
              <w:t xml:space="preserve"> no nó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130087">
              <w:rPr>
                <w:rFonts w:eastAsia="Times New Roman"/>
                <w:color w:val="auto"/>
                <w:lang w:eastAsia="pt-BR"/>
              </w:rPr>
              <w:t>.</w:t>
            </w:r>
          </w:p>
        </w:tc>
      </w:tr>
      <w:tr w:rsidR="002C3338" w:rsidRPr="00CB6587" w14:paraId="48A462BD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771C8D1" w14:textId="77777777" w:rsidR="002C3338" w:rsidRPr="00130087" w:rsidRDefault="002C3338" w:rsidP="00300A1C">
            <w:pPr>
              <w:pStyle w:val="Texto"/>
              <w:spacing w:after="40" w:line="240" w:lineRule="auto"/>
              <w:jc w:val="left"/>
              <w:rPr>
                <w:rFonts w:eastAsia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SO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331CD79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eastAsia="pt-BR"/>
              </w:rPr>
            </w:pPr>
            <w:r w:rsidRPr="00647E22">
              <w:rPr>
                <w:rFonts w:eastAsia="Times New Roman"/>
                <w:color w:val="auto"/>
                <w:lang w:eastAsia="pt-BR"/>
              </w:rPr>
              <w:t xml:space="preserve">SOC mínimo do </w:t>
            </w:r>
            <w:r>
              <w:rPr>
                <w:rFonts w:eastAsia="Times New Roman"/>
                <w:color w:val="auto"/>
                <w:lang w:eastAsia="pt-BR"/>
              </w:rPr>
              <w:t>SAEE</w:t>
            </w:r>
            <w:r w:rsidRPr="00647E22">
              <w:rPr>
                <w:rFonts w:eastAsia="Times New Roman"/>
                <w:color w:val="auto"/>
                <w:lang w:eastAsia="pt-BR"/>
              </w:rPr>
              <w:t xml:space="preserve"> no nó </w:t>
            </w:r>
            <m:oMath>
              <m:r>
                <w:rPr>
                  <w:rFonts w:ascii="Cambria Math" w:eastAsia="Times New Roman" w:hAnsi="Cambria Math"/>
                  <w:color w:val="auto"/>
                  <w:lang w:eastAsia="pt-BR"/>
                </w:rPr>
                <m:t>b</m:t>
              </m:r>
            </m:oMath>
            <w:r w:rsidRPr="00130087">
              <w:rPr>
                <w:rFonts w:eastAsia="Times New Roman"/>
                <w:color w:val="auto"/>
                <w:lang w:eastAsia="pt-BR"/>
              </w:rPr>
              <w:t xml:space="preserve">, </w:t>
            </w:r>
            <w:r>
              <w:rPr>
                <w:rFonts w:eastAsia="Times New Roman"/>
                <w:color w:val="auto"/>
                <w:lang w:eastAsia="pt-BR"/>
              </w:rPr>
              <w:t>período</w:t>
            </w:r>
            <w:r w:rsidRPr="00130087">
              <w:rPr>
                <w:rFonts w:eastAsia="Times New Roman"/>
                <w:color w:val="auto"/>
                <w:lang w:eastAsia="pt-BR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color w:val="auto"/>
                  <w:lang w:eastAsia="pt-BR"/>
                </w:rPr>
                <m:t>τ</m:t>
              </m:r>
            </m:oMath>
            <w:r w:rsidRPr="00130087">
              <w:rPr>
                <w:rFonts w:eastAsia="Times New Roman"/>
                <w:i/>
                <w:iCs/>
                <w:color w:val="auto"/>
                <w:lang w:eastAsia="pt-BR"/>
              </w:rPr>
              <w:t>.</w:t>
            </w:r>
          </w:p>
        </w:tc>
      </w:tr>
      <w:tr w:rsidR="002C3338" w:rsidRPr="00CB6587" w14:paraId="75EF62B7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56CC6F2" w14:textId="77777777" w:rsidR="002C3338" w:rsidRPr="007A63D1" w:rsidRDefault="002C3338" w:rsidP="00300A1C">
            <w:pPr>
              <w:pStyle w:val="Texto"/>
              <w:spacing w:after="4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SO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VE,τv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9192D66" w14:textId="77777777" w:rsidR="002C3338" w:rsidRPr="00647E22" w:rsidRDefault="002C3338" w:rsidP="00300A1C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eastAsia="pt-BR"/>
              </w:rPr>
            </w:pPr>
            <w:r w:rsidRPr="00647E22">
              <w:rPr>
                <w:rFonts w:eastAsia="Times New Roman"/>
                <w:color w:val="auto"/>
                <w:lang w:eastAsia="pt-BR"/>
              </w:rPr>
              <w:t xml:space="preserve">SOC mínimo do </w:t>
            </w:r>
            <w:r>
              <w:rPr>
                <w:rFonts w:eastAsia="Times New Roman"/>
                <w:color w:val="auto"/>
                <w:lang w:eastAsia="pt-BR"/>
              </w:rPr>
              <w:t>VE</w:t>
            </w:r>
            <w:r w:rsidRPr="00647E22">
              <w:rPr>
                <w:rFonts w:eastAsia="Times New Roman"/>
                <w:color w:val="auto"/>
                <w:lang w:eastAsia="pt-BR"/>
              </w:rPr>
              <w:t xml:space="preserve"> no nó </w:t>
            </w:r>
            <m:oMath>
              <m:r>
                <w:rPr>
                  <w:rFonts w:ascii="Cambria Math" w:eastAsia="Times New Roman" w:hAnsi="Cambria Math"/>
                  <w:color w:val="auto"/>
                  <w:lang w:eastAsia="pt-BR"/>
                </w:rPr>
                <m:t>v</m:t>
              </m:r>
            </m:oMath>
            <w:r w:rsidRPr="00130087">
              <w:rPr>
                <w:rFonts w:eastAsia="Times New Roman"/>
                <w:color w:val="auto"/>
                <w:lang w:eastAsia="pt-BR"/>
              </w:rPr>
              <w:t xml:space="preserve">, </w:t>
            </w:r>
            <w:r>
              <w:rPr>
                <w:rFonts w:eastAsia="Times New Roman"/>
                <w:color w:val="auto"/>
                <w:lang w:eastAsia="pt-BR"/>
              </w:rPr>
              <w:t>período</w:t>
            </w:r>
            <w:r w:rsidRPr="00130087">
              <w:rPr>
                <w:rFonts w:eastAsia="Times New Roman"/>
                <w:color w:val="auto"/>
                <w:lang w:eastAsia="pt-BR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color w:val="auto"/>
                  <w:lang w:eastAsia="pt-BR"/>
                </w:rPr>
                <m:t>τv</m:t>
              </m:r>
            </m:oMath>
            <w:r w:rsidRPr="00130087">
              <w:rPr>
                <w:rFonts w:eastAsia="Times New Roman"/>
                <w:i/>
                <w:iCs/>
                <w:color w:val="auto"/>
                <w:lang w:eastAsia="pt-BR"/>
              </w:rPr>
              <w:t>.</w:t>
            </w:r>
          </w:p>
        </w:tc>
      </w:tr>
      <w:tr w:rsidR="002C3338" w:rsidRPr="00CB6587" w14:paraId="42410AC2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BAAFD50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SO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9C4E98F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eastAsia="pt-BR"/>
              </w:rPr>
            </w:pPr>
            <w:r w:rsidRPr="00647E22">
              <w:rPr>
                <w:rFonts w:eastAsia="Times New Roman"/>
                <w:color w:val="auto"/>
                <w:lang w:eastAsia="pt-BR"/>
              </w:rPr>
              <w:t xml:space="preserve">SOC inicial do ESS no nó </w:t>
            </w:r>
            <m:oMath>
              <m:r>
                <w:rPr>
                  <w:rFonts w:ascii="Cambria Math" w:eastAsia="Times New Roman" w:hAnsi="Cambria Math"/>
                  <w:color w:val="auto"/>
                  <w:lang w:eastAsia="pt-BR"/>
                </w:rPr>
                <m:t>b</m:t>
              </m:r>
            </m:oMath>
            <w:r w:rsidRPr="00130087">
              <w:rPr>
                <w:rFonts w:eastAsia="Times New Roman"/>
                <w:color w:val="auto"/>
                <w:lang w:eastAsia="pt-BR"/>
              </w:rPr>
              <w:t>.</w:t>
            </w:r>
          </w:p>
        </w:tc>
      </w:tr>
      <w:tr w:rsidR="002C3338" w:rsidRPr="00CB6587" w14:paraId="242AFCA7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4469F53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Times New Roman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ij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45B0DBE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eastAsia="pt-BR"/>
              </w:rPr>
            </w:pPr>
            <w:r w:rsidRPr="00647E22">
              <w:rPr>
                <w:rFonts w:eastAsia="Times New Roman"/>
                <w:color w:val="auto"/>
                <w:lang w:eastAsia="pt-BR"/>
              </w:rPr>
              <w:t>Magnitude máxima da corrente na linha</w:t>
            </w:r>
            <w:r w:rsidRPr="00130087">
              <w:rPr>
                <w:rFonts w:eastAsia="Times New Roman"/>
                <w:color w:val="auto"/>
                <w:lang w:eastAsia="pt-BR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color w:val="auto"/>
                  <w:lang w:eastAsia="pt-BR"/>
                </w:rPr>
                <m:t>ij</m:t>
              </m:r>
            </m:oMath>
            <w:r w:rsidRPr="00130087">
              <w:rPr>
                <w:rFonts w:eastAsia="Times New Roman"/>
                <w:color w:val="auto"/>
                <w:lang w:eastAsia="pt-BR"/>
              </w:rPr>
              <w:t>.</w:t>
            </w:r>
          </w:p>
        </w:tc>
      </w:tr>
      <w:tr w:rsidR="002C3338" w:rsidRPr="008F1E0E" w14:paraId="31EC85C2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02B6936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</w:rPr>
                      <m:t>V</m:t>
                    </m:r>
                  </m:e>
                </m:bar>
                <m:r>
                  <w:rPr>
                    <w:rFonts w:ascii="Cambria Math" w:eastAsia="Times New Roman" w:hAnsi="Cambria Math"/>
                  </w:rPr>
                  <m:t>/</m:t>
                </m:r>
                <m:bar>
                  <m:bar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</w:rPr>
                      <m:t>V</m:t>
                    </m:r>
                  </m:e>
                </m:ba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C700E97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eastAsia="pt-BR"/>
              </w:rPr>
            </w:pPr>
            <w:r w:rsidRPr="00647E22">
              <w:rPr>
                <w:rFonts w:eastAsiaTheme="minorEastAsia"/>
              </w:rPr>
              <w:t>Magnitude máxima/mínima da tensão</w:t>
            </w:r>
            <w:r w:rsidRPr="00130087">
              <w:rPr>
                <w:rFonts w:eastAsiaTheme="minorEastAsia"/>
              </w:rPr>
              <w:t>.</w:t>
            </w:r>
          </w:p>
        </w:tc>
      </w:tr>
      <w:tr w:rsidR="002C3338" w:rsidRPr="008F1E0E" w14:paraId="3A0B2E98" w14:textId="77777777" w:rsidTr="00300A1C">
        <w:trPr>
          <w:trHeight w:val="170"/>
        </w:trPr>
        <w:tc>
          <w:tcPr>
            <w:tcW w:w="5000" w:type="pct"/>
            <w:gridSpan w:val="2"/>
            <w:tcMar>
              <w:top w:w="11" w:type="dxa"/>
              <w:left w:w="57" w:type="dxa"/>
              <w:bottom w:w="11" w:type="dxa"/>
            </w:tcMar>
            <w:vAlign w:val="center"/>
          </w:tcPr>
          <w:p w14:paraId="59D42137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>
              <w:rPr>
                <w:b/>
              </w:rPr>
              <w:t>Variáveis</w:t>
            </w:r>
            <w:r w:rsidRPr="00130087">
              <w:rPr>
                <w:b/>
              </w:rPr>
              <w:t>:</w:t>
            </w:r>
          </w:p>
        </w:tc>
      </w:tr>
      <w:tr w:rsidR="002C3338" w:rsidRPr="008F1E0E" w14:paraId="104A7975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A076179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8333A25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</w:pPr>
            <w:r w:rsidRPr="00647E22">
              <w:t>Variável auxiliar para cálculo de CVaR</w:t>
            </w:r>
            <w:r w:rsidRPr="00130087">
              <w:t>.</w:t>
            </w:r>
          </w:p>
        </w:tc>
      </w:tr>
      <w:tr w:rsidR="002C3338" w:rsidRPr="00CB6587" w14:paraId="64CEE5E2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4223315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F0E5B3B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</w:pPr>
            <w:r w:rsidRPr="00647E22">
              <w:t>Variável auxiliar não negativa para cálculo d</w:t>
            </w:r>
            <w:r>
              <w:t>o</w:t>
            </w:r>
            <w:r w:rsidRPr="00647E22">
              <w:t xml:space="preserve"> CVaR </w:t>
            </w:r>
            <w:r>
              <w:t>no</w:t>
            </w:r>
            <w:r w:rsidRPr="00647E22">
              <w:t xml:space="preserve"> cenário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30087">
              <w:t>.</w:t>
            </w:r>
          </w:p>
        </w:tc>
      </w:tr>
      <w:tr w:rsidR="002C3338" w:rsidRPr="00CB6587" w14:paraId="7C0B5CA5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0560E41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06DB6D2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 w:rsidRPr="00647E22">
              <w:t xml:space="preserve">Custo operacional no cenário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30087">
              <w:t>.</w:t>
            </w:r>
          </w:p>
        </w:tc>
      </w:tr>
      <w:tr w:rsidR="002C3338" w:rsidRPr="008F1E0E" w14:paraId="4FB77F44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AEE1549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CVaR</m:t>
                </m:r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AB3685C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 w:rsidRPr="00647E22">
              <w:t xml:space="preserve">Valor </w:t>
            </w:r>
            <w:r>
              <w:t>c</w:t>
            </w:r>
            <w:r w:rsidRPr="00647E22">
              <w:t xml:space="preserve">ondicional em </w:t>
            </w:r>
            <w:r>
              <w:t>r</w:t>
            </w:r>
            <w:r w:rsidRPr="00647E22">
              <w:t>isco</w:t>
            </w:r>
            <w:r w:rsidRPr="00130087">
              <w:t>.</w:t>
            </w:r>
          </w:p>
        </w:tc>
      </w:tr>
      <w:tr w:rsidR="002C3338" w:rsidRPr="00CB6587" w14:paraId="09EC25D5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D9A38A2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g,t,s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07B6C07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>
              <w:rPr>
                <w:rFonts w:eastAsia="Calibri"/>
                <w:bCs w:val="0"/>
                <w:lang w:eastAsia="pt-BR"/>
              </w:rPr>
              <w:t>Nível de combustível</w:t>
            </w:r>
            <w:r w:rsidRPr="00647E22">
              <w:rPr>
                <w:rFonts w:eastAsia="Calibri"/>
                <w:bCs w:val="0"/>
                <w:lang w:eastAsia="pt-BR"/>
              </w:rPr>
              <w:t xml:space="preserve"> </w:t>
            </w:r>
            <w:r>
              <w:rPr>
                <w:rFonts w:eastAsia="Calibri"/>
                <w:bCs w:val="0"/>
                <w:lang w:eastAsia="pt-BR"/>
              </w:rPr>
              <w:t>do GC</w:t>
            </w:r>
            <w:r w:rsidRPr="00647E22">
              <w:rPr>
                <w:rFonts w:eastAsia="Calibri"/>
                <w:bCs w:val="0"/>
                <w:lang w:eastAsia="pt-BR"/>
              </w:rPr>
              <w:t xml:space="preserve"> nó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g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</w:t>
            </w:r>
            <w:r>
              <w:rPr>
                <w:rFonts w:eastAsia="Calibri"/>
                <w:bCs w:val="0"/>
                <w:lang w:eastAsia="pt-BR"/>
              </w:rPr>
              <w:t xml:space="preserve">período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>.</w:t>
            </w:r>
          </w:p>
        </w:tc>
      </w:tr>
      <w:tr w:rsidR="002C3338" w:rsidRPr="00CB6587" w14:paraId="0922E0D8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3741553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PV</m:t>
                    </m:r>
                  </m:sup>
                </m:sSubSup>
                <m:r>
                  <w:rPr>
                    <w:rFonts w:ascii="Cambria Math" w:eastAsia="Calibri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WT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762ECCA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 w:rsidRPr="00647E22">
              <w:rPr>
                <w:rFonts w:eastAsia="Calibri"/>
                <w:bCs w:val="0"/>
                <w:lang w:eastAsia="pt-BR"/>
              </w:rPr>
              <w:t xml:space="preserve">Fator de geração </w:t>
            </w:r>
            <w:r>
              <w:rPr>
                <w:rFonts w:eastAsia="Calibri"/>
                <w:bCs w:val="0"/>
                <w:lang w:eastAsia="pt-BR"/>
              </w:rPr>
              <w:t>solar</w:t>
            </w:r>
            <w:r w:rsidRPr="00647E22">
              <w:rPr>
                <w:rFonts w:eastAsia="Calibri"/>
                <w:bCs w:val="0"/>
                <w:lang w:eastAsia="pt-BR"/>
              </w:rPr>
              <w:t>/</w:t>
            </w:r>
            <w:r>
              <w:rPr>
                <w:rFonts w:eastAsia="Calibri"/>
                <w:bCs w:val="0"/>
                <w:lang w:eastAsia="pt-BR"/>
              </w:rPr>
              <w:t>eólico</w:t>
            </w:r>
            <w:r w:rsidRPr="00647E22">
              <w:rPr>
                <w:rFonts w:eastAsia="Calibri"/>
                <w:bCs w:val="0"/>
                <w:lang w:eastAsia="pt-BR"/>
              </w:rPr>
              <w:t xml:space="preserve"> no período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>.</w:t>
            </w:r>
          </w:p>
        </w:tc>
      </w:tr>
      <w:tr w:rsidR="002C3338" w:rsidRPr="00CB6587" w14:paraId="12768AED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A1881AF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ij,t,s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sqr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933C76E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i/>
                <w:lang w:eastAsia="pt-BR"/>
              </w:rPr>
            </w:pPr>
            <w:r w:rsidRPr="00647E22">
              <w:rPr>
                <w:rFonts w:eastAsia="Calibri"/>
                <w:bCs w:val="0"/>
                <w:lang w:eastAsia="pt-BR"/>
              </w:rPr>
              <w:t>Quadrado da corrente na linha</w:t>
            </w:r>
            <w:r w:rsidRPr="00130087">
              <w:rPr>
                <w:rFonts w:eastAsia="Calibri"/>
                <w:bCs w:val="0"/>
                <w:lang w:eastAsia="pt-BR"/>
              </w:rPr>
              <w:t xml:space="preserve">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ij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>,</w:t>
            </w:r>
            <w:r w:rsidRPr="0013008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período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420A0C65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8BC4FE8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pacing w:val="-100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pacing w:val="-100"/>
                      </w:rPr>
                      <m:t>g</m:t>
                    </m:r>
                    <m:r>
                      <w:rPr>
                        <w:rFonts w:ascii="Cambria Math" w:eastAsia="Times New Roman" w:hAnsi="Cambria Math"/>
                      </w:rPr>
                      <m:t>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DG</m:t>
                    </m:r>
                  </m:sup>
                </m:sSubSup>
                <m:r>
                  <w:rPr>
                    <w:rFonts w:ascii="Cambria Math" w:eastAsia="Calibri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-1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pacing w:val="-100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,t,s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B525EC3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 w:rsidRPr="00647E22">
              <w:rPr>
                <w:rFonts w:eastAsia="Calibri"/>
                <w:bCs w:val="0"/>
                <w:lang w:eastAsia="pt-BR"/>
              </w:rPr>
              <w:t>Geração ativa/reativa do G</w:t>
            </w:r>
            <w:r>
              <w:rPr>
                <w:rFonts w:eastAsia="Calibri"/>
                <w:bCs w:val="0"/>
                <w:lang w:eastAsia="pt-BR"/>
              </w:rPr>
              <w:t>C</w:t>
            </w:r>
            <w:r w:rsidRPr="00647E22">
              <w:rPr>
                <w:rFonts w:eastAsia="Calibri"/>
                <w:bCs w:val="0"/>
                <w:lang w:eastAsia="pt-BR"/>
              </w:rPr>
              <w:t xml:space="preserve"> no nó</w:t>
            </w:r>
            <w:r w:rsidRPr="00130087">
              <w:rPr>
                <w:rFonts w:eastAsia="Calibri"/>
                <w:bCs w:val="0"/>
                <w:lang w:eastAsia="pt-BR"/>
              </w:rPr>
              <w:t xml:space="preserve">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g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</w:t>
            </w:r>
            <w:r>
              <w:rPr>
                <w:color w:val="auto"/>
              </w:rPr>
              <w:t xml:space="preserve">período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5EE51F29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68A6951" w14:textId="77777777" w:rsidR="002C3338" w:rsidRPr="00130087" w:rsidRDefault="002C3338" w:rsidP="00300A1C">
            <w:pPr>
              <w:pStyle w:val="Texto"/>
              <w:spacing w:after="2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pacing w:val="-100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</w:rPr>
                      <m:t>b,t,s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ESS,c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</w:rPr>
                      <m:t>b,t,s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ESS,d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6F70E1C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>
              <w:rPr>
                <w:rFonts w:eastAsia="Calibri"/>
                <w:bCs w:val="0"/>
                <w:lang w:eastAsia="pt-BR"/>
              </w:rPr>
              <w:t>Potência de carga</w:t>
            </w:r>
            <w:r w:rsidRPr="00647E22">
              <w:rPr>
                <w:rFonts w:eastAsia="Calibri"/>
                <w:bCs w:val="0"/>
                <w:lang w:eastAsia="pt-BR"/>
              </w:rPr>
              <w:t xml:space="preserve">/descarga </w:t>
            </w:r>
            <w:r>
              <w:rPr>
                <w:rFonts w:eastAsia="Calibri"/>
                <w:bCs w:val="0"/>
                <w:lang w:eastAsia="pt-BR"/>
              </w:rPr>
              <w:t>do SAEE</w:t>
            </w:r>
            <w:r w:rsidRPr="00647E22">
              <w:rPr>
                <w:rFonts w:eastAsia="Calibri"/>
                <w:bCs w:val="0"/>
                <w:lang w:eastAsia="pt-BR"/>
              </w:rPr>
              <w:t xml:space="preserve"> no nó</w:t>
            </w:r>
            <w:r w:rsidRPr="00130087">
              <w:rPr>
                <w:rFonts w:eastAsia="Calibri"/>
                <w:bCs w:val="0"/>
                <w:lang w:eastAsia="pt-BR"/>
              </w:rPr>
              <w:t xml:space="preserve">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b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25E55F4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6E963AE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S</m:t>
                    </m:r>
                  </m:sup>
                </m:sSubSup>
                <m:r>
                  <w:rPr>
                    <w:rFonts w:ascii="Cambria Math" w:eastAsia="Calibri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2A1C063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 w:rsidRPr="00647E22">
              <w:rPr>
                <w:rFonts w:eastAsia="Calibri"/>
                <w:bCs w:val="0"/>
                <w:lang w:eastAsia="pt-BR"/>
              </w:rPr>
              <w:t xml:space="preserve">Potência ativa/reativa </w:t>
            </w:r>
            <w:r>
              <w:rPr>
                <w:rFonts w:eastAsia="Calibri"/>
                <w:bCs w:val="0"/>
                <w:lang w:eastAsia="pt-BR"/>
              </w:rPr>
              <w:t xml:space="preserve">comprada </w:t>
            </w:r>
            <w:r w:rsidRPr="00647E22">
              <w:rPr>
                <w:rFonts w:eastAsia="Calibri"/>
                <w:bCs w:val="0"/>
                <w:lang w:eastAsia="pt-BR"/>
              </w:rPr>
              <w:t>da subestação</w:t>
            </w:r>
            <w:r>
              <w:rPr>
                <w:rFonts w:eastAsia="Calibri"/>
                <w:bCs w:val="0"/>
                <w:lang w:eastAsia="pt-BR"/>
              </w:rPr>
              <w:t xml:space="preserve"> no nó</w:t>
            </w:r>
            <w:r w:rsidRPr="00130087">
              <w:rPr>
                <w:rFonts w:eastAsia="Calibri"/>
                <w:bCs w:val="0"/>
                <w:lang w:eastAsia="pt-BR"/>
              </w:rPr>
              <w:t xml:space="preserve">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i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65044AB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8145020" w14:textId="77777777" w:rsidR="002C3338" w:rsidRPr="003E7348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pacing w:val="-100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pacing w:val="-100"/>
                      </w:rPr>
                      <m:t>v</m:t>
                    </m:r>
                    <m:r>
                      <w:rPr>
                        <w:rFonts w:ascii="Cambria Math" w:eastAsia="Times New Roman" w:hAnsi="Cambria Math"/>
                      </w:rPr>
                      <m:t>,t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VE,c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pacing w:val="-100"/>
                      </w:rPr>
                      <m:t>v</m:t>
                    </m:r>
                    <m:r>
                      <w:rPr>
                        <w:rFonts w:ascii="Cambria Math" w:eastAsia="Times New Roman" w:hAnsi="Cambria Math"/>
                      </w:rPr>
                      <m:t>,t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VE,d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E52B757" w14:textId="77777777" w:rsidR="002C3338" w:rsidRPr="00647E22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>
              <w:rPr>
                <w:rFonts w:eastAsia="Calibri"/>
                <w:bCs w:val="0"/>
                <w:lang w:eastAsia="pt-BR"/>
              </w:rPr>
              <w:t>Potência de carga</w:t>
            </w:r>
            <w:r w:rsidRPr="00647E22">
              <w:rPr>
                <w:rFonts w:eastAsia="Calibri"/>
                <w:bCs w:val="0"/>
                <w:lang w:eastAsia="pt-BR"/>
              </w:rPr>
              <w:t xml:space="preserve">/descarga </w:t>
            </w:r>
            <w:r>
              <w:rPr>
                <w:rFonts w:eastAsia="Calibri"/>
                <w:bCs w:val="0"/>
                <w:lang w:eastAsia="pt-BR"/>
              </w:rPr>
              <w:t>do VE</w:t>
            </w:r>
            <w:r w:rsidRPr="00647E22">
              <w:rPr>
                <w:rFonts w:eastAsia="Calibri"/>
                <w:bCs w:val="0"/>
                <w:lang w:eastAsia="pt-BR"/>
              </w:rPr>
              <w:t xml:space="preserve"> no nó</w:t>
            </w:r>
            <w:r w:rsidRPr="00130087">
              <w:rPr>
                <w:rFonts w:eastAsia="Calibri"/>
                <w:bCs w:val="0"/>
                <w:lang w:eastAsia="pt-BR"/>
              </w:rPr>
              <w:t xml:space="preserve">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v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0F25E1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0673993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ij,t,s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ij,t,s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31893FF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 w:rsidRPr="00647E22">
              <w:rPr>
                <w:rFonts w:eastAsia="Calibri"/>
                <w:bCs w:val="0"/>
                <w:lang w:eastAsia="pt-BR"/>
              </w:rPr>
              <w:t xml:space="preserve">Fluxo de potência ativa/reativa </w:t>
            </w:r>
            <w:r>
              <w:rPr>
                <w:rFonts w:eastAsia="Calibri"/>
                <w:bCs w:val="0"/>
                <w:lang w:eastAsia="pt-BR"/>
              </w:rPr>
              <w:t>na</w:t>
            </w:r>
            <w:r w:rsidRPr="00647E22">
              <w:rPr>
                <w:rFonts w:eastAsia="Calibri"/>
                <w:bCs w:val="0"/>
                <w:lang w:eastAsia="pt-BR"/>
              </w:rPr>
              <w:t xml:space="preserve"> linha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ij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7F33248A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D0FE0D6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LS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5314BBA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</w:pPr>
            <w:r>
              <w:t>Corte de carga no nó</w:t>
            </w:r>
            <w:r w:rsidRPr="00130087"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130087"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656084F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80DB9A4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b,t,s</m:t>
                    </m:r>
                  </m:sub>
                </m:sSub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197BDFD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</w:pPr>
            <w:r w:rsidRPr="00647E22">
              <w:t xml:space="preserve">SOC do </w:t>
            </w:r>
            <w:r>
              <w:t>SAEE</w:t>
            </w:r>
            <w:r w:rsidRPr="00647E22">
              <w:t xml:space="preserve"> no nó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130087"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  <w:tr w:rsidR="002C3338" w:rsidRPr="00CB6587" w14:paraId="4E1B60A0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2D949CD" w14:textId="77777777" w:rsidR="002C3338" w:rsidRPr="00894DE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SimSun" w:hAnsi="Cambria Math"/>
                        <w:i/>
                        <w:lang w:eastAsia="pt-B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4F10A0D" w14:textId="77777777" w:rsidR="002C3338" w:rsidRPr="00647E22" w:rsidRDefault="002C3338" w:rsidP="00300A1C">
            <w:pPr>
              <w:pStyle w:val="Texto"/>
              <w:spacing w:after="0" w:line="240" w:lineRule="auto"/>
              <w:jc w:val="left"/>
            </w:pPr>
            <w:r>
              <w:rPr>
                <w:rFonts w:eastAsiaTheme="minorEastAsia"/>
                <w:lang w:eastAsia="pt-BR"/>
              </w:rPr>
              <w:t xml:space="preserve">Variável binaria que indica o estado dos </w:t>
            </w:r>
            <w:proofErr w:type="spellStart"/>
            <w:r>
              <w:rPr>
                <w:rFonts w:eastAsiaTheme="minorEastAsia"/>
                <w:lang w:eastAsia="pt-BR"/>
              </w:rPr>
              <w:t>GCs</w:t>
            </w:r>
            <w:proofErr w:type="spellEnd"/>
            <w:r>
              <w:rPr>
                <w:rFonts w:eastAsiaTheme="minorEastAsia"/>
                <w:lang w:eastAsia="pt-BR"/>
              </w:rPr>
              <w:t xml:space="preserve"> no período </w:t>
            </w:r>
            <m:oMath>
              <m:r>
                <w:rPr>
                  <w:rFonts w:ascii="Cambria Math" w:eastAsiaTheme="minorEastAsia" w:hAnsi="Cambria Math"/>
                  <w:lang w:eastAsia="pt-BR"/>
                </w:rPr>
                <m:t>t</m:t>
              </m:r>
            </m:oMath>
          </w:p>
        </w:tc>
      </w:tr>
      <w:tr w:rsidR="002C3338" w:rsidRPr="00CB6587" w14:paraId="46549EB3" w14:textId="77777777" w:rsidTr="00300A1C">
        <w:trPr>
          <w:trHeight w:val="170"/>
        </w:trPr>
        <w:tc>
          <w:tcPr>
            <w:tcW w:w="853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B56B40B" w14:textId="77777777" w:rsidR="002C3338" w:rsidRPr="00130087" w:rsidRDefault="002C3338" w:rsidP="00300A1C">
            <w:pPr>
              <w:pStyle w:val="Texto"/>
              <w:spacing w:after="0" w:line="240" w:lineRule="auto"/>
              <w:jc w:val="left"/>
              <w:rPr>
                <w:rFonts w:eastAsia="Calibri"/>
                <w:i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sqr</m:t>
                    </m:r>
                  </m:sup>
                </m:sSubSup>
              </m:oMath>
            </m:oMathPara>
          </w:p>
        </w:tc>
        <w:tc>
          <w:tcPr>
            <w:tcW w:w="414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845BC47" w14:textId="77777777" w:rsidR="002C3338" w:rsidRPr="00130087" w:rsidRDefault="002C3338" w:rsidP="00300A1C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lang w:eastAsia="pt-BR"/>
              </w:rPr>
            </w:pPr>
            <w:r w:rsidRPr="00647E22">
              <w:rPr>
                <w:rFonts w:eastAsia="Calibri"/>
                <w:bCs w:val="0"/>
                <w:lang w:eastAsia="pt-BR"/>
              </w:rPr>
              <w:t xml:space="preserve">Quadrado da magnitude da tensão no nó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i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</w:t>
            </w:r>
            <w:r>
              <w:rPr>
                <w:color w:val="auto"/>
              </w:rPr>
              <w:t>período</w:t>
            </w:r>
            <w:r w:rsidRPr="00130087">
              <w:rPr>
                <w:color w:val="auto"/>
              </w:rPr>
              <w:t xml:space="preserve"> </w:t>
            </w:r>
            <m:oMath>
              <m:r>
                <w:rPr>
                  <w:rFonts w:ascii="Cambria Math" w:hAnsi="Cambria Math"/>
                  <w:color w:val="auto"/>
                </w:rPr>
                <m:t>t</m:t>
              </m:r>
            </m:oMath>
            <w:r w:rsidRPr="00130087">
              <w:rPr>
                <w:rFonts w:eastAsia="Calibri"/>
                <w:bCs w:val="0"/>
                <w:lang w:eastAsia="pt-BR"/>
              </w:rPr>
              <w:t xml:space="preserve">, cenário </w:t>
            </w:r>
            <m:oMath>
              <m:r>
                <w:rPr>
                  <w:rFonts w:ascii="Cambria Math" w:eastAsia="Calibri" w:hAnsi="Cambria Math"/>
                  <w:lang w:eastAsia="pt-BR"/>
                </w:rPr>
                <m:t>s</m:t>
              </m:r>
            </m:oMath>
            <w:r w:rsidRPr="00130087">
              <w:rPr>
                <w:color w:val="auto"/>
              </w:rPr>
              <w:t>.</w:t>
            </w:r>
          </w:p>
        </w:tc>
      </w:tr>
    </w:tbl>
    <w:p w14:paraId="5341EB97" w14:textId="77777777" w:rsidR="002C3338" w:rsidRDefault="002C3338"/>
    <w:sectPr w:rsidR="002C3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38"/>
    <w:rsid w:val="00030D32"/>
    <w:rsid w:val="001D323D"/>
    <w:rsid w:val="00294F5B"/>
    <w:rsid w:val="002C3338"/>
    <w:rsid w:val="00580D94"/>
    <w:rsid w:val="00676F86"/>
    <w:rsid w:val="007F2585"/>
    <w:rsid w:val="008A4407"/>
    <w:rsid w:val="00984C60"/>
    <w:rsid w:val="00A7769C"/>
    <w:rsid w:val="00A87B74"/>
    <w:rsid w:val="00C2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C0B5"/>
  <w15:chartTrackingRefBased/>
  <w15:docId w15:val="{72BDB0CA-35E2-407A-A274-BBDAEF59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38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3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3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3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3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3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33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3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3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3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3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3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33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33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33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3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3338"/>
    <w:rPr>
      <w:b/>
      <w:bCs/>
      <w:smallCaps/>
      <w:color w:val="2F5496" w:themeColor="accent1" w:themeShade="BF"/>
      <w:spacing w:val="5"/>
    </w:rPr>
  </w:style>
  <w:style w:type="paragraph" w:customStyle="1" w:styleId="Texto">
    <w:name w:val="Texto"/>
    <w:qFormat/>
    <w:rsid w:val="002C3338"/>
    <w:pPr>
      <w:suppressAutoHyphens/>
      <w:spacing w:after="200" w:line="360" w:lineRule="auto"/>
      <w:jc w:val="both"/>
    </w:pPr>
    <w:rPr>
      <w:rFonts w:ascii="Times New Roman" w:eastAsia="Droid Sans Fallback" w:hAnsi="Times New Roman" w:cs="Times New Roman"/>
      <w:bCs/>
      <w:color w:val="00000A"/>
      <w:sz w:val="24"/>
      <w:szCs w:val="24"/>
    </w:rPr>
  </w:style>
  <w:style w:type="table" w:styleId="Tablaconcuadrcula">
    <w:name w:val="Table Grid"/>
    <w:basedOn w:val="Tablanormal"/>
    <w:uiPriority w:val="39"/>
    <w:rsid w:val="002C333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Agudo</dc:creator>
  <cp:keywords/>
  <dc:description/>
  <cp:lastModifiedBy>Patricio Agudo</cp:lastModifiedBy>
  <cp:revision>1</cp:revision>
  <dcterms:created xsi:type="dcterms:W3CDTF">2025-02-13T18:15:00Z</dcterms:created>
  <dcterms:modified xsi:type="dcterms:W3CDTF">2025-02-13T18:16:00Z</dcterms:modified>
</cp:coreProperties>
</file>