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Predios fiscales candidatos a venta — Chile 2026</w:t>
      </w:r>
    </w:p>
    <w:p>
      <w:r>
        <w:rPr>
          <w:i/>
        </w:rPr>
        <w:t>Identificación, metodología y valorización de la cartera vendible del Estado</w:t>
      </w:r>
    </w:p>
    <w:p>
      <w:r>
        <w:t>Informe para evaluación de inversión · 29-06-2026</w:t>
      </w:r>
    </w:p>
    <w:p/>
    <w:p>
      <w:pPr>
        <w:pStyle w:val="Heading1"/>
      </w:pPr>
      <w:r>
        <w:t>Resumen ejecutivo</w:t>
      </w:r>
    </w:p>
    <w:p>
      <w:r>
        <w:rPr>
          <w:b w:val="0"/>
          <w:i w:val="0"/>
        </w:rPr>
        <w:t>El gobierno de Chile (administración Kast, desde marzo de 2026) anunció un plan de venta masiva de inmuebles fiscales —unas 1.200 propiedades, primer paquete de ~350 a licitar a fines de 2026— para recaudar US$200–300 millones y restituir los fondos soberanos. La nómina oficial aún no es pública.</w:t>
      </w:r>
    </w:p>
    <w:p>
      <w:r>
        <w:rPr>
          <w:b/>
          <w:i w:val="0"/>
        </w:rPr>
        <w:t>Este informe reconstruye, a partir del catastro oficial georreferenciado del Estado, el universo de predios que con mayor probabilidad integrarán ese plan: 1.612 predios vendibles en las cinco regiones de foco, con su rol SII, superficie, tipo de tenencia y una estimación de valor de mercado y de avalúo fiscal. No es la lista oficial; es una estimación basada en datos públicos del propio Estado, reproducible y auditable.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Indicador</w:t>
            </w:r>
          </w:p>
        </w:tc>
        <w:tc>
          <w:tcPr>
            <w:tcW w:type="dxa" w:w="4320"/>
          </w:tcPr>
          <w:p>
            <w:r>
              <w:rPr>
                <w:b/>
              </w:rPr>
              <w:t>Valor</w:t>
            </w:r>
          </w:p>
        </w:tc>
      </w:tr>
      <w:tr>
        <w:tc>
          <w:tcPr>
            <w:tcW w:type="dxa" w:w="4320"/>
          </w:tcPr>
          <w:p>
            <w:r>
              <w:t>Predios vendibles identificados</w:t>
            </w:r>
          </w:p>
        </w:tc>
        <w:tc>
          <w:tcPr>
            <w:tcW w:type="dxa" w:w="4320"/>
          </w:tcPr>
          <w:p>
            <w:r>
              <w:t>1.612</w:t>
            </w:r>
          </w:p>
        </w:tc>
      </w:tr>
      <w:tr>
        <w:tc>
          <w:tcPr>
            <w:tcW w:type="dxa" w:w="4320"/>
          </w:tcPr>
          <w:p>
            <w:r>
              <w:t>Valor de mercado estimado (suelo)</w:t>
            </w:r>
          </w:p>
        </w:tc>
        <w:tc>
          <w:tcPr>
            <w:tcW w:type="dxa" w:w="4320"/>
          </w:tcPr>
          <w:p>
            <w:r>
              <w:t>≈ US$ 2.681 MM</w:t>
            </w:r>
          </w:p>
        </w:tc>
      </w:tr>
      <w:tr>
        <w:tc>
          <w:tcPr>
            <w:tcW w:type="dxa" w:w="4320"/>
          </w:tcPr>
          <w:p>
            <w:r>
              <w:t>Avalúo fiscal estimado (≈50%)</w:t>
            </w:r>
          </w:p>
        </w:tc>
        <w:tc>
          <w:tcPr>
            <w:tcW w:type="dxa" w:w="4320"/>
          </w:tcPr>
          <w:p>
            <w:r>
              <w:t>≈ US$ 1.341 MM</w:t>
            </w:r>
          </w:p>
        </w:tc>
      </w:tr>
      <w:tr>
        <w:tc>
          <w:tcPr>
            <w:tcW w:type="dxa" w:w="4320"/>
          </w:tcPr>
          <w:p>
            <w:r>
              <w:t>Predios Tier 1 (disponibles/recuperables)</w:t>
            </w:r>
          </w:p>
        </w:tc>
        <w:tc>
          <w:tcPr>
            <w:tcW w:type="dxa" w:w="4320"/>
          </w:tcPr>
          <w:p>
            <w:r>
              <w:t>469  (US$ 1.336 MM)</w:t>
            </w:r>
          </w:p>
        </w:tc>
      </w:tr>
      <w:tr>
        <w:tc>
          <w:tcPr>
            <w:tcW w:type="dxa" w:w="4320"/>
          </w:tcPr>
          <w:p>
            <w:r>
              <w:t>Regiones cubiertas</w:t>
            </w:r>
          </w:p>
        </w:tc>
        <w:tc>
          <w:tcPr>
            <w:tcW w:type="dxa" w:w="4320"/>
          </w:tcPr>
          <w:p>
            <w:r>
              <w:t>RM, Valparaíso, Biobío, Tarapacá, Antofagasta</w:t>
            </w:r>
          </w:p>
        </w:tc>
      </w:tr>
    </w:tbl>
    <w:p>
      <w:pPr>
        <w:pStyle w:val="Heading1"/>
      </w:pPr>
      <w:r>
        <w:t>1. Tesis: por qué estos predios</w:t>
      </w:r>
    </w:p>
    <w:p>
      <w:r>
        <w:rPr>
          <w:b w:val="0"/>
          <w:i w:val="0"/>
        </w:rPr>
        <w:t>La hipótesis central es que el plan de venta no puede sino nutrirse del subconjunto del patrimonio fiscal que es jurídica y prácticamente enajenable. Ese subconjunto es identificable hoy, antes de la nómina oficial, porque el Estado mantiene un catastro público de cada inmueble que administra, con su situación jurídica (tenencia). El razonamiento:</w:t>
      </w:r>
    </w:p>
    <w:p>
      <w:pPr>
        <w:pStyle w:val="ListNumber"/>
      </w:pPr>
      <w:r>
        <w:t>El Estado solo puede vender bienes fiscales enajenables. Quedan fuera, por ley, los bienes nacionales de uso público (playas, caminos, plazas) y las áreas protegidas (SNASPE). El catastro permite separarlos.</w:t>
      </w:r>
    </w:p>
    <w:p>
      <w:pPr>
        <w:pStyle w:val="ListNumber"/>
      </w:pPr>
      <w:r>
        <w:t>Dentro de lo fiscal, lo realmente vendible es lo que NO está en uso por un servicio público. Un inmueble con "destinación" (lo usa un ministerio/servicio) o "afectación" (obra vial) no se vende; uno "disponible" o con una concesión gratuita terminable, sí.</w:t>
      </w:r>
    </w:p>
    <w:p>
      <w:pPr>
        <w:pStyle w:val="ListNumber"/>
      </w:pPr>
      <w:r>
        <w:t>El propio gobierno declaró el foco: herencias vacantes e inmuebles sin destino, urbanos, concentrados en regiones específicas, y la recuperación de concesiones subutilizadas (el caso emblemático del refugio de La Parva, una concesión gratuita que se recupera para vender).</w:t>
      </w:r>
    </w:p>
    <w:p>
      <w:pPr>
        <w:pStyle w:val="ListNumber"/>
      </w:pPr>
      <w:r>
        <w:t>Por lo tanto, filtrando el catastro por esos mismos criterios se obtiene el conjunto de candidatos probables. Coincide en escala con las cifras oficiales: el plan habla de ~1.200 propiedades; la capa central del catastro tiene 1.253. Esa correspondencia no es casual: es la misma cartera.</w:t>
      </w:r>
    </w:p>
    <w:p>
      <w:r>
        <w:rPr>
          <w:b/>
          <w:i w:val="0"/>
        </w:rPr>
        <w:t>Conclusión de la tesis: los predios de este informe son los candidatos porque son, simultáneamente, (a) propiedad fiscal, (b) en situación jurídica que permite la venta, (c) del tipo y la ubicación que el gobierno declaró priorizar. Cualquier predio del plan oficial debería estar contenido en este universo.</w:t>
      </w:r>
    </w:p>
    <w:p>
      <w:pPr>
        <w:pStyle w:val="Heading1"/>
      </w:pPr>
      <w:r>
        <w:t>2. Metodología</w:t>
      </w:r>
    </w:p>
    <w:p>
      <w:pPr>
        <w:pStyle w:val="Heading2"/>
      </w:pPr>
      <w:r>
        <w:t>2.1 Fuentes — solo datos oficiales del Estado</w:t>
      </w:r>
    </w:p>
    <w:p>
      <w:pPr>
        <w:pStyle w:val="ListBullet"/>
      </w:pPr>
      <w:r>
        <w:t>Catastro Nacional de los Bienes del Estado, capa "Propiedad Fiscal Administrada" del Ministerio de Bienes Nacionales (MBN), publicada como servicios geográficos ArcGIS REST de acceso público.</w:t>
      </w:r>
    </w:p>
    <w:p>
      <w:pPr>
        <w:pStyle w:val="ListBullet"/>
      </w:pPr>
      <w:r>
        <w:t>Cobertura usada: capa nacional central (RM, Valparaíso, Biobío; 1.253 predios) con campo de tenencia (MODO) estructurado; capas regionales de Tarapacá (315) y Antofagasta (2.940).</w:t>
      </w:r>
    </w:p>
    <w:p>
      <w:pPr>
        <w:pStyle w:val="ListBullet"/>
      </w:pPr>
      <w:r>
        <w:t>Marco normativo del plan: DL 1.939/1977 y declaraciones oficiales de Hacienda y MBN (abril–junio 2026), prensa especializada (CIPER, Diario Financiero, La Tercera, BioBioChile).</w:t>
      </w:r>
    </w:p>
    <w:p>
      <w:pPr>
        <w:pStyle w:val="Heading2"/>
      </w:pPr>
      <w:r>
        <w:t>2.2 Extracción</w:t>
      </w:r>
    </w:p>
    <w:p>
      <w:r>
        <w:rPr>
          <w:b w:val="0"/>
          <w:i w:val="0"/>
        </w:rPr>
        <w:t>Se consultó directamente la API REST del catastro (paginando la totalidad de registros de cada capa) y se descargaron todos los atributos por predio: rol SII, comuna, región, superficie, nombre/dirección y situación administrativa. El procedimiento es reproducible: cualquier tercero puede repetir la consulta y obtener los mismos registros.</w:t>
      </w:r>
    </w:p>
    <w:p>
      <w:pPr>
        <w:pStyle w:val="Heading2"/>
      </w:pPr>
      <w:r>
        <w:t>2.3 Clasificación por situación jurídica (tenencia)</w:t>
      </w:r>
    </w:p>
    <w:p>
      <w:r>
        <w:rPr>
          <w:b w:val="0"/>
          <w:i w:val="0"/>
        </w:rPr>
        <w:t>Cada predio se clasificó según su campo de tenencia (MODO) en tres niveles de vendibilidad: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Nivel</w:t>
            </w:r>
          </w:p>
        </w:tc>
        <w:tc>
          <w:tcPr>
            <w:tcW w:type="dxa" w:w="2880"/>
          </w:tcPr>
          <w:p>
            <w:r>
              <w:rPr>
                <w:b/>
              </w:rPr>
              <w:t>Situación (MODO)</w:t>
            </w:r>
          </w:p>
        </w:tc>
        <w:tc>
          <w:tcPr>
            <w:tcW w:type="dxa" w:w="2880"/>
          </w:tcPr>
          <w:p>
            <w:r>
              <w:rPr>
                <w:b/>
              </w:rPr>
              <w:t>Lógica</w:t>
            </w:r>
          </w:p>
        </w:tc>
      </w:tr>
      <w:tr>
        <w:tc>
          <w:tcPr>
            <w:tcW w:type="dxa" w:w="2880"/>
          </w:tcPr>
          <w:p>
            <w:r>
              <w:t>Tier 1 — Vendible</w:t>
            </w:r>
          </w:p>
        </w:tc>
        <w:tc>
          <w:tcPr>
            <w:tcW w:type="dxa" w:w="2880"/>
          </w:tcPr>
          <w:p>
            <w:r>
              <w:t>Disponible (sin acto) / Concesión gratuita de corto plazo</w:t>
            </w:r>
          </w:p>
        </w:tc>
        <w:tc>
          <w:tcPr>
            <w:tcW w:type="dxa" w:w="2880"/>
          </w:tcPr>
          <w:p>
            <w:r>
              <w:t>Sin tercero o con concesión fácilmente recuperable (precedente La Parva)</w:t>
            </w:r>
          </w:p>
        </w:tc>
      </w:tr>
      <w:tr>
        <w:tc>
          <w:tcPr>
            <w:tcW w:type="dxa" w:w="2880"/>
          </w:tcPr>
          <w:p>
            <w:r>
              <w:t>Tier 2 — Posible</w:t>
            </w:r>
          </w:p>
        </w:tc>
        <w:tc>
          <w:tcPr>
            <w:tcW w:type="dxa" w:w="2880"/>
          </w:tcPr>
          <w:p>
            <w:r>
              <w:t>Concesión largo plazo / Arriendo / Permiso / Onerosa</w:t>
            </w:r>
          </w:p>
        </w:tc>
        <w:tc>
          <w:tcPr>
            <w:tcW w:type="dxa" w:w="2880"/>
          </w:tcPr>
          <w:p>
            <w:r>
              <w:t>Con tercero pero enajenable (a menudo al propio tenedor)</w:t>
            </w:r>
          </w:p>
        </w:tc>
      </w:tr>
      <w:tr>
        <w:tc>
          <w:tcPr>
            <w:tcW w:type="dxa" w:w="2880"/>
          </w:tcPr>
          <w:p>
            <w:r>
              <w:t>Excluido — No vendible</w:t>
            </w:r>
          </w:p>
        </w:tc>
        <w:tc>
          <w:tcPr>
            <w:tcW w:type="dxa" w:w="2880"/>
          </w:tcPr>
          <w:p>
            <w:r>
              <w:t>Destinación / Radicación / Afectación</w:t>
            </w:r>
          </w:p>
        </w:tc>
        <w:tc>
          <w:tcPr>
            <w:tcW w:type="dxa" w:w="2880"/>
          </w:tcPr>
          <w:p>
            <w:r>
              <w:t>En uso por un servicio, ocupación social o vialidad</w:t>
            </w:r>
          </w:p>
        </w:tc>
      </w:tr>
    </w:tbl>
    <w:p>
      <w:r>
        <w:rPr>
          <w:b w:val="0"/>
          <w:i/>
        </w:rPr>
        <w:t>En las regiones cuyo catastro no trae el campo estructurado (Tarapacá; parte de Antofagasta), la situación se infirió por análisis de texto de la descripción administrativa, con el mismo criterio. Estos casos se marcan como estimación "gruesa".</w:t>
      </w:r>
    </w:p>
    <w:p>
      <w:pPr>
        <w:pStyle w:val="Heading2"/>
      </w:pPr>
      <w:r>
        <w:t>2.4 Filtrado de falsos positivos</w:t>
      </w:r>
    </w:p>
    <w:p>
      <w:r>
        <w:rPr>
          <w:b w:val="0"/>
          <w:i w:val="0"/>
        </w:rPr>
        <w:t>Se depuraron los registros que, pese a figurar como disponibles, no son suelo vendible/edificable: cerros y cumbres, parques, fajas de camino y ferrocarril, playas y bordes costeros, y lotes mayores a 10 hectáreas (típicamente cerros, parques o suelo rural no urbanizable). En la cartera central esto removió 43 registros que distorsionaban el valor (p. ej., 449 ha de cerro en San Bernardo, zona del Estadio Nacional en Ñuñoa).</w:t>
      </w:r>
    </w:p>
    <w:p>
      <w:pPr>
        <w:pStyle w:val="Heading2"/>
      </w:pPr>
      <w:r>
        <w:t>2.5 Valorización</w:t>
      </w:r>
    </w:p>
    <w:p>
      <w:r>
        <w:rPr>
          <w:b w:val="0"/>
          <w:i w:val="0"/>
        </w:rPr>
        <w:t>Para cada predio se estimó el valor de suelo de mercado como superficie (m²) × valor de referencia por comuna (UF/m², mercado 2026), y el avalúo fiscal como ≈50% de ese valor (relación habitual SII vs. mercado). En las regiones del norte (Tarapacá, Antofagasta), de suelo mayoritariamente periférico/desértico, se aplicaron valores conservadores. Conversión: 1 UF = $40.408; USD ≈ $950.</w:t>
      </w:r>
    </w:p>
    <w:p>
      <w:pPr>
        <w:pStyle w:val="Heading1"/>
      </w:pPr>
      <w:r>
        <w:t>3. Por qué creemos que son los candidatos (validación cruzada)</w:t>
      </w:r>
    </w:p>
    <w:p>
      <w:pPr>
        <w:pStyle w:val="ListBullet"/>
      </w:pPr>
      <w:r>
        <w:t>Escala: 1.253 predios en la cartera central ≈ las ~1.200 del plan oficial — misma magnitud, misma fuente institucional.</w:t>
      </w:r>
    </w:p>
    <w:p>
      <w:pPr>
        <w:pStyle w:val="ListBullet"/>
      </w:pPr>
      <w:r>
        <w:t>Tipo: el plan prioriza inmuebles urbanos sin destino y herencias vacantes; el 99% de la cartera central es urbana y el filtro deja exactamente ese perfil.</w:t>
      </w:r>
    </w:p>
    <w:p>
      <w:pPr>
        <w:pStyle w:val="ListBullet"/>
      </w:pPr>
      <w:r>
        <w:t>Geografía: el primer paquete se concentra en RM, Antofagasta, Biobío y Tarapacá — las regiones aquí cubiertas.</w:t>
      </w:r>
    </w:p>
    <w:p>
      <w:pPr>
        <w:pStyle w:val="ListBullet"/>
      </w:pPr>
      <w:r>
        <w:t>Mecanismo: el gobierno declaró recuperar concesiones subutilizadas (La Parva); las 398 concesiones gratuitas de corto plazo de la cartera son precisamente ese tipo de activo.</w:t>
      </w:r>
    </w:p>
    <w:p>
      <w:pPr>
        <w:pStyle w:val="ListBullet"/>
      </w:pPr>
      <w:r>
        <w:t>Coincidencia normativa: la disposición se rige por DL 1.939, que ordena la venta por tasación comercial vía propuesta pública — consistente con el universo y la valorización aquí presentados.</w:t>
      </w:r>
    </w:p>
    <w:p>
      <w:pPr>
        <w:pStyle w:val="Heading1"/>
      </w:pPr>
      <w:r>
        <w:t>4. Resultados</w:t>
      </w:r>
    </w:p>
    <w:p>
      <w:pPr>
        <w:pStyle w:val="Heading2"/>
      </w:pPr>
      <w:r>
        <w:t>4.1 Embudo de vendibilidad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Categoría</w:t>
            </w:r>
          </w:p>
        </w:tc>
        <w:tc>
          <w:tcPr>
            <w:tcW w:type="dxa" w:w="2880"/>
          </w:tcPr>
          <w:p>
            <w:r>
              <w:rPr>
                <w:b/>
              </w:rPr>
              <w:t>Predios</w:t>
            </w:r>
          </w:p>
        </w:tc>
        <w:tc>
          <w:tcPr>
            <w:tcW w:type="dxa" w:w="2880"/>
          </w:tcPr>
          <w:p>
            <w:r>
              <w:rPr>
                <w:b/>
              </w:rPr>
              <w:t>Valor mercado</w:t>
            </w:r>
          </w:p>
        </w:tc>
      </w:tr>
      <w:tr>
        <w:tc>
          <w:tcPr>
            <w:tcW w:type="dxa" w:w="2880"/>
          </w:tcPr>
          <w:p>
            <w:r>
              <w:t>Tier 1 — Disponible/recuperable</w:t>
            </w:r>
          </w:p>
        </w:tc>
        <w:tc>
          <w:tcPr>
            <w:tcW w:type="dxa" w:w="2880"/>
          </w:tcPr>
          <w:p>
            <w:r>
              <w:t>469</w:t>
            </w:r>
          </w:p>
        </w:tc>
        <w:tc>
          <w:tcPr>
            <w:tcW w:type="dxa" w:w="2880"/>
          </w:tcPr>
          <w:p>
            <w:r>
              <w:t>US$ 1.336 MM</w:t>
            </w:r>
          </w:p>
        </w:tc>
      </w:tr>
      <w:tr>
        <w:tc>
          <w:tcPr>
            <w:tcW w:type="dxa" w:w="2880"/>
          </w:tcPr>
          <w:p>
            <w:r>
              <w:t>Tier 2 — Posible</w:t>
            </w:r>
          </w:p>
        </w:tc>
        <w:tc>
          <w:tcPr>
            <w:tcW w:type="dxa" w:w="2880"/>
          </w:tcPr>
          <w:p>
            <w:r>
              <w:t>1.143</w:t>
            </w:r>
          </w:p>
        </w:tc>
        <w:tc>
          <w:tcPr>
            <w:tcW w:type="dxa" w:w="2880"/>
          </w:tcPr>
          <w:p>
            <w:r>
              <w:t>US$ 1.345 MM</w:t>
            </w:r>
          </w:p>
        </w:tc>
      </w:tr>
      <w:tr>
        <w:tc>
          <w:tcPr>
            <w:tcW w:type="dxa" w:w="2880"/>
          </w:tcPr>
          <w:p>
            <w:r>
              <w:t>TOTAL vendible</w:t>
            </w:r>
          </w:p>
        </w:tc>
        <w:tc>
          <w:tcPr>
            <w:tcW w:type="dxa" w:w="2880"/>
          </w:tcPr>
          <w:p>
            <w:r>
              <w:t>1.612</w:t>
            </w:r>
          </w:p>
        </w:tc>
        <w:tc>
          <w:tcPr>
            <w:tcW w:type="dxa" w:w="2880"/>
          </w:tcPr>
          <w:p>
            <w:r>
              <w:t>US$ 2.681 MM</w:t>
            </w:r>
          </w:p>
        </w:tc>
      </w:tr>
    </w:tbl>
    <w:p>
      <w:pPr>
        <w:pStyle w:val="Heading2"/>
      </w:pPr>
      <w:r>
        <w:t>4.2 Por región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Región</w:t>
            </w:r>
          </w:p>
        </w:tc>
        <w:tc>
          <w:tcPr>
            <w:tcW w:type="dxa" w:w="1728"/>
          </w:tcPr>
          <w:p>
            <w:r>
              <w:rPr>
                <w:b/>
              </w:rPr>
              <w:t>Predios</w:t>
            </w:r>
          </w:p>
        </w:tc>
        <w:tc>
          <w:tcPr>
            <w:tcW w:type="dxa" w:w="1728"/>
          </w:tcPr>
          <w:p>
            <w:r>
              <w:rPr>
                <w:b/>
              </w:rPr>
              <w:t>Valor mercado</w:t>
            </w:r>
          </w:p>
        </w:tc>
        <w:tc>
          <w:tcPr>
            <w:tcW w:type="dxa" w:w="1728"/>
          </w:tcPr>
          <w:p>
            <w:r>
              <w:rPr>
                <w:b/>
              </w:rPr>
              <w:t>Avalúo fiscal est.</w:t>
            </w:r>
          </w:p>
        </w:tc>
        <w:tc>
          <w:tcPr>
            <w:tcW w:type="dxa" w:w="1728"/>
          </w:tcPr>
          <w:p>
            <w:r>
              <w:rPr>
                <w:b/>
              </w:rPr>
              <w:t>Confiabilidad</w:t>
            </w:r>
          </w:p>
        </w:tc>
      </w:tr>
      <w:tr>
        <w:tc>
          <w:tcPr>
            <w:tcW w:type="dxa" w:w="1728"/>
          </w:tcPr>
          <w:p>
            <w:r>
              <w:t>Metropolitana</w:t>
            </w:r>
          </w:p>
        </w:tc>
        <w:tc>
          <w:tcPr>
            <w:tcW w:type="dxa" w:w="1728"/>
          </w:tcPr>
          <w:p>
            <w:r>
              <w:t>411</w:t>
            </w:r>
          </w:p>
        </w:tc>
        <w:tc>
          <w:tcPr>
            <w:tcW w:type="dxa" w:w="1728"/>
          </w:tcPr>
          <w:p>
            <w:r>
              <w:t>US$ 1.413 MM</w:t>
            </w:r>
          </w:p>
        </w:tc>
        <w:tc>
          <w:tcPr>
            <w:tcW w:type="dxa" w:w="1728"/>
          </w:tcPr>
          <w:p>
            <w:r>
              <w:t>US$ 707 MM</w:t>
            </w:r>
          </w:p>
        </w:tc>
        <w:tc>
          <w:tcPr>
            <w:tcW w:type="dxa" w:w="1728"/>
          </w:tcPr>
          <w:p>
            <w:r>
              <w:t>Alta (ref. mercado)</w:t>
            </w:r>
          </w:p>
        </w:tc>
      </w:tr>
      <w:tr>
        <w:tc>
          <w:tcPr>
            <w:tcW w:type="dxa" w:w="1728"/>
          </w:tcPr>
          <w:p>
            <w:r>
              <w:t>Antofagasta</w:t>
            </w:r>
          </w:p>
        </w:tc>
        <w:tc>
          <w:tcPr>
            <w:tcW w:type="dxa" w:w="1728"/>
          </w:tcPr>
          <w:p>
            <w:r>
              <w:t>726</w:t>
            </w:r>
          </w:p>
        </w:tc>
        <w:tc>
          <w:tcPr>
            <w:tcW w:type="dxa" w:w="1728"/>
          </w:tcPr>
          <w:p>
            <w:r>
              <w:t>US$ 567 MM</w:t>
            </w:r>
          </w:p>
        </w:tc>
        <w:tc>
          <w:tcPr>
            <w:tcW w:type="dxa" w:w="1728"/>
          </w:tcPr>
          <w:p>
            <w:r>
              <w:t>US$ 283 MM</w:t>
            </w:r>
          </w:p>
        </w:tc>
        <w:tc>
          <w:tcPr>
            <w:tcW w:type="dxa" w:w="1728"/>
          </w:tcPr>
          <w:p>
            <w:r>
              <w:t>Gruesa (norte)</w:t>
            </w:r>
          </w:p>
        </w:tc>
      </w:tr>
      <w:tr>
        <w:tc>
          <w:tcPr>
            <w:tcW w:type="dxa" w:w="1728"/>
          </w:tcPr>
          <w:p>
            <w:r>
              <w:t>Valparaíso</w:t>
            </w:r>
          </w:p>
        </w:tc>
        <w:tc>
          <w:tcPr>
            <w:tcW w:type="dxa" w:w="1728"/>
          </w:tcPr>
          <w:p>
            <w:r>
              <w:t>223</w:t>
            </w:r>
          </w:p>
        </w:tc>
        <w:tc>
          <w:tcPr>
            <w:tcW w:type="dxa" w:w="1728"/>
          </w:tcPr>
          <w:p>
            <w:r>
              <w:t>US$ 493 MM</w:t>
            </w:r>
          </w:p>
        </w:tc>
        <w:tc>
          <w:tcPr>
            <w:tcW w:type="dxa" w:w="1728"/>
          </w:tcPr>
          <w:p>
            <w:r>
              <w:t>US$ 247 MM</w:t>
            </w:r>
          </w:p>
        </w:tc>
        <w:tc>
          <w:tcPr>
            <w:tcW w:type="dxa" w:w="1728"/>
          </w:tcPr>
          <w:p>
            <w:r>
              <w:t>Alta (ref. mercado)</w:t>
            </w:r>
          </w:p>
        </w:tc>
      </w:tr>
      <w:tr>
        <w:tc>
          <w:tcPr>
            <w:tcW w:type="dxa" w:w="1728"/>
          </w:tcPr>
          <w:p>
            <w:r>
              <w:t>Biobío</w:t>
            </w:r>
          </w:p>
        </w:tc>
        <w:tc>
          <w:tcPr>
            <w:tcW w:type="dxa" w:w="1728"/>
          </w:tcPr>
          <w:p>
            <w:r>
              <w:t>162</w:t>
            </w:r>
          </w:p>
        </w:tc>
        <w:tc>
          <w:tcPr>
            <w:tcW w:type="dxa" w:w="1728"/>
          </w:tcPr>
          <w:p>
            <w:r>
              <w:t>US$ 138 MM</w:t>
            </w:r>
          </w:p>
        </w:tc>
        <w:tc>
          <w:tcPr>
            <w:tcW w:type="dxa" w:w="1728"/>
          </w:tcPr>
          <w:p>
            <w:r>
              <w:t>US$ 69 MM</w:t>
            </w:r>
          </w:p>
        </w:tc>
        <w:tc>
          <w:tcPr>
            <w:tcW w:type="dxa" w:w="1728"/>
          </w:tcPr>
          <w:p>
            <w:r>
              <w:t>Alta (ref. mercado)</w:t>
            </w:r>
          </w:p>
        </w:tc>
      </w:tr>
      <w:tr>
        <w:tc>
          <w:tcPr>
            <w:tcW w:type="dxa" w:w="1728"/>
          </w:tcPr>
          <w:p>
            <w:r>
              <w:t>Tarapacá</w:t>
            </w:r>
          </w:p>
        </w:tc>
        <w:tc>
          <w:tcPr>
            <w:tcW w:type="dxa" w:w="1728"/>
          </w:tcPr>
          <w:p>
            <w:r>
              <w:t>90</w:t>
            </w:r>
          </w:p>
        </w:tc>
        <w:tc>
          <w:tcPr>
            <w:tcW w:type="dxa" w:w="1728"/>
          </w:tcPr>
          <w:p>
            <w:r>
              <w:t>US$ 70 MM</w:t>
            </w:r>
          </w:p>
        </w:tc>
        <w:tc>
          <w:tcPr>
            <w:tcW w:type="dxa" w:w="1728"/>
          </w:tcPr>
          <w:p>
            <w:r>
              <w:t>US$ 35 MM</w:t>
            </w:r>
          </w:p>
        </w:tc>
        <w:tc>
          <w:tcPr>
            <w:tcW w:type="dxa" w:w="1728"/>
          </w:tcPr>
          <w:p>
            <w:r>
              <w:t>Gruesa (norte)</w:t>
            </w:r>
          </w:p>
        </w:tc>
      </w:tr>
    </w:tbl>
    <w:p>
      <w:pPr>
        <w:pStyle w:val="Heading2"/>
      </w:pPr>
      <w:r>
        <w:t>4.3 Predios de mayor valor (las "joyas" disponibles)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Predio</w:t>
            </w:r>
          </w:p>
        </w:tc>
        <w:tc>
          <w:tcPr>
            <w:tcW w:type="dxa" w:w="1728"/>
          </w:tcPr>
          <w:p>
            <w:r>
              <w:rPr>
                <w:b/>
              </w:rPr>
              <w:t>Comuna</w:t>
            </w:r>
          </w:p>
        </w:tc>
        <w:tc>
          <w:tcPr>
            <w:tcW w:type="dxa" w:w="1728"/>
          </w:tcPr>
          <w:p>
            <w:r>
              <w:rPr>
                <w:b/>
              </w:rPr>
              <w:t>Rol SII</w:t>
            </w:r>
          </w:p>
        </w:tc>
        <w:tc>
          <w:tcPr>
            <w:tcW w:type="dxa" w:w="1728"/>
          </w:tcPr>
          <w:p>
            <w:r>
              <w:rPr>
                <w:b/>
              </w:rPr>
              <w:t>Superficie</w:t>
            </w:r>
          </w:p>
        </w:tc>
        <w:tc>
          <w:tcPr>
            <w:tcW w:type="dxa" w:w="1728"/>
          </w:tcPr>
          <w:p>
            <w:r>
              <w:rPr>
                <w:b/>
              </w:rPr>
              <w:t>Valor mercado</w:t>
            </w:r>
          </w:p>
        </w:tc>
      </w:tr>
      <w:tr>
        <w:tc>
          <w:tcPr>
            <w:tcW w:type="dxa" w:w="1728"/>
          </w:tcPr>
          <w:p>
            <w:r>
              <w:t>Pedro Montt 1606 / Isabel Riquelme</w:t>
            </w:r>
          </w:p>
        </w:tc>
        <w:tc>
          <w:tcPr>
            <w:tcW w:type="dxa" w:w="1728"/>
          </w:tcPr>
          <w:p>
            <w:r>
              <w:t>Santiago/PAC</w:t>
            </w:r>
          </w:p>
        </w:tc>
        <w:tc>
          <w:tcPr>
            <w:tcW w:type="dxa" w:w="1728"/>
          </w:tcPr>
          <w:p>
            <w:r>
              <w:t>3812-1</w:t>
            </w:r>
          </w:p>
        </w:tc>
        <w:tc>
          <w:tcPr>
            <w:tcW w:type="dxa" w:w="1728"/>
          </w:tcPr>
          <w:p>
            <w:r>
              <w:t>94.260 m²</w:t>
            </w:r>
          </w:p>
        </w:tc>
        <w:tc>
          <w:tcPr>
            <w:tcW w:type="dxa" w:w="1728"/>
          </w:tcPr>
          <w:p>
            <w:r>
              <w:t>US$ 140 MM</w:t>
            </w:r>
          </w:p>
        </w:tc>
      </w:tr>
      <w:tr>
        <w:tc>
          <w:tcPr>
            <w:tcW w:type="dxa" w:w="1728"/>
          </w:tcPr>
          <w:p>
            <w:r>
              <w:t>Pedro de Valdivia 4650</w:t>
            </w:r>
          </w:p>
        </w:tc>
        <w:tc>
          <w:tcPr>
            <w:tcW w:type="dxa" w:w="1728"/>
          </w:tcPr>
          <w:p>
            <w:r>
              <w:t>Ñuñoa</w:t>
            </w:r>
          </w:p>
        </w:tc>
        <w:tc>
          <w:tcPr>
            <w:tcW w:type="dxa" w:w="1728"/>
          </w:tcPr>
          <w:p>
            <w:r>
              <w:t>6133-217/67</w:t>
            </w:r>
          </w:p>
        </w:tc>
        <w:tc>
          <w:tcPr>
            <w:tcW w:type="dxa" w:w="1728"/>
          </w:tcPr>
          <w:p>
            <w:r>
              <w:t>57.569 m²</w:t>
            </w:r>
          </w:p>
        </w:tc>
        <w:tc>
          <w:tcPr>
            <w:tcW w:type="dxa" w:w="1728"/>
          </w:tcPr>
          <w:p>
            <w:r>
              <w:t>US$ 103 MM</w:t>
            </w:r>
          </w:p>
        </w:tc>
      </w:tr>
      <w:tr>
        <w:tc>
          <w:tcPr>
            <w:tcW w:type="dxa" w:w="1728"/>
          </w:tcPr>
          <w:p>
            <w:r>
              <w:t>La Dehesa 215 lote B-2</w:t>
            </w:r>
          </w:p>
        </w:tc>
        <w:tc>
          <w:tcPr>
            <w:tcW w:type="dxa" w:w="1728"/>
          </w:tcPr>
          <w:p>
            <w:r>
              <w:t>Lo Barnechea</w:t>
            </w:r>
          </w:p>
        </w:tc>
        <w:tc>
          <w:tcPr>
            <w:tcW w:type="dxa" w:w="1728"/>
          </w:tcPr>
          <w:p>
            <w:r>
              <w:t>3519-1</w:t>
            </w:r>
          </w:p>
        </w:tc>
        <w:tc>
          <w:tcPr>
            <w:tcW w:type="dxa" w:w="1728"/>
          </w:tcPr>
          <w:p>
            <w:r>
              <w:t>59.157 m²</w:t>
            </w:r>
          </w:p>
        </w:tc>
        <w:tc>
          <w:tcPr>
            <w:tcW w:type="dxa" w:w="1728"/>
          </w:tcPr>
          <w:p>
            <w:r>
              <w:t>US$ 101 MM</w:t>
            </w:r>
          </w:p>
        </w:tc>
      </w:tr>
      <w:tr>
        <w:tc>
          <w:tcPr>
            <w:tcW w:type="dxa" w:w="1728"/>
          </w:tcPr>
          <w:p>
            <w:r>
              <w:t>Vicuña Mackenna 5065</w:t>
            </w:r>
          </w:p>
        </w:tc>
        <w:tc>
          <w:tcPr>
            <w:tcW w:type="dxa" w:w="1728"/>
          </w:tcPr>
          <w:p>
            <w:r>
              <w:t>San Joaquín</w:t>
            </w:r>
          </w:p>
        </w:tc>
        <w:tc>
          <w:tcPr>
            <w:tcW w:type="dxa" w:w="1728"/>
          </w:tcPr>
          <w:p>
            <w:r>
              <w:t>5110-1</w:t>
            </w:r>
          </w:p>
        </w:tc>
        <w:tc>
          <w:tcPr>
            <w:tcW w:type="dxa" w:w="1728"/>
          </w:tcPr>
          <w:p>
            <w:r>
              <w:t>84.835 m²</w:t>
            </w:r>
          </w:p>
        </w:tc>
        <w:tc>
          <w:tcPr>
            <w:tcW w:type="dxa" w:w="1728"/>
          </w:tcPr>
          <w:p>
            <w:r>
              <w:t>US$ 61 MM</w:t>
            </w:r>
          </w:p>
        </w:tc>
      </w:tr>
      <w:tr>
        <w:tc>
          <w:tcPr>
            <w:tcW w:type="dxa" w:w="1728"/>
          </w:tcPr>
          <w:p>
            <w:r>
              <w:t>Teatinos 120</w:t>
            </w:r>
          </w:p>
        </w:tc>
        <w:tc>
          <w:tcPr>
            <w:tcW w:type="dxa" w:w="1728"/>
          </w:tcPr>
          <w:p>
            <w:r>
              <w:t>Santiago</w:t>
            </w:r>
          </w:p>
        </w:tc>
        <w:tc>
          <w:tcPr>
            <w:tcW w:type="dxa" w:w="1728"/>
          </w:tcPr>
          <w:p>
            <w:r>
              <w:t>84-1</w:t>
            </w:r>
          </w:p>
        </w:tc>
        <w:tc>
          <w:tcPr>
            <w:tcW w:type="dxa" w:w="1728"/>
          </w:tcPr>
          <w:p>
            <w:r>
              <w:t>40.446 m²</w:t>
            </w:r>
          </w:p>
        </w:tc>
        <w:tc>
          <w:tcPr>
            <w:tcW w:type="dxa" w:w="1728"/>
          </w:tcPr>
          <w:p>
            <w:r>
              <w:t>US$ 60 MM</w:t>
            </w:r>
          </w:p>
        </w:tc>
      </w:tr>
      <w:tr>
        <w:tc>
          <w:tcPr>
            <w:tcW w:type="dxa" w:w="1728"/>
          </w:tcPr>
          <w:p>
            <w:r>
              <w:t>Carlos Valdovinos 279</w:t>
            </w:r>
          </w:p>
        </w:tc>
        <w:tc>
          <w:tcPr>
            <w:tcW w:type="dxa" w:w="1728"/>
          </w:tcPr>
          <w:p>
            <w:r>
              <w:t>San Joaquín</w:t>
            </w:r>
          </w:p>
        </w:tc>
        <w:tc>
          <w:tcPr>
            <w:tcW w:type="dxa" w:w="1728"/>
          </w:tcPr>
          <w:p>
            <w:r>
              <w:t>1010-3</w:t>
            </w:r>
          </w:p>
        </w:tc>
        <w:tc>
          <w:tcPr>
            <w:tcW w:type="dxa" w:w="1728"/>
          </w:tcPr>
          <w:p>
            <w:r>
              <w:t>73.000 m²</w:t>
            </w:r>
          </w:p>
        </w:tc>
        <w:tc>
          <w:tcPr>
            <w:tcW w:type="dxa" w:w="1728"/>
          </w:tcPr>
          <w:p>
            <w:r>
              <w:t>US$ 53 MM</w:t>
            </w:r>
          </w:p>
        </w:tc>
      </w:tr>
      <w:tr>
        <w:tc>
          <w:tcPr>
            <w:tcW w:type="dxa" w:w="1728"/>
          </w:tcPr>
          <w:p>
            <w:r>
              <w:t>San José 1053 / Belisario Prats</w:t>
            </w:r>
          </w:p>
        </w:tc>
        <w:tc>
          <w:tcPr>
            <w:tcW w:type="dxa" w:w="1728"/>
          </w:tcPr>
          <w:p>
            <w:r>
              <w:t>Independencia</w:t>
            </w:r>
          </w:p>
        </w:tc>
        <w:tc>
          <w:tcPr>
            <w:tcW w:type="dxa" w:w="1728"/>
          </w:tcPr>
          <w:p>
            <w:r>
              <w:t>2150-1</w:t>
            </w:r>
          </w:p>
        </w:tc>
        <w:tc>
          <w:tcPr>
            <w:tcW w:type="dxa" w:w="1728"/>
          </w:tcPr>
          <w:p>
            <w:r>
              <w:t>56.149 m²</w:t>
            </w:r>
          </w:p>
        </w:tc>
        <w:tc>
          <w:tcPr>
            <w:tcW w:type="dxa" w:w="1728"/>
          </w:tcPr>
          <w:p>
            <w:r>
              <w:t>US$ 53 MM</w:t>
            </w:r>
          </w:p>
        </w:tc>
      </w:tr>
      <w:tr>
        <w:tc>
          <w:tcPr>
            <w:tcW w:type="dxa" w:w="1728"/>
          </w:tcPr>
          <w:p>
            <w:r>
              <w:t>Costanera Sur lote 4</w:t>
            </w:r>
          </w:p>
        </w:tc>
        <w:tc>
          <w:tcPr>
            <w:tcW w:type="dxa" w:w="1728"/>
          </w:tcPr>
          <w:p>
            <w:r>
              <w:t>Quinta Normal</w:t>
            </w:r>
          </w:p>
        </w:tc>
        <w:tc>
          <w:tcPr>
            <w:tcW w:type="dxa" w:w="1728"/>
          </w:tcPr>
          <w:p>
            <w:r>
              <w:t>4044-38</w:t>
            </w:r>
          </w:p>
        </w:tc>
        <w:tc>
          <w:tcPr>
            <w:tcW w:type="dxa" w:w="1728"/>
          </w:tcPr>
          <w:p>
            <w:r>
              <w:t>74.142 m²</w:t>
            </w:r>
          </w:p>
        </w:tc>
        <w:tc>
          <w:tcPr>
            <w:tcW w:type="dxa" w:w="1728"/>
          </w:tcPr>
          <w:p>
            <w:r>
              <w:t>US$ 50 MM</w:t>
            </w:r>
          </w:p>
        </w:tc>
      </w:tr>
    </w:tbl>
    <w:p>
      <w:r>
        <w:rPr>
          <w:b w:val="0"/>
          <w:i/>
        </w:rPr>
        <w:t>El listado completo de los 1.612 predios, con rol, superficie, tenencia, valor de mercado y avalúo fiscal estimado, se entrega en el archivo Excel adjunto (predios_fiscales_vendibles.xlsx).</w:t>
      </w:r>
    </w:p>
    <w:p>
      <w:pPr>
        <w:pStyle w:val="Heading1"/>
      </w:pPr>
      <w:r>
        <w:t>5. Trazabilidad y reproducibilidad</w:t>
      </w:r>
    </w:p>
    <w:p>
      <w:r>
        <w:rPr>
          <w:b w:val="0"/>
          <w:i w:val="0"/>
        </w:rPr>
        <w:t>Todo el análisis es auditable: parte de datos públicos del Estado, sin fuentes privadas ni supuestos no declarados. Un tercero puede (a) abrir las mismas capas del catastro MBN, (b) aplicar los mismos filtros de tenencia y depuración, y (c) obtener el mismo universo. Los criterios de clasificación, los filtros y los parámetros de valorización están explícitos en este informe.</w:t>
      </w:r>
    </w:p>
    <w:p>
      <w:pPr>
        <w:pStyle w:val="Heading1"/>
      </w:pPr>
      <w:r>
        <w:t>6. Limitaciones (lectura honesta para el inversionista)</w:t>
      </w:r>
    </w:p>
    <w:p>
      <w:pPr>
        <w:pStyle w:val="ListBullet"/>
      </w:pPr>
      <w:r>
        <w:t>No es la nómina oficial. Es el universo de candidatos probables; el plan tomará un subconjunto (~350 en el primer paquete). La confirmación definitiva requiere la nómina oficial (solicitud de Transparencia ya redactada y adjunta).</w:t>
      </w:r>
    </w:p>
    <w:p>
      <w:pPr>
        <w:pStyle w:val="ListBullet"/>
      </w:pPr>
      <w:r>
        <w:t>El catastro es declarado "referencial" por el MBN y puede no estar 100% actualizado.</w:t>
      </w:r>
    </w:p>
    <w:p>
      <w:pPr>
        <w:pStyle w:val="ListBullet"/>
      </w:pPr>
      <w:r>
        <w:t>La valorización es de referencia (UF/m² de mercado, no avalúos SII reales). Es confiable a nivel de predio urbano del centro; en el norte es gruesa. No es una tasación.</w:t>
      </w:r>
    </w:p>
    <w:p>
      <w:pPr>
        <w:pStyle w:val="ListBullet"/>
      </w:pPr>
      <w:r>
        <w:t>"Vendible" significa que la situación jurídica lo permite, no que el predio esté decidido para venta ni libre de gravámenes; cada predio requiere due diligence individual (CBR, gravámenes, zonificación).</w:t>
      </w:r>
    </w:p>
    <w:p>
      <w:pPr>
        <w:pStyle w:val="ListBullet"/>
      </w:pPr>
      <w:r>
        <w:t>El precio de venta real tiende a la tasación comercial (o más, en licitación competitiva); el avalúo fiscal es un piso de referencia, no el precio esperado.</w:t>
      </w:r>
    </w:p>
    <w:p>
      <w:pPr>
        <w:pStyle w:val="Heading1"/>
      </w:pPr>
      <w:r>
        <w:t>7. Próximos pasos para validar antes de invertir</w:t>
      </w:r>
    </w:p>
    <w:p>
      <w:pPr>
        <w:pStyle w:val="ListNumber"/>
      </w:pPr>
      <w:r>
        <w:t>Ingresar la solicitud de Transparencia (adjunta) para obtener la nómina oficial y contrastarla con este universo.</w:t>
      </w:r>
    </w:p>
    <w:p>
      <w:pPr>
        <w:pStyle w:val="ListNumber"/>
      </w:pPr>
      <w:r>
        <w:t>Due diligence por predio de interés: rol SII en el SII (avalúo real), historia en el Conservador (gravámenes, dominio vigente), zonificación en el plan regulador comunal.</w:t>
      </w:r>
    </w:p>
    <w:p>
      <w:pPr>
        <w:pStyle w:val="ListNumber"/>
      </w:pPr>
      <w:r>
        <w:t>Tasación comercial formal de los predios objetivo antes de cualquier oferta.</w:t>
      </w:r>
    </w:p>
    <w:p>
      <w:pPr>
        <w:pStyle w:val="ListNumber"/>
      </w:pPr>
      <w:r>
        <w:t>Seguimiento de las licitaciones en licitaciones.bienes.cl y Mercado Público a partir del 4º trimestre de 2026.</w:t>
      </w:r>
    </w:p>
    <w:p/>
    <w:p>
      <w:r>
        <w:rPr>
          <w:b w:val="0"/>
          <w:i/>
        </w:rPr>
        <w:t>Anexos: predios_fiscales_vendibles.xlsx (listado completo, 5 regiones) · solicitud_transparencia_inmuebles_fiscales.md.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