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1E1D" w14:textId="77777777" w:rsidR="00097453" w:rsidRDefault="00595528">
      <w:pPr>
        <w:spacing w:after="50"/>
        <w:rPr>
          <w:rFonts w:ascii="Aptos" w:hAnsi="Aptos"/>
        </w:rPr>
      </w:pPr>
      <w:r>
        <w:rPr>
          <w:rFonts w:ascii="Aptos" w:eastAsia="Calibri" w:hAnsi="Aptos" w:cs="Calibri"/>
          <w:b/>
          <w:bCs/>
          <w:color w:val="1D4E89"/>
          <w:sz w:val="16"/>
          <w:szCs w:val="16"/>
        </w:rPr>
        <w:t>INTERNAL AWS HACKATHON  ·  OCTOBER 2026  ·  PROBLEM STATEMENT</w:t>
      </w:r>
    </w:p>
    <w:p w14:paraId="00BA18AE" w14:textId="77777777" w:rsidR="00097453" w:rsidRDefault="00595528">
      <w:pPr>
        <w:spacing w:after="50"/>
        <w:rPr>
          <w:rFonts w:ascii="Aptos" w:hAnsi="Aptos"/>
        </w:rPr>
      </w:pPr>
      <w:r>
        <w:rPr>
          <w:rFonts w:ascii="Aptos" w:eastAsia="Calibri" w:hAnsi="Aptos" w:cs="Calibri"/>
          <w:b/>
          <w:bCs/>
          <w:color w:val="1A1D23"/>
          <w:sz w:val="34"/>
          <w:szCs w:val="34"/>
        </w:rPr>
        <w:t>ERP Migration Progress Portal</w:t>
      </w:r>
    </w:p>
    <w:p w14:paraId="7E516C07" w14:textId="77777777" w:rsidR="00097453" w:rsidRDefault="00595528">
      <w:pPr>
        <w:spacing w:after="140"/>
        <w:rPr>
          <w:rFonts w:ascii="Aptos" w:hAnsi="Aptos"/>
        </w:rPr>
      </w:pPr>
      <w:r>
        <w:rPr>
          <w:rFonts w:ascii="Aptos" w:eastAsia="Calibri" w:hAnsi="Aptos" w:cs="Calibri"/>
          <w:b/>
          <w:bCs/>
          <w:color w:val="1A1D23"/>
          <w:sz w:val="17"/>
          <w:szCs w:val="17"/>
        </w:rPr>
        <w:t xml:space="preserve">Not a duplicate of idea 3. </w:t>
      </w:r>
      <w:r>
        <w:rPr>
          <w:rFonts w:ascii="Aptos" w:eastAsia="Calibri" w:hAnsi="Aptos" w:cs="Calibri"/>
          <w:color w:val="5A616B"/>
          <w:sz w:val="17"/>
          <w:szCs w:val="17"/>
        </w:rPr>
        <w:t>That one is discovery — working out what ERP estate a company has before anything moves. This is execution — showing where the migration has got to once it is under way. Source: Ventures meeting, 1 Oct 2026.</w:t>
      </w:r>
    </w:p>
    <w:tbl>
      <w:tblPr>
        <w:tblW w:w="9360" w:type="dxa"/>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CellMar>
          <w:left w:w="10" w:type="dxa"/>
          <w:right w:w="10" w:type="dxa"/>
        </w:tblCellMar>
        <w:tblLook w:val="0000" w:firstRow="0" w:lastRow="0" w:firstColumn="0" w:lastColumn="0" w:noHBand="0" w:noVBand="0"/>
      </w:tblPr>
      <w:tblGrid>
        <w:gridCol w:w="3000"/>
        <w:gridCol w:w="6360"/>
      </w:tblGrid>
      <w:tr w:rsidR="00097453" w14:paraId="7051BE80" w14:textId="77777777">
        <w:tc>
          <w:tcPr>
            <w:tcW w:w="3000" w:type="dxa"/>
            <w:shd w:val="clear" w:color="auto" w:fill="1D4E89"/>
            <w:tcMar>
              <w:top w:w="60" w:type="dxa"/>
              <w:left w:w="110" w:type="dxa"/>
              <w:bottom w:w="60" w:type="dxa"/>
              <w:right w:w="110" w:type="dxa"/>
            </w:tcMar>
          </w:tcPr>
          <w:p w14:paraId="14AA37D1" w14:textId="77777777" w:rsidR="00097453" w:rsidRDefault="00595528">
            <w:pPr>
              <w:rPr>
                <w:rFonts w:ascii="Aptos" w:hAnsi="Aptos"/>
              </w:rPr>
            </w:pPr>
            <w:r>
              <w:rPr>
                <w:rFonts w:ascii="Aptos" w:eastAsia="Calibri" w:hAnsi="Aptos" w:cs="Calibri"/>
                <w:b/>
                <w:bCs/>
                <w:color w:val="FFFFFF"/>
                <w:sz w:val="16"/>
                <w:szCs w:val="16"/>
              </w:rPr>
              <w:t>FIELD</w:t>
            </w:r>
          </w:p>
        </w:tc>
        <w:tc>
          <w:tcPr>
            <w:tcW w:w="6360" w:type="dxa"/>
            <w:shd w:val="clear" w:color="auto" w:fill="1D4E89"/>
            <w:tcMar>
              <w:top w:w="60" w:type="dxa"/>
              <w:left w:w="110" w:type="dxa"/>
              <w:bottom w:w="60" w:type="dxa"/>
              <w:right w:w="110" w:type="dxa"/>
            </w:tcMar>
          </w:tcPr>
          <w:p w14:paraId="612C01E6" w14:textId="77777777" w:rsidR="00097453" w:rsidRDefault="00595528">
            <w:pPr>
              <w:rPr>
                <w:rFonts w:ascii="Aptos" w:hAnsi="Aptos"/>
              </w:rPr>
            </w:pPr>
            <w:r>
              <w:rPr>
                <w:rFonts w:ascii="Aptos" w:eastAsia="Calibri" w:hAnsi="Aptos" w:cs="Calibri"/>
                <w:b/>
                <w:bCs/>
                <w:color w:val="FFFFFF"/>
                <w:sz w:val="16"/>
                <w:szCs w:val="16"/>
              </w:rPr>
              <w:t>ERP MIGRATION PROGRESS PORTAL</w:t>
            </w:r>
          </w:p>
        </w:tc>
      </w:tr>
      <w:tr w:rsidR="00097453" w14:paraId="165DC70B" w14:textId="77777777">
        <w:tc>
          <w:tcPr>
            <w:tcW w:w="3000" w:type="dxa"/>
            <w:shd w:val="clear" w:color="auto" w:fill="EEF3F8"/>
            <w:tcMar>
              <w:top w:w="60" w:type="dxa"/>
              <w:left w:w="110" w:type="dxa"/>
              <w:bottom w:w="60" w:type="dxa"/>
              <w:right w:w="110" w:type="dxa"/>
            </w:tcMar>
          </w:tcPr>
          <w:p w14:paraId="0B062E90" w14:textId="77777777" w:rsidR="00097453" w:rsidRDefault="00595528">
            <w:pPr>
              <w:rPr>
                <w:rFonts w:ascii="Aptos" w:hAnsi="Aptos"/>
              </w:rPr>
            </w:pPr>
            <w:r>
              <w:rPr>
                <w:rFonts w:ascii="Aptos" w:eastAsia="Calibri" w:hAnsi="Aptos" w:cs="Calibri"/>
                <w:b/>
                <w:bCs/>
                <w:color w:val="5A616B"/>
                <w:sz w:val="17"/>
                <w:szCs w:val="17"/>
              </w:rPr>
              <w:t>1. Submitted by / team</w:t>
            </w:r>
          </w:p>
        </w:tc>
        <w:tc>
          <w:tcPr>
            <w:tcW w:w="6360" w:type="dxa"/>
            <w:tcMar>
              <w:top w:w="60" w:type="dxa"/>
              <w:left w:w="110" w:type="dxa"/>
              <w:bottom w:w="60" w:type="dxa"/>
              <w:right w:w="110" w:type="dxa"/>
            </w:tcMar>
          </w:tcPr>
          <w:p w14:paraId="0734F9BF" w14:textId="77777777" w:rsidR="00097453" w:rsidRDefault="00595528">
            <w:pPr>
              <w:rPr>
                <w:rFonts w:ascii="Aptos" w:hAnsi="Aptos"/>
              </w:rPr>
            </w:pPr>
            <w:r>
              <w:rPr>
                <w:rFonts w:ascii="Aptos" w:eastAsia="Calibri" w:hAnsi="Aptos" w:cs="Calibri"/>
                <w:color w:val="1A1D23"/>
                <w:sz w:val="19"/>
                <w:szCs w:val="19"/>
              </w:rPr>
              <w:t>AmaliTech Ventures — ERP modernization track.</w:t>
            </w:r>
          </w:p>
        </w:tc>
      </w:tr>
      <w:tr w:rsidR="00097453" w14:paraId="77852410" w14:textId="77777777">
        <w:tc>
          <w:tcPr>
            <w:tcW w:w="3000" w:type="dxa"/>
            <w:shd w:val="clear" w:color="auto" w:fill="EEF3F8"/>
            <w:tcMar>
              <w:top w:w="60" w:type="dxa"/>
              <w:left w:w="110" w:type="dxa"/>
              <w:bottom w:w="60" w:type="dxa"/>
              <w:right w:w="110" w:type="dxa"/>
            </w:tcMar>
          </w:tcPr>
          <w:p w14:paraId="26A99C62" w14:textId="77777777" w:rsidR="00097453" w:rsidRDefault="00595528">
            <w:pPr>
              <w:spacing w:after="20"/>
              <w:rPr>
                <w:rFonts w:ascii="Aptos" w:hAnsi="Aptos"/>
              </w:rPr>
            </w:pPr>
            <w:r>
              <w:rPr>
                <w:rFonts w:ascii="Aptos" w:eastAsia="Calibri" w:hAnsi="Aptos" w:cs="Calibri"/>
                <w:b/>
                <w:bCs/>
                <w:color w:val="5A616B"/>
                <w:sz w:val="17"/>
                <w:szCs w:val="17"/>
              </w:rPr>
              <w:t>2. Working title</w:t>
            </w:r>
          </w:p>
          <w:p w14:paraId="53E11598" w14:textId="77777777" w:rsidR="00097453" w:rsidRDefault="00595528">
            <w:pPr>
              <w:rPr>
                <w:rFonts w:ascii="Aptos" w:hAnsi="Aptos"/>
              </w:rPr>
            </w:pPr>
            <w:r>
              <w:rPr>
                <w:rFonts w:ascii="Aptos" w:eastAsia="Calibri" w:hAnsi="Aptos" w:cs="Calibri"/>
                <w:i/>
                <w:iCs/>
                <w:color w:val="5A616B"/>
                <w:sz w:val="15"/>
                <w:szCs w:val="15"/>
              </w:rPr>
              <w:t>one line, no client name</w:t>
            </w:r>
          </w:p>
        </w:tc>
        <w:tc>
          <w:tcPr>
            <w:tcW w:w="6360" w:type="dxa"/>
            <w:tcMar>
              <w:top w:w="60" w:type="dxa"/>
              <w:left w:w="110" w:type="dxa"/>
              <w:bottom w:w="60" w:type="dxa"/>
              <w:right w:w="110" w:type="dxa"/>
            </w:tcMar>
          </w:tcPr>
          <w:p w14:paraId="7D0658AF" w14:textId="77777777" w:rsidR="00097453" w:rsidRDefault="00595528">
            <w:pPr>
              <w:rPr>
                <w:rFonts w:ascii="Aptos" w:hAnsi="Aptos"/>
              </w:rPr>
            </w:pPr>
            <w:r>
              <w:rPr>
                <w:rFonts w:ascii="Aptos" w:eastAsia="Calibri" w:hAnsi="Aptos" w:cs="Calibri"/>
                <w:color w:val="1A1D23"/>
                <w:sz w:val="19"/>
                <w:szCs w:val="19"/>
              </w:rPr>
              <w:t>Show the client where the migration actually is</w:t>
            </w:r>
          </w:p>
        </w:tc>
      </w:tr>
      <w:tr w:rsidR="00097453" w14:paraId="3A253741" w14:textId="77777777">
        <w:tc>
          <w:tcPr>
            <w:tcW w:w="3000" w:type="dxa"/>
            <w:shd w:val="clear" w:color="auto" w:fill="EEF3F8"/>
            <w:tcMar>
              <w:top w:w="60" w:type="dxa"/>
              <w:left w:w="110" w:type="dxa"/>
              <w:bottom w:w="60" w:type="dxa"/>
              <w:right w:w="110" w:type="dxa"/>
            </w:tcMar>
          </w:tcPr>
          <w:p w14:paraId="49C568A2" w14:textId="77777777" w:rsidR="00097453" w:rsidRDefault="00595528">
            <w:pPr>
              <w:rPr>
                <w:rFonts w:ascii="Aptos" w:hAnsi="Aptos"/>
              </w:rPr>
            </w:pPr>
            <w:r>
              <w:rPr>
                <w:rFonts w:ascii="Aptos" w:eastAsia="Calibri" w:hAnsi="Aptos" w:cs="Calibri"/>
                <w:b/>
                <w:bCs/>
                <w:color w:val="5A616B"/>
                <w:sz w:val="17"/>
                <w:szCs w:val="17"/>
              </w:rPr>
              <w:t>3. Industry or domain</w:t>
            </w:r>
          </w:p>
        </w:tc>
        <w:tc>
          <w:tcPr>
            <w:tcW w:w="6360" w:type="dxa"/>
            <w:tcMar>
              <w:top w:w="60" w:type="dxa"/>
              <w:left w:w="110" w:type="dxa"/>
              <w:bottom w:w="60" w:type="dxa"/>
              <w:right w:w="110" w:type="dxa"/>
            </w:tcMar>
          </w:tcPr>
          <w:p w14:paraId="354BDB34" w14:textId="77777777" w:rsidR="00097453" w:rsidRDefault="00595528">
            <w:pPr>
              <w:rPr>
                <w:rFonts w:ascii="Aptos" w:hAnsi="Aptos"/>
              </w:rPr>
            </w:pPr>
            <w:r>
              <w:rPr>
                <w:rFonts w:ascii="Aptos" w:eastAsia="Calibri" w:hAnsi="Aptos" w:cs="Calibri"/>
                <w:color w:val="1A1D23"/>
                <w:sz w:val="19"/>
                <w:szCs w:val="19"/>
              </w:rPr>
              <w:t>Enterprise software migration. A mid-market industrial group consolidating several ERP systems onto one platform over about eighteen months.</w:t>
            </w:r>
          </w:p>
        </w:tc>
      </w:tr>
      <w:tr w:rsidR="00097453" w14:paraId="24EB51C9" w14:textId="77777777">
        <w:tc>
          <w:tcPr>
            <w:tcW w:w="3000" w:type="dxa"/>
            <w:shd w:val="clear" w:color="auto" w:fill="EEF3F8"/>
            <w:tcMar>
              <w:top w:w="60" w:type="dxa"/>
              <w:left w:w="110" w:type="dxa"/>
              <w:bottom w:w="60" w:type="dxa"/>
              <w:right w:w="110" w:type="dxa"/>
            </w:tcMar>
          </w:tcPr>
          <w:p w14:paraId="40C57887" w14:textId="77777777" w:rsidR="00097453" w:rsidRDefault="00595528">
            <w:pPr>
              <w:spacing w:after="20"/>
              <w:rPr>
                <w:rFonts w:ascii="Aptos" w:hAnsi="Aptos"/>
              </w:rPr>
            </w:pPr>
            <w:r>
              <w:rPr>
                <w:rFonts w:ascii="Aptos" w:eastAsia="Calibri" w:hAnsi="Aptos" w:cs="Calibri"/>
                <w:b/>
                <w:bCs/>
                <w:color w:val="5A616B"/>
                <w:sz w:val="17"/>
                <w:szCs w:val="17"/>
              </w:rPr>
              <w:t>4. The problem, in three sentences</w:t>
            </w:r>
          </w:p>
          <w:p w14:paraId="72ADAA8E" w14:textId="77777777" w:rsidR="00097453" w:rsidRDefault="00595528">
            <w:pPr>
              <w:rPr>
                <w:rFonts w:ascii="Aptos" w:hAnsi="Aptos"/>
              </w:rPr>
            </w:pPr>
            <w:r>
              <w:rPr>
                <w:rFonts w:ascii="Aptos" w:eastAsia="Calibri" w:hAnsi="Aptos" w:cs="Calibri"/>
                <w:i/>
                <w:iCs/>
                <w:color w:val="5A616B"/>
                <w:sz w:val="15"/>
                <w:szCs w:val="15"/>
              </w:rPr>
              <w:t>what is painful, for whom, how often</w:t>
            </w:r>
          </w:p>
        </w:tc>
        <w:tc>
          <w:tcPr>
            <w:tcW w:w="6360" w:type="dxa"/>
            <w:tcMar>
              <w:top w:w="60" w:type="dxa"/>
              <w:left w:w="110" w:type="dxa"/>
              <w:bottom w:w="60" w:type="dxa"/>
              <w:right w:w="110" w:type="dxa"/>
            </w:tcMar>
          </w:tcPr>
          <w:p w14:paraId="0B750FC9" w14:textId="77777777" w:rsidR="00097453" w:rsidRDefault="00595528">
            <w:pPr>
              <w:rPr>
                <w:rFonts w:ascii="Aptos" w:hAnsi="Aptos"/>
              </w:rPr>
            </w:pPr>
            <w:r>
              <w:rPr>
                <w:rFonts w:ascii="Aptos" w:eastAsia="Calibri" w:hAnsi="Aptos" w:cs="Calibri"/>
                <w:color w:val="1A1D23"/>
                <w:sz w:val="19"/>
                <w:szCs w:val="19"/>
              </w:rPr>
              <w:t>An ERP migration runs twelve to twenty-four months and for most of it the client cannot see where it has got to. Progress arrives as a monthly steering deck built by hand, so the sponsor’s picture is weeks old and shaped by whoever made the slides. Are we on track, what is blocked, how much is left — each takes a consultant two days to answer, every time it is asked.</w:t>
            </w:r>
          </w:p>
        </w:tc>
      </w:tr>
      <w:tr w:rsidR="00097453" w14:paraId="03CAFCD9" w14:textId="77777777">
        <w:tc>
          <w:tcPr>
            <w:tcW w:w="3000" w:type="dxa"/>
            <w:shd w:val="clear" w:color="auto" w:fill="EEF3F8"/>
            <w:tcMar>
              <w:top w:w="60" w:type="dxa"/>
              <w:left w:w="110" w:type="dxa"/>
              <w:bottom w:w="60" w:type="dxa"/>
              <w:right w:w="110" w:type="dxa"/>
            </w:tcMar>
          </w:tcPr>
          <w:p w14:paraId="72AD5599" w14:textId="77777777" w:rsidR="00097453" w:rsidRDefault="00595528">
            <w:pPr>
              <w:spacing w:after="20"/>
              <w:rPr>
                <w:rFonts w:ascii="Aptos" w:hAnsi="Aptos"/>
              </w:rPr>
            </w:pPr>
            <w:r>
              <w:rPr>
                <w:rFonts w:ascii="Aptos" w:eastAsia="Calibri" w:hAnsi="Aptos" w:cs="Calibri"/>
                <w:b/>
                <w:bCs/>
                <w:color w:val="5A616B"/>
                <w:sz w:val="17"/>
                <w:szCs w:val="17"/>
              </w:rPr>
              <w:t>5. Who feels it</w:t>
            </w:r>
          </w:p>
          <w:p w14:paraId="7EB9B6A7" w14:textId="77777777" w:rsidR="00097453" w:rsidRDefault="00595528">
            <w:pPr>
              <w:rPr>
                <w:rFonts w:ascii="Aptos" w:hAnsi="Aptos"/>
              </w:rPr>
            </w:pPr>
            <w:r>
              <w:rPr>
                <w:rFonts w:ascii="Aptos" w:eastAsia="Calibri" w:hAnsi="Aptos" w:cs="Calibri"/>
                <w:i/>
                <w:iCs/>
                <w:color w:val="5A616B"/>
                <w:sz w:val="15"/>
                <w:szCs w:val="15"/>
              </w:rPr>
              <w:t>role, not name</w:t>
            </w:r>
          </w:p>
        </w:tc>
        <w:tc>
          <w:tcPr>
            <w:tcW w:w="6360" w:type="dxa"/>
            <w:tcMar>
              <w:top w:w="60" w:type="dxa"/>
              <w:left w:w="110" w:type="dxa"/>
              <w:bottom w:w="60" w:type="dxa"/>
              <w:right w:w="110" w:type="dxa"/>
            </w:tcMar>
          </w:tcPr>
          <w:p w14:paraId="35A13069" w14:textId="77777777" w:rsidR="00097453" w:rsidRDefault="00595528">
            <w:pPr>
              <w:rPr>
                <w:rFonts w:ascii="Aptos" w:hAnsi="Aptos"/>
              </w:rPr>
            </w:pPr>
            <w:r>
              <w:rPr>
                <w:rFonts w:ascii="Aptos" w:eastAsia="Calibri" w:hAnsi="Aptos" w:cs="Calibri"/>
                <w:color w:val="1A1D23"/>
                <w:sz w:val="19"/>
                <w:szCs w:val="19"/>
              </w:rPr>
              <w:t>The programme sponsor and the CFO funding it, carrying the risk without a live view of it — and the delivery lead who rebuilds the same status pack by hand every month.</w:t>
            </w:r>
          </w:p>
        </w:tc>
      </w:tr>
      <w:tr w:rsidR="00097453" w14:paraId="1D55F26B" w14:textId="77777777">
        <w:tc>
          <w:tcPr>
            <w:tcW w:w="3000" w:type="dxa"/>
            <w:shd w:val="clear" w:color="auto" w:fill="EEF3F8"/>
            <w:tcMar>
              <w:top w:w="60" w:type="dxa"/>
              <w:left w:w="110" w:type="dxa"/>
              <w:bottom w:w="60" w:type="dxa"/>
              <w:right w:w="110" w:type="dxa"/>
            </w:tcMar>
          </w:tcPr>
          <w:p w14:paraId="1D52B600" w14:textId="77777777" w:rsidR="00097453" w:rsidRDefault="00595528">
            <w:pPr>
              <w:spacing w:after="20"/>
              <w:rPr>
                <w:rFonts w:ascii="Aptos" w:hAnsi="Aptos"/>
              </w:rPr>
            </w:pPr>
            <w:r>
              <w:rPr>
                <w:rFonts w:ascii="Aptos" w:eastAsia="Calibri" w:hAnsi="Aptos" w:cs="Calibri"/>
                <w:b/>
                <w:bCs/>
                <w:color w:val="5A616B"/>
                <w:sz w:val="17"/>
                <w:szCs w:val="17"/>
              </w:rPr>
              <w:t>6. What “solved” looks like</w:t>
            </w:r>
          </w:p>
          <w:p w14:paraId="091CD513" w14:textId="77777777" w:rsidR="00097453" w:rsidRDefault="00595528">
            <w:pPr>
              <w:rPr>
                <w:rFonts w:ascii="Aptos" w:hAnsi="Aptos"/>
              </w:rPr>
            </w:pPr>
            <w:r>
              <w:rPr>
                <w:rFonts w:ascii="Aptos" w:eastAsia="Calibri" w:hAnsi="Aptos" w:cs="Calibri"/>
                <w:i/>
                <w:iCs/>
                <w:color w:val="5A616B"/>
                <w:sz w:val="15"/>
                <w:szCs w:val="15"/>
              </w:rPr>
              <w:t>the decision it unlocks</w:t>
            </w:r>
          </w:p>
        </w:tc>
        <w:tc>
          <w:tcPr>
            <w:tcW w:w="6360" w:type="dxa"/>
            <w:tcMar>
              <w:top w:w="60" w:type="dxa"/>
              <w:left w:w="110" w:type="dxa"/>
              <w:bottom w:w="60" w:type="dxa"/>
              <w:right w:w="110" w:type="dxa"/>
            </w:tcMar>
          </w:tcPr>
          <w:p w14:paraId="322700C9" w14:textId="77777777" w:rsidR="00097453" w:rsidRDefault="00595528">
            <w:pPr>
              <w:rPr>
                <w:rFonts w:ascii="Aptos" w:hAnsi="Aptos"/>
              </w:rPr>
            </w:pPr>
            <w:r>
              <w:rPr>
                <w:rFonts w:ascii="Aptos" w:eastAsia="Calibri" w:hAnsi="Aptos" w:cs="Calibri"/>
                <w:color w:val="1A1D23"/>
                <w:sz w:val="19"/>
                <w:szCs w:val="19"/>
              </w:rPr>
              <w:t>One screen both sides open — source systems, target, timeline, capacity, percent complete — with every figure derived from the migration’s own artefacts rather than typed into a deck. Ask what is blocking cutover for entity four and get it in seconds, with the evidence attached.</w:t>
            </w:r>
          </w:p>
        </w:tc>
      </w:tr>
      <w:tr w:rsidR="00097453" w14:paraId="1A1CA494" w14:textId="77777777">
        <w:tc>
          <w:tcPr>
            <w:tcW w:w="3000" w:type="dxa"/>
            <w:shd w:val="clear" w:color="auto" w:fill="EEF3F8"/>
            <w:tcMar>
              <w:top w:w="60" w:type="dxa"/>
              <w:left w:w="110" w:type="dxa"/>
              <w:bottom w:w="60" w:type="dxa"/>
              <w:right w:w="110" w:type="dxa"/>
            </w:tcMar>
          </w:tcPr>
          <w:p w14:paraId="0541ACB8" w14:textId="77777777" w:rsidR="00097453" w:rsidRDefault="00595528">
            <w:pPr>
              <w:spacing w:after="20"/>
              <w:rPr>
                <w:rFonts w:ascii="Aptos" w:hAnsi="Aptos"/>
              </w:rPr>
            </w:pPr>
            <w:r>
              <w:rPr>
                <w:rFonts w:ascii="Aptos" w:eastAsia="Calibri" w:hAnsi="Aptos" w:cs="Calibri"/>
                <w:b/>
                <w:bCs/>
                <w:color w:val="5A616B"/>
                <w:sz w:val="17"/>
                <w:szCs w:val="17"/>
              </w:rPr>
              <w:t>7. Data that exists today</w:t>
            </w:r>
          </w:p>
          <w:p w14:paraId="438BCB03" w14:textId="77777777" w:rsidR="00097453" w:rsidRDefault="00595528">
            <w:pPr>
              <w:rPr>
                <w:rFonts w:ascii="Aptos" w:hAnsi="Aptos"/>
              </w:rPr>
            </w:pPr>
            <w:r>
              <w:rPr>
                <w:rFonts w:ascii="Aptos" w:eastAsia="Calibri" w:hAnsi="Aptos" w:cs="Calibri"/>
                <w:i/>
                <w:iCs/>
                <w:color w:val="5A616B"/>
                <w:sz w:val="15"/>
                <w:szCs w:val="15"/>
              </w:rPr>
              <w:t>shape, and the synthetic substitute</w:t>
            </w:r>
          </w:p>
        </w:tc>
        <w:tc>
          <w:tcPr>
            <w:tcW w:w="6360" w:type="dxa"/>
            <w:tcMar>
              <w:top w:w="60" w:type="dxa"/>
              <w:left w:w="110" w:type="dxa"/>
              <w:bottom w:w="60" w:type="dxa"/>
              <w:right w:w="110" w:type="dxa"/>
            </w:tcMar>
          </w:tcPr>
          <w:p w14:paraId="64F80675" w14:textId="77777777" w:rsidR="00097453" w:rsidRDefault="00595528">
            <w:pPr>
              <w:rPr>
                <w:rFonts w:ascii="Aptos" w:hAnsi="Aptos"/>
              </w:rPr>
            </w:pPr>
            <w:r>
              <w:rPr>
                <w:rFonts w:ascii="Aptos" w:eastAsia="Calibri" w:hAnsi="Aptos" w:cs="Calibri"/>
                <w:color w:val="1A1D23"/>
                <w:sz w:val="19"/>
                <w:szCs w:val="19"/>
              </w:rPr>
              <w:t>Migration workplan, object inventory per source system, reconciliation results per load cycle, defect log, cutover runbook, team roster. All six can be generated synthetically at the right shape.</w:t>
            </w:r>
          </w:p>
        </w:tc>
      </w:tr>
      <w:tr w:rsidR="00097453" w14:paraId="3C856411" w14:textId="77777777">
        <w:tc>
          <w:tcPr>
            <w:tcW w:w="3000" w:type="dxa"/>
            <w:shd w:val="clear" w:color="auto" w:fill="EEF3F8"/>
            <w:tcMar>
              <w:top w:w="60" w:type="dxa"/>
              <w:left w:w="110" w:type="dxa"/>
              <w:bottom w:w="60" w:type="dxa"/>
              <w:right w:w="110" w:type="dxa"/>
            </w:tcMar>
          </w:tcPr>
          <w:p w14:paraId="57E26EB9" w14:textId="77777777" w:rsidR="00097453" w:rsidRDefault="00595528">
            <w:pPr>
              <w:rPr>
                <w:rFonts w:ascii="Aptos" w:hAnsi="Aptos"/>
              </w:rPr>
            </w:pPr>
            <w:r>
              <w:rPr>
                <w:rFonts w:ascii="Aptos" w:eastAsia="Calibri" w:hAnsi="Aptos" w:cs="Calibri"/>
                <w:b/>
                <w:bCs/>
                <w:color w:val="5A616B"/>
                <w:sz w:val="17"/>
                <w:szCs w:val="17"/>
              </w:rPr>
              <w:t>8. External data that would matter</w:t>
            </w:r>
          </w:p>
        </w:tc>
        <w:tc>
          <w:tcPr>
            <w:tcW w:w="6360" w:type="dxa"/>
            <w:tcMar>
              <w:top w:w="60" w:type="dxa"/>
              <w:left w:w="110" w:type="dxa"/>
              <w:bottom w:w="60" w:type="dxa"/>
              <w:right w:w="110" w:type="dxa"/>
            </w:tcMar>
          </w:tcPr>
          <w:p w14:paraId="24BE8873" w14:textId="77777777" w:rsidR="00097453" w:rsidRDefault="00595528">
            <w:pPr>
              <w:rPr>
                <w:rFonts w:ascii="Aptos" w:hAnsi="Aptos"/>
              </w:rPr>
            </w:pPr>
            <w:r>
              <w:rPr>
                <w:rFonts w:ascii="Aptos" w:eastAsia="Calibri" w:hAnsi="Aptos" w:cs="Calibri"/>
                <w:color w:val="1A1D23"/>
                <w:sz w:val="19"/>
                <w:szCs w:val="19"/>
              </w:rPr>
              <w:t>Vendor support-lifecycle dates. Published capability of infrastructure tooling such as AWS Transform, for the automation estimate. Holiday and financial-close calendars, which constrain cutover weekends.</w:t>
            </w:r>
          </w:p>
        </w:tc>
      </w:tr>
      <w:tr w:rsidR="00097453" w14:paraId="7C5E292E" w14:textId="77777777">
        <w:tc>
          <w:tcPr>
            <w:tcW w:w="3000" w:type="dxa"/>
            <w:shd w:val="clear" w:color="auto" w:fill="EEF3F8"/>
            <w:tcMar>
              <w:top w:w="60" w:type="dxa"/>
              <w:left w:w="110" w:type="dxa"/>
              <w:bottom w:w="60" w:type="dxa"/>
              <w:right w:w="110" w:type="dxa"/>
            </w:tcMar>
          </w:tcPr>
          <w:p w14:paraId="645CB42B" w14:textId="77777777" w:rsidR="00097453" w:rsidRDefault="00595528">
            <w:pPr>
              <w:spacing w:after="20"/>
              <w:rPr>
                <w:rFonts w:ascii="Aptos" w:hAnsi="Aptos"/>
              </w:rPr>
            </w:pPr>
            <w:r>
              <w:rPr>
                <w:rFonts w:ascii="Aptos" w:eastAsia="Calibri" w:hAnsi="Aptos" w:cs="Calibri"/>
                <w:b/>
                <w:bCs/>
                <w:color w:val="5A616B"/>
                <w:sz w:val="17"/>
                <w:szCs w:val="17"/>
              </w:rPr>
              <w:t>9. KPIs, plus glossary terms</w:t>
            </w:r>
          </w:p>
          <w:p w14:paraId="5378C736" w14:textId="77777777" w:rsidR="00097453" w:rsidRDefault="00595528">
            <w:pPr>
              <w:rPr>
                <w:rFonts w:ascii="Aptos" w:hAnsi="Aptos"/>
              </w:rPr>
            </w:pPr>
            <w:r>
              <w:rPr>
                <w:rFonts w:ascii="Aptos" w:eastAsia="Calibri" w:hAnsi="Aptos" w:cs="Calibri"/>
                <w:i/>
                <w:iCs/>
                <w:color w:val="5A616B"/>
                <w:sz w:val="15"/>
                <w:szCs w:val="15"/>
              </w:rPr>
              <w:t>an outsider must be able to read these</w:t>
            </w:r>
          </w:p>
        </w:tc>
        <w:tc>
          <w:tcPr>
            <w:tcW w:w="6360" w:type="dxa"/>
            <w:tcMar>
              <w:top w:w="60" w:type="dxa"/>
              <w:left w:w="110" w:type="dxa"/>
              <w:bottom w:w="60" w:type="dxa"/>
              <w:right w:w="110" w:type="dxa"/>
            </w:tcMar>
          </w:tcPr>
          <w:p w14:paraId="5B7F4A8B" w14:textId="77777777" w:rsidR="00097453" w:rsidRDefault="00595528">
            <w:pPr>
              <w:spacing w:after="50"/>
              <w:rPr>
                <w:rFonts w:ascii="Aptos" w:hAnsi="Aptos"/>
              </w:rPr>
            </w:pPr>
            <w:r>
              <w:rPr>
                <w:rFonts w:ascii="Aptos" w:eastAsia="Calibri" w:hAnsi="Aptos" w:cs="Calibri"/>
                <w:color w:val="1A1D23"/>
                <w:sz w:val="19"/>
                <w:szCs w:val="19"/>
              </w:rPr>
              <w:t>KPIs: objects migrated and reconciled; reconciliation pass rate per load cycle; open blockers by age; days to cutover against plan; capacity used against planned.</w:t>
            </w:r>
          </w:p>
          <w:p w14:paraId="3D5B8DDD" w14:textId="77777777" w:rsidR="00097453" w:rsidRDefault="00595528">
            <w:pPr>
              <w:rPr>
                <w:rFonts w:ascii="Aptos" w:hAnsi="Aptos"/>
              </w:rPr>
            </w:pPr>
            <w:r>
              <w:rPr>
                <w:rFonts w:ascii="Aptos" w:eastAsia="Calibri" w:hAnsi="Aptos" w:cs="Calibri"/>
                <w:color w:val="1A1D23"/>
                <w:sz w:val="19"/>
                <w:szCs w:val="19"/>
              </w:rPr>
              <w:t>Glossary: object = one migratable thing, such as a customer master; reconciliation = proving what landed matches what left; mock run = a full rehearsal against real data; cutover = the weekend the business switches systems.</w:t>
            </w:r>
          </w:p>
        </w:tc>
      </w:tr>
      <w:tr w:rsidR="00097453" w14:paraId="7A2BFBBB" w14:textId="77777777">
        <w:tc>
          <w:tcPr>
            <w:tcW w:w="3000" w:type="dxa"/>
            <w:shd w:val="clear" w:color="auto" w:fill="EEF3F8"/>
            <w:tcMar>
              <w:top w:w="60" w:type="dxa"/>
              <w:left w:w="110" w:type="dxa"/>
              <w:bottom w:w="60" w:type="dxa"/>
              <w:right w:w="110" w:type="dxa"/>
            </w:tcMar>
          </w:tcPr>
          <w:p w14:paraId="435EB801" w14:textId="77777777" w:rsidR="00097453" w:rsidRDefault="00595528">
            <w:pPr>
              <w:rPr>
                <w:rFonts w:ascii="Aptos" w:hAnsi="Aptos"/>
              </w:rPr>
            </w:pPr>
            <w:r>
              <w:rPr>
                <w:rFonts w:ascii="Aptos" w:eastAsia="Calibri" w:hAnsi="Aptos" w:cs="Calibri"/>
                <w:b/>
                <w:bCs/>
                <w:color w:val="5A616B"/>
                <w:sz w:val="17"/>
                <w:szCs w:val="17"/>
              </w:rPr>
              <w:t>10. Why hasn’t it been done?</w:t>
            </w:r>
          </w:p>
        </w:tc>
        <w:tc>
          <w:tcPr>
            <w:tcW w:w="6360" w:type="dxa"/>
            <w:tcMar>
              <w:top w:w="60" w:type="dxa"/>
              <w:left w:w="110" w:type="dxa"/>
              <w:bottom w:w="60" w:type="dxa"/>
              <w:right w:w="110" w:type="dxa"/>
            </w:tcMar>
          </w:tcPr>
          <w:p w14:paraId="23C5E697" w14:textId="77777777" w:rsidR="00097453" w:rsidRDefault="00595528">
            <w:pPr>
              <w:rPr>
                <w:rFonts w:ascii="Aptos" w:hAnsi="Aptos"/>
              </w:rPr>
            </w:pPr>
            <w:r>
              <w:rPr>
                <w:rFonts w:ascii="Aptos" w:eastAsia="Calibri" w:hAnsi="Aptos" w:cs="Calibri"/>
                <w:color w:val="1A1D23"/>
                <w:sz w:val="19"/>
                <w:szCs w:val="19"/>
              </w:rPr>
              <w:t>Not prioritised. Rebuilding the status pack is a few days a month, which never becomes a budget line, so every engagement pays for it again. Existing tooling sits at the infrastructure layer and speaks to engineers, not to the person funding the programme.</w:t>
            </w:r>
          </w:p>
        </w:tc>
      </w:tr>
      <w:tr w:rsidR="00097453" w14:paraId="289BE513" w14:textId="77777777">
        <w:tc>
          <w:tcPr>
            <w:tcW w:w="3000" w:type="dxa"/>
            <w:shd w:val="clear" w:color="auto" w:fill="EEF3F8"/>
            <w:tcMar>
              <w:top w:w="60" w:type="dxa"/>
              <w:left w:w="110" w:type="dxa"/>
              <w:bottom w:w="60" w:type="dxa"/>
              <w:right w:w="110" w:type="dxa"/>
            </w:tcMar>
          </w:tcPr>
          <w:p w14:paraId="04651CB7" w14:textId="77777777" w:rsidR="00097453" w:rsidRDefault="00595528">
            <w:pPr>
              <w:rPr>
                <w:rFonts w:ascii="Aptos" w:hAnsi="Aptos"/>
              </w:rPr>
            </w:pPr>
            <w:r>
              <w:rPr>
                <w:rFonts w:ascii="Aptos" w:eastAsia="Calibri" w:hAnsi="Aptos" w:cs="Calibri"/>
                <w:b/>
                <w:bCs/>
                <w:color w:val="5A616B"/>
                <w:sz w:val="17"/>
                <w:szCs w:val="17"/>
              </w:rPr>
              <w:t>11. A convincing 72-hour demo</w:t>
            </w:r>
          </w:p>
        </w:tc>
        <w:tc>
          <w:tcPr>
            <w:tcW w:w="6360" w:type="dxa"/>
            <w:tcMar>
              <w:top w:w="60" w:type="dxa"/>
              <w:left w:w="110" w:type="dxa"/>
              <w:bottom w:w="60" w:type="dxa"/>
              <w:right w:w="110" w:type="dxa"/>
            </w:tcMar>
          </w:tcPr>
          <w:p w14:paraId="360B3B9F" w14:textId="77777777" w:rsidR="00097453" w:rsidRDefault="00595528">
            <w:pPr>
              <w:spacing w:after="50"/>
              <w:rPr>
                <w:rFonts w:ascii="Aptos" w:hAnsi="Aptos"/>
              </w:rPr>
            </w:pPr>
            <w:r>
              <w:rPr>
                <w:rFonts w:ascii="Aptos" w:eastAsia="Calibri" w:hAnsi="Aptos" w:cs="Calibri"/>
                <w:color w:val="1A1D23"/>
                <w:sz w:val="19"/>
                <w:szCs w:val="19"/>
              </w:rPr>
              <w:t>One screen carrying source, target, timeline, capacity and percent complete, every number derived from the synthetic artefacts — plus one agent loop that genuinely runs: what is blocking cutover for this entity, answered with its evidence.</w:t>
            </w:r>
          </w:p>
          <w:p w14:paraId="67FB23DE" w14:textId="77777777" w:rsidR="00097453" w:rsidRDefault="00595528">
            <w:pPr>
              <w:rPr>
                <w:rFonts w:ascii="Aptos" w:hAnsi="Aptos"/>
              </w:rPr>
            </w:pPr>
            <w:r>
              <w:rPr>
                <w:rFonts w:ascii="Aptos" w:eastAsia="Calibri" w:hAnsi="Aptos" w:cs="Calibri"/>
                <w:color w:val="1A1D23"/>
                <w:sz w:val="19"/>
                <w:szCs w:val="19"/>
              </w:rPr>
              <w:t>The back end may be stubbed. The agent layer may not: a screen that only looks like the answer is a mockup, and we know what a mockup looks like.</w:t>
            </w:r>
          </w:p>
        </w:tc>
      </w:tr>
      <w:tr w:rsidR="00097453" w14:paraId="0344C160" w14:textId="77777777">
        <w:tc>
          <w:tcPr>
            <w:tcW w:w="3000" w:type="dxa"/>
            <w:shd w:val="clear" w:color="auto" w:fill="EEF3F8"/>
            <w:tcMar>
              <w:top w:w="60" w:type="dxa"/>
              <w:left w:w="110" w:type="dxa"/>
              <w:bottom w:w="60" w:type="dxa"/>
              <w:right w:w="110" w:type="dxa"/>
            </w:tcMar>
          </w:tcPr>
          <w:p w14:paraId="7FAFD32E" w14:textId="77777777" w:rsidR="00097453" w:rsidRDefault="00595528">
            <w:pPr>
              <w:spacing w:after="20"/>
              <w:rPr>
                <w:rFonts w:ascii="Aptos" w:hAnsi="Aptos"/>
              </w:rPr>
            </w:pPr>
            <w:r>
              <w:rPr>
                <w:rFonts w:ascii="Aptos" w:eastAsia="Calibri" w:hAnsi="Aptos" w:cs="Calibri"/>
                <w:b/>
                <w:bCs/>
                <w:color w:val="5A616B"/>
                <w:sz w:val="17"/>
                <w:szCs w:val="17"/>
              </w:rPr>
              <w:t>12. What must be stripped</w:t>
            </w:r>
          </w:p>
          <w:p w14:paraId="17457E47" w14:textId="77777777" w:rsidR="00097453" w:rsidRDefault="00595528">
            <w:pPr>
              <w:rPr>
                <w:rFonts w:ascii="Aptos" w:hAnsi="Aptos"/>
              </w:rPr>
            </w:pPr>
            <w:r>
              <w:rPr>
                <w:rFonts w:ascii="Aptos" w:eastAsia="Calibri" w:hAnsi="Aptos" w:cs="Calibri"/>
                <w:i/>
                <w:iCs/>
                <w:color w:val="5A616B"/>
                <w:sz w:val="15"/>
                <w:szCs w:val="15"/>
              </w:rPr>
              <w:t>before a team sees this</w:t>
            </w:r>
          </w:p>
        </w:tc>
        <w:tc>
          <w:tcPr>
            <w:tcW w:w="6360" w:type="dxa"/>
            <w:tcMar>
              <w:top w:w="60" w:type="dxa"/>
              <w:left w:w="110" w:type="dxa"/>
              <w:bottom w:w="60" w:type="dxa"/>
              <w:right w:w="110" w:type="dxa"/>
            </w:tcMar>
          </w:tcPr>
          <w:p w14:paraId="600A394A" w14:textId="77777777" w:rsidR="00097453" w:rsidRDefault="00595528">
            <w:pPr>
              <w:rPr>
                <w:rFonts w:ascii="Aptos" w:hAnsi="Aptos"/>
              </w:rPr>
            </w:pPr>
            <w:r>
              <w:rPr>
                <w:rFonts w:ascii="Aptos" w:eastAsia="Calibri" w:hAnsi="Aptos" w:cs="Calibri"/>
                <w:color w:val="1A1D23"/>
                <w:sz w:val="19"/>
                <w:szCs w:val="19"/>
              </w:rPr>
              <w:t>Portfolio company and system names — describe systems by tier and role instead. The real workplan, dates and record counts. Team member names in the roster.</w:t>
            </w:r>
          </w:p>
        </w:tc>
      </w:tr>
      <w:tr w:rsidR="00097453" w14:paraId="0C77B21E" w14:textId="77777777">
        <w:tc>
          <w:tcPr>
            <w:tcW w:w="3000" w:type="dxa"/>
            <w:shd w:val="clear" w:color="auto" w:fill="EEF3F8"/>
            <w:tcMar>
              <w:top w:w="60" w:type="dxa"/>
              <w:left w:w="110" w:type="dxa"/>
              <w:bottom w:w="60" w:type="dxa"/>
              <w:right w:w="110" w:type="dxa"/>
            </w:tcMar>
          </w:tcPr>
          <w:p w14:paraId="7FBB2C27" w14:textId="77777777" w:rsidR="00097453" w:rsidRDefault="00595528">
            <w:pPr>
              <w:rPr>
                <w:rFonts w:ascii="Aptos" w:hAnsi="Aptos"/>
              </w:rPr>
            </w:pPr>
            <w:r>
              <w:rPr>
                <w:rFonts w:ascii="Aptos" w:eastAsia="Calibri" w:hAnsi="Aptos" w:cs="Calibri"/>
                <w:b/>
                <w:bCs/>
                <w:color w:val="5A616B"/>
                <w:sz w:val="17"/>
                <w:szCs w:val="17"/>
              </w:rPr>
              <w:t>13. Problem owner</w:t>
            </w:r>
          </w:p>
        </w:tc>
        <w:tc>
          <w:tcPr>
            <w:tcW w:w="6360" w:type="dxa"/>
            <w:tcMar>
              <w:top w:w="60" w:type="dxa"/>
              <w:left w:w="110" w:type="dxa"/>
              <w:bottom w:w="60" w:type="dxa"/>
              <w:right w:w="110" w:type="dxa"/>
            </w:tcMar>
          </w:tcPr>
          <w:p w14:paraId="4A99E1C9" w14:textId="77777777" w:rsidR="00097453" w:rsidRDefault="00595528">
            <w:pPr>
              <w:rPr>
                <w:rFonts w:ascii="Aptos" w:hAnsi="Aptos"/>
              </w:rPr>
            </w:pPr>
            <w:r>
              <w:rPr>
                <w:rFonts w:ascii="Aptos" w:eastAsia="Calibri" w:hAnsi="Aptos" w:cs="Calibri"/>
                <w:color w:val="1A1D23"/>
                <w:sz w:val="19"/>
                <w:szCs w:val="19"/>
              </w:rPr>
              <w:t>Vanessa Addo, with Joseph Akayesi for oversight — please confirm with both before submitting.</w:t>
            </w:r>
          </w:p>
        </w:tc>
      </w:tr>
    </w:tbl>
    <w:p w14:paraId="66F8D10F" w14:textId="77777777" w:rsidR="00595528" w:rsidRDefault="00595528"/>
    <w:sectPr w:rsidR="00595528">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F7C"/>
    <w:multiLevelType w:val="hybridMultilevel"/>
    <w:tmpl w:val="188618EC"/>
    <w:lvl w:ilvl="0" w:tplc="77F6A6A6">
      <w:start w:val="1"/>
      <w:numFmt w:val="bullet"/>
      <w:lvlText w:val="●"/>
      <w:lvlJc w:val="left"/>
      <w:pPr>
        <w:ind w:left="720" w:hanging="360"/>
      </w:pPr>
    </w:lvl>
    <w:lvl w:ilvl="1" w:tplc="A446C392">
      <w:start w:val="1"/>
      <w:numFmt w:val="bullet"/>
      <w:lvlText w:val="○"/>
      <w:lvlJc w:val="left"/>
      <w:pPr>
        <w:ind w:left="1440" w:hanging="360"/>
      </w:pPr>
    </w:lvl>
    <w:lvl w:ilvl="2" w:tplc="491C0EF0">
      <w:start w:val="1"/>
      <w:numFmt w:val="bullet"/>
      <w:lvlText w:val="■"/>
      <w:lvlJc w:val="left"/>
      <w:pPr>
        <w:ind w:left="2160" w:hanging="360"/>
      </w:pPr>
    </w:lvl>
    <w:lvl w:ilvl="3" w:tplc="68F6114A">
      <w:start w:val="1"/>
      <w:numFmt w:val="bullet"/>
      <w:lvlText w:val="●"/>
      <w:lvlJc w:val="left"/>
      <w:pPr>
        <w:ind w:left="2880" w:hanging="360"/>
      </w:pPr>
    </w:lvl>
    <w:lvl w:ilvl="4" w:tplc="A2762446">
      <w:start w:val="1"/>
      <w:numFmt w:val="bullet"/>
      <w:lvlText w:val="○"/>
      <w:lvlJc w:val="left"/>
      <w:pPr>
        <w:ind w:left="3600" w:hanging="360"/>
      </w:pPr>
    </w:lvl>
    <w:lvl w:ilvl="5" w:tplc="F3CEC63A">
      <w:start w:val="1"/>
      <w:numFmt w:val="bullet"/>
      <w:lvlText w:val="■"/>
      <w:lvlJc w:val="left"/>
      <w:pPr>
        <w:ind w:left="4320" w:hanging="360"/>
      </w:pPr>
    </w:lvl>
    <w:lvl w:ilvl="6" w:tplc="3F24A95E">
      <w:start w:val="1"/>
      <w:numFmt w:val="bullet"/>
      <w:lvlText w:val="●"/>
      <w:lvlJc w:val="left"/>
      <w:pPr>
        <w:ind w:left="5040" w:hanging="360"/>
      </w:pPr>
    </w:lvl>
    <w:lvl w:ilvl="7" w:tplc="10700BBC">
      <w:start w:val="1"/>
      <w:numFmt w:val="bullet"/>
      <w:lvlText w:val="●"/>
      <w:lvlJc w:val="left"/>
      <w:pPr>
        <w:ind w:left="5760" w:hanging="360"/>
      </w:pPr>
    </w:lvl>
    <w:lvl w:ilvl="8" w:tplc="85102250">
      <w:start w:val="1"/>
      <w:numFmt w:val="bullet"/>
      <w:lvlText w:val="●"/>
      <w:lvlJc w:val="left"/>
      <w:pPr>
        <w:ind w:left="6480" w:hanging="360"/>
      </w:pPr>
    </w:lvl>
  </w:abstractNum>
  <w:abstractNum w:abstractNumId="1" w15:restartNumberingAfterBreak="0">
    <w:nsid w:val="3B0736A8"/>
    <w:multiLevelType w:val="hybridMultilevel"/>
    <w:tmpl w:val="1AEAFBFA"/>
    <w:lvl w:ilvl="0" w:tplc="5E66D5C6">
      <w:start w:val="1"/>
      <w:numFmt w:val="decimal"/>
      <w:lvlText w:val="%1."/>
      <w:lvlJc w:val="left"/>
      <w:pPr>
        <w:ind w:left="431" w:hanging="259"/>
      </w:pPr>
    </w:lvl>
    <w:lvl w:ilvl="1" w:tplc="934C6F0C">
      <w:numFmt w:val="decimal"/>
      <w:lvlText w:val=""/>
      <w:lvlJc w:val="left"/>
    </w:lvl>
    <w:lvl w:ilvl="2" w:tplc="BF5CAF22">
      <w:numFmt w:val="decimal"/>
      <w:lvlText w:val=""/>
      <w:lvlJc w:val="left"/>
    </w:lvl>
    <w:lvl w:ilvl="3" w:tplc="5FE069D6">
      <w:numFmt w:val="decimal"/>
      <w:lvlText w:val=""/>
      <w:lvlJc w:val="left"/>
    </w:lvl>
    <w:lvl w:ilvl="4" w:tplc="CAE89DB6">
      <w:numFmt w:val="decimal"/>
      <w:lvlText w:val=""/>
      <w:lvlJc w:val="left"/>
    </w:lvl>
    <w:lvl w:ilvl="5" w:tplc="E7C2C348">
      <w:numFmt w:val="decimal"/>
      <w:lvlText w:val=""/>
      <w:lvlJc w:val="left"/>
    </w:lvl>
    <w:lvl w:ilvl="6" w:tplc="392A5918">
      <w:numFmt w:val="decimal"/>
      <w:lvlText w:val=""/>
      <w:lvlJc w:val="left"/>
    </w:lvl>
    <w:lvl w:ilvl="7" w:tplc="7CAA05D2">
      <w:numFmt w:val="decimal"/>
      <w:lvlText w:val=""/>
      <w:lvlJc w:val="left"/>
    </w:lvl>
    <w:lvl w:ilvl="8" w:tplc="8D382DE6">
      <w:numFmt w:val="decimal"/>
      <w:lvlText w:val=""/>
      <w:lvlJc w:val="left"/>
    </w:lvl>
  </w:abstractNum>
  <w:abstractNum w:abstractNumId="2" w15:restartNumberingAfterBreak="0">
    <w:nsid w:val="3F960CA3"/>
    <w:multiLevelType w:val="hybridMultilevel"/>
    <w:tmpl w:val="13ECC93A"/>
    <w:lvl w:ilvl="0" w:tplc="720006EC">
      <w:start w:val="1"/>
      <w:numFmt w:val="bullet"/>
      <w:lvlText w:val="•"/>
      <w:lvlJc w:val="left"/>
      <w:pPr>
        <w:ind w:left="431" w:hanging="259"/>
      </w:pPr>
    </w:lvl>
    <w:lvl w:ilvl="1" w:tplc="E8324CDC">
      <w:numFmt w:val="decimal"/>
      <w:lvlText w:val=""/>
      <w:lvlJc w:val="left"/>
    </w:lvl>
    <w:lvl w:ilvl="2" w:tplc="E9B0A70A">
      <w:numFmt w:val="decimal"/>
      <w:lvlText w:val=""/>
      <w:lvlJc w:val="left"/>
    </w:lvl>
    <w:lvl w:ilvl="3" w:tplc="984C1154">
      <w:numFmt w:val="decimal"/>
      <w:lvlText w:val=""/>
      <w:lvlJc w:val="left"/>
    </w:lvl>
    <w:lvl w:ilvl="4" w:tplc="188AB05C">
      <w:numFmt w:val="decimal"/>
      <w:lvlText w:val=""/>
      <w:lvlJc w:val="left"/>
    </w:lvl>
    <w:lvl w:ilvl="5" w:tplc="3626BE4C">
      <w:numFmt w:val="decimal"/>
      <w:lvlText w:val=""/>
      <w:lvlJc w:val="left"/>
    </w:lvl>
    <w:lvl w:ilvl="6" w:tplc="07048EB2">
      <w:numFmt w:val="decimal"/>
      <w:lvlText w:val=""/>
      <w:lvlJc w:val="left"/>
    </w:lvl>
    <w:lvl w:ilvl="7" w:tplc="E09EABBE">
      <w:numFmt w:val="decimal"/>
      <w:lvlText w:val=""/>
      <w:lvlJc w:val="left"/>
    </w:lvl>
    <w:lvl w:ilvl="8" w:tplc="2370F80C">
      <w:numFmt w:val="decimal"/>
      <w:lvlText w:val=""/>
      <w:lvlJc w:val="left"/>
    </w:lvl>
  </w:abstractNum>
  <w:num w:numId="1" w16cid:durableId="2117820155">
    <w:abstractNumId w:val="0"/>
    <w:lvlOverride w:ilvl="0">
      <w:startOverride w:val="1"/>
    </w:lvlOverride>
  </w:num>
  <w:num w:numId="2" w16cid:durableId="2063942553">
    <w:abstractNumId w:val="2"/>
    <w:lvlOverride w:ilvl="0">
      <w:startOverride w:val="1"/>
    </w:lvlOverride>
  </w:num>
  <w:num w:numId="3" w16cid:durableId="248269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B8B"/>
    <w:rsid w:val="00097453"/>
    <w:rsid w:val="00210B74"/>
    <w:rsid w:val="003C5A38"/>
    <w:rsid w:val="00595528"/>
    <w:rsid w:val="00657C25"/>
    <w:rsid w:val="00745628"/>
    <w:rsid w:val="00A31C79"/>
    <w:rsid w:val="00A72B8B"/>
    <w:rsid w:val="00AC1104"/>
    <w:rsid w:val="00F03CF4"/>
    <w:rsid w:val="00F50FC9"/>
    <w:rsid w:val="00FF5E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F9671"/>
  <w15:docId w15:val="{4D722B2C-3F7C-4829-94B0-61F97D27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499</Words>
  <Characters>3148</Characters>
  <Application>Microsoft Office Word</Application>
  <DocSecurity>0</DocSecurity>
  <Lines>26</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Hackathon 2026 — Call for Client Problem Statements</dc:title>
  <dc:creator>AmaliTech</dc:creator>
  <dc:description>Background, submission guidance and template for account managers and team leads.</dc:description>
  <cp:lastModifiedBy>CROPDOOR LLC</cp:lastModifiedBy>
  <cp:revision>2</cp:revision>
  <dcterms:created xsi:type="dcterms:W3CDTF">2026-10-13T14:37:00Z</dcterms:created>
  <dcterms:modified xsi:type="dcterms:W3CDTF">2026-10-13T14:37:00Z</dcterms:modified>
</cp:coreProperties>
</file>