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28E3F" w14:textId="77777777" w:rsidR="00FC0714" w:rsidRDefault="00FC0714" w:rsidP="000B7533">
      <w:pPr>
        <w:spacing w:line="480" w:lineRule="auto"/>
        <w:ind w:firstLine="720"/>
        <w:jc w:val="center"/>
        <w:rPr>
          <w:b/>
          <w:bCs/>
        </w:rPr>
      </w:pPr>
    </w:p>
    <w:p w14:paraId="0729CBED" w14:textId="77777777" w:rsidR="00FC0714" w:rsidRDefault="00FC0714" w:rsidP="000B7533">
      <w:pPr>
        <w:spacing w:line="480" w:lineRule="auto"/>
        <w:ind w:firstLine="720"/>
        <w:jc w:val="center"/>
        <w:rPr>
          <w:b/>
          <w:bCs/>
        </w:rPr>
      </w:pPr>
    </w:p>
    <w:p w14:paraId="15DBDBEB" w14:textId="77777777" w:rsidR="00FC0714" w:rsidRDefault="00FC0714" w:rsidP="000B7533">
      <w:pPr>
        <w:spacing w:line="480" w:lineRule="auto"/>
        <w:ind w:firstLine="720"/>
        <w:jc w:val="center"/>
        <w:rPr>
          <w:b/>
          <w:bCs/>
        </w:rPr>
      </w:pPr>
    </w:p>
    <w:p w14:paraId="7A17AF0D" w14:textId="77777777" w:rsidR="00FC0714" w:rsidRDefault="00FC0714" w:rsidP="000B7533">
      <w:pPr>
        <w:spacing w:line="480" w:lineRule="auto"/>
        <w:ind w:firstLine="720"/>
        <w:jc w:val="center"/>
        <w:rPr>
          <w:b/>
          <w:bCs/>
        </w:rPr>
      </w:pPr>
    </w:p>
    <w:p w14:paraId="028C8BCA" w14:textId="3298E1E1" w:rsidR="00FC0714" w:rsidRDefault="00FC0714" w:rsidP="000B7533">
      <w:pPr>
        <w:spacing w:line="480" w:lineRule="auto"/>
        <w:ind w:firstLine="720"/>
        <w:jc w:val="center"/>
        <w:rPr>
          <w:b/>
          <w:bCs/>
        </w:rPr>
      </w:pPr>
      <w:r w:rsidRPr="00FC0714">
        <w:rPr>
          <w:b/>
          <w:bCs/>
        </w:rPr>
        <w:t>Analysis of Global Fire Weather Index and Its Correlation to The Oceanic Nino Index in the Amazon Rainforest Region</w:t>
      </w:r>
    </w:p>
    <w:p w14:paraId="1BDB6225" w14:textId="77777777" w:rsidR="00FC0714" w:rsidRDefault="00FC0714" w:rsidP="00FC0714">
      <w:pPr>
        <w:jc w:val="center"/>
        <w:rPr>
          <w:b/>
          <w:bCs/>
        </w:rPr>
      </w:pPr>
    </w:p>
    <w:p w14:paraId="6024C2AA" w14:textId="77777777" w:rsidR="00FC0714" w:rsidRPr="00FC0714" w:rsidRDefault="00FC0714" w:rsidP="00FC0714">
      <w:pPr>
        <w:jc w:val="center"/>
      </w:pPr>
      <w:r w:rsidRPr="00FC0714">
        <w:t>Patrick Naylor</w:t>
      </w:r>
    </w:p>
    <w:p w14:paraId="31822391" w14:textId="77777777" w:rsidR="00FC0714" w:rsidRDefault="00FC0714" w:rsidP="00FC0714">
      <w:pPr>
        <w:jc w:val="center"/>
      </w:pPr>
      <w:r>
        <w:t>Scripps Institute of Oceanography, UC San Diego</w:t>
      </w:r>
    </w:p>
    <w:p w14:paraId="0923B95B" w14:textId="77777777" w:rsidR="00FC0714" w:rsidRDefault="00FC0714" w:rsidP="00FC0714">
      <w:pPr>
        <w:jc w:val="center"/>
      </w:pPr>
      <w:r>
        <w:t>SIO 175: Analysis of Oceanic and Atmospheric Data</w:t>
      </w:r>
    </w:p>
    <w:p w14:paraId="5E7F001E" w14:textId="77777777" w:rsidR="00FC0714" w:rsidRDefault="00FC0714" w:rsidP="00FC0714">
      <w:pPr>
        <w:jc w:val="center"/>
      </w:pPr>
      <w:r>
        <w:t>Mark Merrifield, Ph.D.</w:t>
      </w:r>
    </w:p>
    <w:p w14:paraId="4F8CC762" w14:textId="566F100C" w:rsidR="00FC0714" w:rsidRDefault="00FC0714" w:rsidP="00FC0714">
      <w:pPr>
        <w:jc w:val="center"/>
        <w:rPr>
          <w:b/>
          <w:bCs/>
        </w:rPr>
      </w:pPr>
      <w:r>
        <w:t>December 17 2020</w:t>
      </w:r>
      <w:r>
        <w:rPr>
          <w:b/>
          <w:bCs/>
        </w:rPr>
        <w:br w:type="page"/>
      </w:r>
    </w:p>
    <w:p w14:paraId="69603CDF" w14:textId="64DB63B3" w:rsidR="00E157FE" w:rsidRPr="00A42921" w:rsidRDefault="00E157FE" w:rsidP="000B7533">
      <w:pPr>
        <w:spacing w:line="480" w:lineRule="auto"/>
        <w:ind w:firstLine="720"/>
        <w:jc w:val="center"/>
        <w:rPr>
          <w:b/>
          <w:bCs/>
        </w:rPr>
      </w:pPr>
      <w:r w:rsidRPr="00A42921">
        <w:rPr>
          <w:b/>
          <w:bCs/>
        </w:rPr>
        <w:lastRenderedPageBreak/>
        <w:t>Background</w:t>
      </w:r>
    </w:p>
    <w:p w14:paraId="199C1C17" w14:textId="70548753" w:rsidR="00351001" w:rsidRDefault="00E04DC6" w:rsidP="000B7533">
      <w:pPr>
        <w:spacing w:line="480" w:lineRule="auto"/>
        <w:ind w:firstLine="720"/>
      </w:pPr>
      <w:r>
        <w:t>The Amazon Rainforest is the biggest</w:t>
      </w:r>
      <w:r w:rsidR="00A2745C">
        <w:t xml:space="preserve"> rainforest </w:t>
      </w:r>
      <w:r>
        <w:t>on the planet</w:t>
      </w:r>
      <w:r w:rsidR="00A2745C">
        <w:t>.</w:t>
      </w:r>
      <w:r>
        <w:t xml:space="preserve"> </w:t>
      </w:r>
      <w:r w:rsidR="00A2745C">
        <w:t xml:space="preserve">It </w:t>
      </w:r>
      <w:proofErr w:type="spellStart"/>
      <w:r w:rsidR="00A2745C">
        <w:t>is</w:t>
      </w:r>
      <w:r>
        <w:t>s</w:t>
      </w:r>
      <w:proofErr w:type="spellEnd"/>
      <w:r>
        <w:t xml:space="preserve"> home to an estimated 30% of the world</w:t>
      </w:r>
      <w:r w:rsidR="00FC0714">
        <w:t>’</w:t>
      </w:r>
      <w:r>
        <w:t>s plant and animal species</w:t>
      </w:r>
      <w:r w:rsidR="00020E18">
        <w:t xml:space="preserve"> and 817,000 indigenous </w:t>
      </w:r>
      <w:r w:rsidR="000B7533">
        <w:t>Brazilians</w:t>
      </w:r>
      <w:r>
        <w:t xml:space="preserve"> </w:t>
      </w:r>
      <w:r w:rsidR="000B7533">
        <w:rPr>
          <w:color w:val="000000"/>
          <w:shd w:val="clear" w:color="auto" w:fill="FFFFFF"/>
        </w:rPr>
        <w:t>(Stewart, 2019)</w:t>
      </w:r>
      <w:r>
        <w:t>. The Rainforest is not only important to its local ecosystem, but to the global climate. With greater than 3</w:t>
      </w:r>
      <w:r w:rsidR="00020E18">
        <w:t>50</w:t>
      </w:r>
      <w:r>
        <w:t xml:space="preserve"> billion trees the Amazon stores an estimated 5% of annual CO</w:t>
      </w:r>
      <w:r>
        <w:rPr>
          <w:vertAlign w:val="subscript"/>
        </w:rPr>
        <w:t xml:space="preserve">2 </w:t>
      </w:r>
      <w:r>
        <w:t xml:space="preserve">emissions at about 2 billion tons per year </w:t>
      </w:r>
      <w:r w:rsidR="000B7533">
        <w:rPr>
          <w:color w:val="000000"/>
          <w:shd w:val="clear" w:color="auto" w:fill="FFFFFF"/>
        </w:rPr>
        <w:t>(Anna Jean Kaiser, 2019)</w:t>
      </w:r>
      <w:r>
        <w:t xml:space="preserve">. Considering its importance, it is imperative to be able to protect the region from </w:t>
      </w:r>
      <w:r w:rsidR="00A2745C">
        <w:t>events</w:t>
      </w:r>
      <w:r>
        <w:t xml:space="preserve"> that could damage it, namely wildfires. </w:t>
      </w:r>
      <w:r w:rsidR="00020E18">
        <w:t>In 2019 the Amazon Rainforest experienced “more than 41,000 ‘fire spots’ between 1</w:t>
      </w:r>
      <w:r w:rsidR="000B7533">
        <w:t xml:space="preserve"> </w:t>
      </w:r>
      <w:r w:rsidR="00020E18">
        <w:t>January and 24 August,” burning an estimated 9,060 km</w:t>
      </w:r>
      <w:r w:rsidR="00020E18">
        <w:rPr>
          <w:vertAlign w:val="superscript"/>
        </w:rPr>
        <w:t>2</w:t>
      </w:r>
      <w:r w:rsidR="00020E18">
        <w:t xml:space="preserve"> of forest. (</w:t>
      </w:r>
      <w:r w:rsidR="000B7533">
        <w:t>CBS News, 2019, Stewart, 2019</w:t>
      </w:r>
      <w:r w:rsidR="00020E18">
        <w:t>).  Considering the potential impact of these fires it is imperative to be able to accurately forecast wildfire conditions.</w:t>
      </w:r>
    </w:p>
    <w:p w14:paraId="5611AC4C" w14:textId="04E4420F" w:rsidR="00E157FE" w:rsidRPr="00A42921" w:rsidRDefault="00E157FE" w:rsidP="000B7533">
      <w:pPr>
        <w:spacing w:line="480" w:lineRule="auto"/>
        <w:ind w:firstLine="720"/>
        <w:jc w:val="center"/>
        <w:rPr>
          <w:b/>
          <w:bCs/>
        </w:rPr>
      </w:pPr>
      <w:r w:rsidRPr="00A42921">
        <w:rPr>
          <w:b/>
          <w:bCs/>
        </w:rPr>
        <w:t>Methods</w:t>
      </w:r>
    </w:p>
    <w:p w14:paraId="720126E9" w14:textId="2FBC2D58" w:rsidR="00020E18" w:rsidRDefault="00020E18" w:rsidP="000B7533">
      <w:pPr>
        <w:spacing w:line="480" w:lineRule="auto"/>
      </w:pPr>
      <w:r>
        <w:tab/>
      </w:r>
      <w:r w:rsidR="00E157FE">
        <w:t>To develop a greater understanding of the conditions that are leading to such large fire events</w:t>
      </w:r>
      <w:r w:rsidR="00A2745C">
        <w:t>,</w:t>
      </w:r>
      <w:r w:rsidR="00E157FE">
        <w:t xml:space="preserve"> the global Fire Weather Index (FWI) dataset</w:t>
      </w:r>
      <w:r w:rsidR="00734AA6">
        <w:t xml:space="preserve"> was processed and analyzed</w:t>
      </w:r>
      <w:r w:rsidR="000B7533" w:rsidRPr="000B7533">
        <w:rPr>
          <w:color w:val="000000"/>
          <w:shd w:val="clear" w:color="auto" w:fill="FFFFFF"/>
        </w:rPr>
        <w:t xml:space="preserve"> </w:t>
      </w:r>
      <w:r w:rsidR="000B7533">
        <w:rPr>
          <w:color w:val="000000"/>
          <w:shd w:val="clear" w:color="auto" w:fill="FFFFFF"/>
        </w:rPr>
        <w:t>(</w:t>
      </w:r>
      <w:proofErr w:type="spellStart"/>
      <w:r w:rsidR="000B7533">
        <w:rPr>
          <w:i/>
          <w:iCs/>
          <w:color w:val="000000"/>
        </w:rPr>
        <w:t>Data.GISS</w:t>
      </w:r>
      <w:proofErr w:type="spellEnd"/>
      <w:r w:rsidR="000B7533">
        <w:rPr>
          <w:i/>
          <w:iCs/>
          <w:color w:val="000000"/>
        </w:rPr>
        <w:t xml:space="preserve">: Global Fire </w:t>
      </w:r>
      <w:proofErr w:type="spellStart"/>
      <w:r w:rsidR="000B7533">
        <w:rPr>
          <w:i/>
          <w:iCs/>
          <w:color w:val="000000"/>
        </w:rPr>
        <w:t>WEather</w:t>
      </w:r>
      <w:proofErr w:type="spellEnd"/>
      <w:r w:rsidR="000B7533">
        <w:rPr>
          <w:i/>
          <w:iCs/>
          <w:color w:val="000000"/>
        </w:rPr>
        <w:t xml:space="preserve"> Database (GFWED)</w:t>
      </w:r>
      <w:r w:rsidR="000B7533">
        <w:rPr>
          <w:color w:val="000000"/>
          <w:shd w:val="clear" w:color="auto" w:fill="FFFFFF"/>
        </w:rPr>
        <w:t>, 2015)</w:t>
      </w:r>
      <w:r w:rsidR="00E157FE">
        <w:t xml:space="preserve">. FWI is based on the Initial Spread Index (ISI), an index using fuel moisture to estimate fire spread conditions, and the Buildup Index (BUI), an index based on moisture and drought conditions </w:t>
      </w:r>
      <w:r w:rsidR="000B7533">
        <w:rPr>
          <w:color w:val="000000"/>
          <w:shd w:val="clear" w:color="auto" w:fill="FFFFFF"/>
        </w:rPr>
        <w:t>(</w:t>
      </w:r>
      <w:r w:rsidR="000B7533">
        <w:rPr>
          <w:i/>
          <w:iCs/>
          <w:color w:val="000000"/>
        </w:rPr>
        <w:t>Fire Weather Index (FWI) System | NWCG</w:t>
      </w:r>
      <w:r w:rsidR="000B7533">
        <w:rPr>
          <w:color w:val="000000"/>
          <w:shd w:val="clear" w:color="auto" w:fill="FFFFFF"/>
        </w:rPr>
        <w:t>, 2010)</w:t>
      </w:r>
      <w:r w:rsidR="000B7533">
        <w:rPr>
          <w:color w:val="000000"/>
          <w:shd w:val="clear" w:color="auto" w:fill="FFFFFF"/>
        </w:rPr>
        <w:t xml:space="preserve">. </w:t>
      </w:r>
      <w:r w:rsidR="00E157FE">
        <w:t>FWI is a unitless index that “is a key indicator of extreme fire behavior potential</w:t>
      </w:r>
      <w:r w:rsidR="00A2745C">
        <w:t>” (</w:t>
      </w:r>
      <w:r w:rsidR="00A2745C">
        <w:rPr>
          <w:i/>
          <w:iCs/>
          <w:color w:val="000000"/>
        </w:rPr>
        <w:t>Fire Weather Index (FWI) System | NWCG</w:t>
      </w:r>
      <w:r w:rsidR="00A2745C">
        <w:rPr>
          <w:color w:val="000000"/>
          <w:shd w:val="clear" w:color="auto" w:fill="FFFFFF"/>
        </w:rPr>
        <w:t>, 2010)</w:t>
      </w:r>
      <w:r w:rsidR="00E157FE">
        <w:t>. With this data</w:t>
      </w:r>
      <w:r w:rsidR="00FC0714">
        <w:t>,</w:t>
      </w:r>
      <w:r w:rsidR="00E157FE">
        <w:t xml:space="preserve"> an annual trend and correlat</w:t>
      </w:r>
      <w:r w:rsidR="00A2745C">
        <w:t>ion to</w:t>
      </w:r>
      <w:r w:rsidR="00E157FE">
        <w:t xml:space="preserve"> the Oceanic Nino Index (ONI), a three-month running average of equatorial pacific sea surface temperature anomaly</w:t>
      </w:r>
      <w:r w:rsidR="00734AA6">
        <w:t>, were created</w:t>
      </w:r>
      <w:r w:rsidR="00E157FE">
        <w:t xml:space="preserve"> </w:t>
      </w:r>
      <w:r w:rsidR="000B7533">
        <w:rPr>
          <w:color w:val="000000"/>
          <w:shd w:val="clear" w:color="auto" w:fill="FFFFFF"/>
        </w:rPr>
        <w:t>(NOAA’s Climate Prediction Center, 2017)</w:t>
      </w:r>
      <w:r w:rsidR="000B7533">
        <w:rPr>
          <w:color w:val="000000"/>
          <w:shd w:val="clear" w:color="auto" w:fill="FFFFFF"/>
        </w:rPr>
        <w:t>.</w:t>
      </w:r>
    </w:p>
    <w:p w14:paraId="0AD4BCCE" w14:textId="17E22C37" w:rsidR="00E157FE" w:rsidRDefault="00E157FE" w:rsidP="000B7533">
      <w:pPr>
        <w:spacing w:line="480" w:lineRule="auto"/>
      </w:pPr>
      <w:r>
        <w:lastRenderedPageBreak/>
        <w:tab/>
        <w:t xml:space="preserve">To find a linear trend </w:t>
      </w:r>
      <w:r w:rsidR="00D61FCC">
        <w:t xml:space="preserve">the FWI data from </w:t>
      </w:r>
      <w:r w:rsidR="00296944">
        <w:t>January</w:t>
      </w:r>
      <w:r w:rsidR="00D61FCC">
        <w:t xml:space="preserve"> 1981 to August 2020 was imputed into the python module </w:t>
      </w:r>
      <w:proofErr w:type="spellStart"/>
      <w:r w:rsidR="00D61FCC">
        <w:t>scypy’s</w:t>
      </w:r>
      <w:proofErr w:type="spellEnd"/>
      <w:r w:rsidR="00D61FCC">
        <w:t xml:space="preserve"> function </w:t>
      </w:r>
      <w:proofErr w:type="spellStart"/>
      <w:r w:rsidR="00D61FCC">
        <w:t>linregress</w:t>
      </w:r>
      <w:proofErr w:type="spellEnd"/>
      <w:r w:rsidR="00A2745C">
        <w:t xml:space="preserve"> </w:t>
      </w:r>
      <w:r w:rsidR="00A2745C">
        <w:rPr>
          <w:color w:val="000000"/>
          <w:shd w:val="clear" w:color="auto" w:fill="FFFFFF"/>
        </w:rPr>
        <w:t>(</w:t>
      </w:r>
      <w:proofErr w:type="spellStart"/>
      <w:proofErr w:type="gramStart"/>
      <w:r w:rsidR="00A2745C">
        <w:rPr>
          <w:i/>
          <w:iCs/>
          <w:color w:val="000000"/>
        </w:rPr>
        <w:t>scipy.stats</w:t>
      </w:r>
      <w:proofErr w:type="gramEnd"/>
      <w:r w:rsidR="00A2745C">
        <w:rPr>
          <w:i/>
          <w:iCs/>
          <w:color w:val="000000"/>
        </w:rPr>
        <w:t>.linregress</w:t>
      </w:r>
      <w:proofErr w:type="spellEnd"/>
      <w:r w:rsidR="00A2745C">
        <w:rPr>
          <w:i/>
          <w:iCs/>
          <w:color w:val="000000"/>
        </w:rPr>
        <w:t xml:space="preserve"> — SciPy v1.5.4 Reference Guide</w:t>
      </w:r>
      <w:r w:rsidR="00A2745C">
        <w:rPr>
          <w:color w:val="000000"/>
          <w:shd w:val="clear" w:color="auto" w:fill="FFFFFF"/>
        </w:rPr>
        <w:t>, 2020)</w:t>
      </w:r>
      <w:r w:rsidR="00D61FCC">
        <w:t>. This gave a slope and p-value of the linear trend for each location. To visualize this</w:t>
      </w:r>
      <w:r w:rsidR="00A2745C">
        <w:t>,</w:t>
      </w:r>
      <w:r w:rsidR="00D61FCC">
        <w:t xml:space="preserve"> one map (figure 1) was created to show the slopes of the annual trend and </w:t>
      </w:r>
      <w:r w:rsidR="00A2745C">
        <w:t>another</w:t>
      </w:r>
      <w:r w:rsidR="00D61FCC">
        <w:t xml:space="preserve"> (figure 2) </w:t>
      </w:r>
      <w:r w:rsidR="00A2745C">
        <w:t xml:space="preserve">was created </w:t>
      </w:r>
      <w:r w:rsidR="00D61FCC">
        <w:t>to show the p-values with the statistically significant, p-value less than .05, emphasized.</w:t>
      </w:r>
    </w:p>
    <w:p w14:paraId="1CF0488E" w14:textId="4500E71B" w:rsidR="000B7533" w:rsidRDefault="00D61FCC" w:rsidP="000B7533">
      <w:pPr>
        <w:spacing w:line="480" w:lineRule="auto"/>
      </w:pPr>
      <w:r>
        <w:tab/>
      </w:r>
      <w:r w:rsidR="00734AA6">
        <w:t>To estimate the correlation between the ONI and the FWI, the FWI was organized into both a yearly average dataset and three</w:t>
      </w:r>
      <w:r w:rsidR="00FC0714">
        <w:t>-</w:t>
      </w:r>
      <w:r w:rsidR="00734AA6">
        <w:t>month running average dataset. For both datasets</w:t>
      </w:r>
      <w:r w:rsidR="00FC0714">
        <w:t>,</w:t>
      </w:r>
      <w:r w:rsidR="00734AA6">
        <w:t xml:space="preserve"> the annual trend was removed by subtracting the trend at each point from the dataset. </w:t>
      </w:r>
      <w:r w:rsidR="00A2745C">
        <w:t>To accomplish</w:t>
      </w:r>
      <w:r w:rsidR="00734AA6">
        <w:t xml:space="preserve"> this</w:t>
      </w:r>
      <w:r w:rsidR="00FC0714">
        <w:t>,</w:t>
      </w:r>
      <w:r w:rsidR="00734AA6">
        <w:t xml:space="preserve"> a trend was calculated for the yearly data and the linear trend calculated earlier was used for the monthly data. After the trend was removed, the seasonal cycle was removed from the monthly data by finding the average value for each three-month period and </w:t>
      </w:r>
      <w:r w:rsidR="00A2745C">
        <w:t xml:space="preserve">subtracting that </w:t>
      </w:r>
      <w:r w:rsidR="00734AA6">
        <w:t xml:space="preserve">from each value. The monthly data is now processed in a similar way to the ONI data. For the yearly data, the monthly ONI data was averaged to find a yearly average ONI for each point. With these datasets prepared the Pearson Correlation Coefficients was calculated using the python, </w:t>
      </w:r>
      <w:proofErr w:type="spellStart"/>
      <w:r w:rsidR="00734AA6">
        <w:t>numpy</w:t>
      </w:r>
      <w:proofErr w:type="spellEnd"/>
      <w:r w:rsidR="00734AA6">
        <w:t xml:space="preserve">, function </w:t>
      </w:r>
      <w:proofErr w:type="spellStart"/>
      <w:r w:rsidR="00734AA6">
        <w:t>corrcoef</w:t>
      </w:r>
      <w:proofErr w:type="spellEnd"/>
      <w:r w:rsidR="00A2745C">
        <w:t xml:space="preserve"> </w:t>
      </w:r>
      <w:r w:rsidR="00A2745C">
        <w:rPr>
          <w:color w:val="000000"/>
          <w:shd w:val="clear" w:color="auto" w:fill="FFFFFF"/>
        </w:rPr>
        <w:t>(</w:t>
      </w:r>
      <w:proofErr w:type="spellStart"/>
      <w:proofErr w:type="gramStart"/>
      <w:r w:rsidR="00A2745C">
        <w:rPr>
          <w:i/>
          <w:iCs/>
          <w:color w:val="000000"/>
        </w:rPr>
        <w:t>numpy.corrcoef</w:t>
      </w:r>
      <w:proofErr w:type="spellEnd"/>
      <w:proofErr w:type="gramEnd"/>
      <w:r w:rsidR="00A2745C">
        <w:rPr>
          <w:i/>
          <w:iCs/>
          <w:color w:val="000000"/>
        </w:rPr>
        <w:t xml:space="preserve"> — NumPy v1.19 Manual</w:t>
      </w:r>
      <w:r w:rsidR="00A2745C">
        <w:rPr>
          <w:color w:val="000000"/>
          <w:shd w:val="clear" w:color="auto" w:fill="FFFFFF"/>
        </w:rPr>
        <w:t>, 2020)</w:t>
      </w:r>
      <w:r w:rsidR="00734AA6">
        <w:t>. Maps of both the monthly (figure 3) and yearly (figure 4) correlation coefficients were produced with this data.</w:t>
      </w:r>
      <w:r w:rsidR="000B7533">
        <w:t xml:space="preserve"> </w:t>
      </w:r>
    </w:p>
    <w:p w14:paraId="26FEE388" w14:textId="6D91C81F" w:rsidR="000B7533" w:rsidRDefault="000B7533" w:rsidP="000B7533">
      <w:pPr>
        <w:spacing w:line="480" w:lineRule="auto"/>
        <w:jc w:val="center"/>
        <w:rPr>
          <w:b/>
          <w:bCs/>
        </w:rPr>
      </w:pPr>
      <w:r w:rsidRPr="000B7533">
        <w:rPr>
          <w:b/>
          <w:bCs/>
        </w:rPr>
        <w:t>Results</w:t>
      </w:r>
    </w:p>
    <w:p w14:paraId="6FF379EB" w14:textId="1A23B325" w:rsidR="000B7533" w:rsidRDefault="000B7533" w:rsidP="000B7533">
      <w:pPr>
        <w:spacing w:line="480" w:lineRule="auto"/>
        <w:ind w:firstLine="720"/>
      </w:pPr>
      <w:r>
        <w:t>The maps of linear</w:t>
      </w:r>
      <w:r w:rsidR="00FC0714">
        <w:t xml:space="preserve"> slopes</w:t>
      </w:r>
      <w:r>
        <w:t xml:space="preserve"> and </w:t>
      </w:r>
      <w:r w:rsidR="00FC0714">
        <w:t>their</w:t>
      </w:r>
      <w:r>
        <w:t xml:space="preserve"> significance (figure 1, figure 2) show a significant annual increase in the Amazon Rainforest Region</w:t>
      </w:r>
      <w:r w:rsidR="00E65960">
        <w:t>,</w:t>
      </w:r>
      <w:r>
        <w:t xml:space="preserve"> </w:t>
      </w:r>
      <w:r w:rsidR="00E65960">
        <w:t>t</w:t>
      </w:r>
      <w:r>
        <w:t>he region</w:t>
      </w:r>
      <w:r w:rsidR="00E65960">
        <w:t xml:space="preserve"> is</w:t>
      </w:r>
      <w:r>
        <w:t xml:space="preserve"> one of the most </w:t>
      </w:r>
      <w:r w:rsidR="00FC0714">
        <w:t>a</w:t>
      </w:r>
      <w:r>
        <w:t>ffected by the annual change in FWI. The monthly correlation maps (figure 3) show a moderate correlation between FWI and ONI in the northeast Amazon Rainforest region suggesting that in months with high ONIs the northeast region may experience an increase in fire</w:t>
      </w:r>
      <w:r w:rsidR="00A2745C">
        <w:t>-</w:t>
      </w:r>
      <w:r>
        <w:t>weather</w:t>
      </w:r>
    </w:p>
    <w:p w14:paraId="4BC1C266" w14:textId="07FDCDE6" w:rsidR="00734AA6" w:rsidRPr="000B7533" w:rsidRDefault="000B7533" w:rsidP="000B7533">
      <w:pPr>
        <w:spacing w:line="480" w:lineRule="auto"/>
        <w:rPr>
          <w:b/>
          <w:bCs/>
        </w:rPr>
      </w:pPr>
      <w:r>
        <w:rPr>
          <w:noProof/>
        </w:rPr>
        <w:lastRenderedPageBreak/>
        <mc:AlternateContent>
          <mc:Choice Requires="wps">
            <w:drawing>
              <wp:anchor distT="0" distB="0" distL="114300" distR="114300" simplePos="0" relativeHeight="251664384" behindDoc="0" locked="0" layoutInCell="1" allowOverlap="1" wp14:anchorId="3364E836" wp14:editId="6DB07720">
                <wp:simplePos x="0" y="0"/>
                <wp:positionH relativeFrom="column">
                  <wp:posOffset>1062990</wp:posOffset>
                </wp:positionH>
                <wp:positionV relativeFrom="paragraph">
                  <wp:posOffset>5587365</wp:posOffset>
                </wp:positionV>
                <wp:extent cx="3848100" cy="527050"/>
                <wp:effectExtent l="0" t="0" r="19050" b="25400"/>
                <wp:wrapTopAndBottom/>
                <wp:docPr id="10" name="Text Box 10"/>
                <wp:cNvGraphicFramePr/>
                <a:graphic xmlns:a="http://schemas.openxmlformats.org/drawingml/2006/main">
                  <a:graphicData uri="http://schemas.microsoft.com/office/word/2010/wordprocessingShape">
                    <wps:wsp>
                      <wps:cNvSpPr txBox="1"/>
                      <wps:spPr>
                        <a:xfrm>
                          <a:off x="0" y="0"/>
                          <a:ext cx="3848100" cy="527050"/>
                        </a:xfrm>
                        <a:prstGeom prst="rect">
                          <a:avLst/>
                        </a:prstGeom>
                        <a:solidFill>
                          <a:schemeClr val="lt1"/>
                        </a:solidFill>
                        <a:ln w="6350">
                          <a:solidFill>
                            <a:prstClr val="black"/>
                          </a:solidFill>
                        </a:ln>
                      </wps:spPr>
                      <wps:txbx>
                        <w:txbxContent>
                          <w:p w14:paraId="6FABE207" w14:textId="0A99BA73" w:rsidR="004D09AD" w:rsidRDefault="004D09AD" w:rsidP="00A42921">
                            <w:pPr>
                              <w:spacing w:after="0" w:line="240" w:lineRule="auto"/>
                              <w:rPr>
                                <w:sz w:val="20"/>
                                <w:szCs w:val="20"/>
                              </w:rPr>
                            </w:pPr>
                            <w:r w:rsidRPr="004D09AD">
                              <w:rPr>
                                <w:i/>
                                <w:iCs/>
                                <w:sz w:val="20"/>
                                <w:szCs w:val="20"/>
                              </w:rPr>
                              <w:t xml:space="preserve">Figure 3: </w:t>
                            </w:r>
                            <w:r w:rsidRPr="004D09AD">
                              <w:rPr>
                                <w:sz w:val="20"/>
                                <w:szCs w:val="20"/>
                              </w:rPr>
                              <w:t>Correlation Between Three Month Running Averages of FWI and ONI</w:t>
                            </w:r>
                          </w:p>
                          <w:p w14:paraId="469285F9" w14:textId="5BEB849E" w:rsidR="00A42921" w:rsidRPr="00A42921" w:rsidRDefault="00A42921" w:rsidP="00A42921">
                            <w:pPr>
                              <w:spacing w:after="0" w:line="240" w:lineRule="auto"/>
                              <w:rPr>
                                <w:sz w:val="20"/>
                                <w:szCs w:val="20"/>
                              </w:rPr>
                            </w:pPr>
                            <w:r>
                              <w:rPr>
                                <w:i/>
                                <w:iCs/>
                                <w:sz w:val="20"/>
                                <w:szCs w:val="20"/>
                              </w:rPr>
                              <w:t xml:space="preserve">Figure 4: </w:t>
                            </w:r>
                            <w:r>
                              <w:rPr>
                                <w:sz w:val="20"/>
                                <w:szCs w:val="20"/>
                              </w:rPr>
                              <w:t>Correlation Between Yearly Average FWI and ONI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4E836" id="_x0000_t202" coordsize="21600,21600" o:spt="202" path="m,l,21600r21600,l21600,xe">
                <v:stroke joinstyle="miter"/>
                <v:path gradientshapeok="t" o:connecttype="rect"/>
              </v:shapetype>
              <v:shape id="Text Box 10" o:spid="_x0000_s1026" type="#_x0000_t202" style="position:absolute;margin-left:83.7pt;margin-top:439.95pt;width:303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" fillcolor="white [3201]" strokeweight=".5pt">
                <v:textbox>
                  <w:txbxContent>
                    <w:p w14:paraId="6FABE207" w14:textId="0A99BA73" w:rsidR="004D09AD" w:rsidRDefault="004D09AD" w:rsidP="00A42921">
                      <w:pPr>
                        <w:spacing w:after="0" w:line="240" w:lineRule="auto"/>
                        <w:rPr>
                          <w:sz w:val="20"/>
                          <w:szCs w:val="20"/>
                        </w:rPr>
                      </w:pPr>
                      <w:r w:rsidRPr="004D09AD">
                        <w:rPr>
                          <w:i/>
                          <w:iCs/>
                          <w:sz w:val="20"/>
                          <w:szCs w:val="20"/>
                        </w:rPr>
                        <w:t xml:space="preserve">Figure 3: </w:t>
                      </w:r>
                      <w:r w:rsidRPr="004D09AD">
                        <w:rPr>
                          <w:sz w:val="20"/>
                          <w:szCs w:val="20"/>
                        </w:rPr>
                        <w:t>Correlation Between Three Month Running Averages of FWI and ONI</w:t>
                      </w:r>
                    </w:p>
                    <w:p w14:paraId="469285F9" w14:textId="5BEB849E" w:rsidR="00A42921" w:rsidRPr="00A42921" w:rsidRDefault="00A42921" w:rsidP="00A42921">
                      <w:pPr>
                        <w:spacing w:after="0" w:line="240" w:lineRule="auto"/>
                        <w:rPr>
                          <w:sz w:val="20"/>
                          <w:szCs w:val="20"/>
                        </w:rPr>
                      </w:pPr>
                      <w:r>
                        <w:rPr>
                          <w:i/>
                          <w:iCs/>
                          <w:sz w:val="20"/>
                          <w:szCs w:val="20"/>
                        </w:rPr>
                        <w:t xml:space="preserve">Figure 4: </w:t>
                      </w:r>
                      <w:r>
                        <w:rPr>
                          <w:sz w:val="20"/>
                          <w:szCs w:val="20"/>
                        </w:rPr>
                        <w:t>Correlation Between Yearly Average FWI and ONI</w:t>
                      </w:r>
                    </w:p>
                  </w:txbxContent>
                </v:textbox>
                <w10:wrap type="topAndBottom"/>
              </v:shape>
            </w:pict>
          </mc:Fallback>
        </mc:AlternateContent>
      </w:r>
      <w:r>
        <w:rPr>
          <w:noProof/>
        </w:rPr>
        <w:drawing>
          <wp:anchor distT="0" distB="0" distL="114300" distR="114300" simplePos="0" relativeHeight="251661312" behindDoc="0" locked="0" layoutInCell="1" allowOverlap="1" wp14:anchorId="64F299A9" wp14:editId="4F2586C8">
            <wp:simplePos x="0" y="0"/>
            <wp:positionH relativeFrom="column">
              <wp:posOffset>988695</wp:posOffset>
            </wp:positionH>
            <wp:positionV relativeFrom="paragraph">
              <wp:posOffset>3131185</wp:posOffset>
            </wp:positionV>
            <wp:extent cx="1905635" cy="2514600"/>
            <wp:effectExtent l="0" t="0" r="0" b="0"/>
            <wp:wrapTopAndBottom/>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_month_correlation.png"/>
                    <pic:cNvPicPr/>
                  </pic:nvPicPr>
                  <pic:blipFill rotWithShape="1">
                    <a:blip r:embed="rId7">
                      <a:extLst>
                        <a:ext uri="{28A0092B-C50C-407E-A947-70E740481C1C}">
                          <a14:useLocalDpi xmlns:a14="http://schemas.microsoft.com/office/drawing/2010/main" val="0"/>
                        </a:ext>
                      </a:extLst>
                    </a:blip>
                    <a:srcRect t="12034"/>
                    <a:stretch/>
                  </pic:blipFill>
                  <pic:spPr bwMode="auto">
                    <a:xfrm>
                      <a:off x="0" y="0"/>
                      <a:ext cx="1905635"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D28B250" wp14:editId="6FB8A193">
            <wp:simplePos x="0" y="0"/>
            <wp:positionH relativeFrom="column">
              <wp:posOffset>3136900</wp:posOffset>
            </wp:positionH>
            <wp:positionV relativeFrom="paragraph">
              <wp:posOffset>3120434</wp:posOffset>
            </wp:positionV>
            <wp:extent cx="1828800" cy="2512060"/>
            <wp:effectExtent l="0" t="0" r="0" b="0"/>
            <wp:wrapTopAndBottom/>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arly_correlation.png"/>
                    <pic:cNvPicPr/>
                  </pic:nvPicPr>
                  <pic:blipFill rotWithShape="1">
                    <a:blip r:embed="rId8">
                      <a:extLst>
                        <a:ext uri="{28A0092B-C50C-407E-A947-70E740481C1C}">
                          <a14:useLocalDpi xmlns:a14="http://schemas.microsoft.com/office/drawing/2010/main" val="0"/>
                        </a:ext>
                      </a:extLst>
                    </a:blip>
                    <a:srcRect t="8416"/>
                    <a:stretch/>
                  </pic:blipFill>
                  <pic:spPr bwMode="auto">
                    <a:xfrm>
                      <a:off x="0" y="0"/>
                      <a:ext cx="1828800" cy="251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6EB54765" wp14:editId="03D72AE5">
                <wp:simplePos x="0" y="0"/>
                <wp:positionH relativeFrom="column">
                  <wp:posOffset>3456305</wp:posOffset>
                </wp:positionH>
                <wp:positionV relativeFrom="paragraph">
                  <wp:posOffset>1856105</wp:posOffset>
                </wp:positionV>
                <wp:extent cx="2440940" cy="254000"/>
                <wp:effectExtent l="0" t="0" r="16510" b="12700"/>
                <wp:wrapTopAndBottom/>
                <wp:docPr id="11" name="Text Box 11"/>
                <wp:cNvGraphicFramePr/>
                <a:graphic xmlns:a="http://schemas.openxmlformats.org/drawingml/2006/main">
                  <a:graphicData uri="http://schemas.microsoft.com/office/word/2010/wordprocessingShape">
                    <wps:wsp>
                      <wps:cNvSpPr txBox="1"/>
                      <wps:spPr>
                        <a:xfrm>
                          <a:off x="0" y="0"/>
                          <a:ext cx="2440940" cy="254000"/>
                        </a:xfrm>
                        <a:prstGeom prst="rect">
                          <a:avLst/>
                        </a:prstGeom>
                        <a:solidFill>
                          <a:schemeClr val="lt1"/>
                        </a:solidFill>
                        <a:ln w="6350">
                          <a:solidFill>
                            <a:prstClr val="black"/>
                          </a:solidFill>
                        </a:ln>
                      </wps:spPr>
                      <wps:txbx>
                        <w:txbxContent>
                          <w:p w14:paraId="5C4A3AE7" w14:textId="42E54CA1" w:rsidR="004D09AD" w:rsidRDefault="004D09AD">
                            <w:r w:rsidRPr="004D09AD">
                              <w:rPr>
                                <w:i/>
                                <w:iCs/>
                                <w:sz w:val="20"/>
                                <w:szCs w:val="20"/>
                              </w:rPr>
                              <w:t xml:space="preserve">Figure 2: </w:t>
                            </w:r>
                            <w:r w:rsidRPr="004D09AD">
                              <w:rPr>
                                <w:sz w:val="20"/>
                                <w:szCs w:val="20"/>
                              </w:rPr>
                              <w:t>P-Value of Global FWI Linear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4765" id="Text Box 11" o:spid="_x0000_s1027" type="#_x0000_t202" style="position:absolute;margin-left:272.15pt;margin-top:146.15pt;width:192.2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" fillcolor="white [3201]" strokeweight=".5pt">
                <v:textbox>
                  <w:txbxContent>
                    <w:p w14:paraId="5C4A3AE7" w14:textId="42E54CA1" w:rsidR="004D09AD" w:rsidRDefault="004D09AD">
                      <w:r w:rsidRPr="004D09AD">
                        <w:rPr>
                          <w:i/>
                          <w:iCs/>
                          <w:sz w:val="20"/>
                          <w:szCs w:val="20"/>
                        </w:rPr>
                        <w:t xml:space="preserve">Figure 2: </w:t>
                      </w:r>
                      <w:r w:rsidRPr="004D09AD">
                        <w:rPr>
                          <w:sz w:val="20"/>
                          <w:szCs w:val="20"/>
                        </w:rPr>
                        <w:t>P-Value of Global FWI Linear Trend.</w:t>
                      </w:r>
                    </w:p>
                  </w:txbxContent>
                </v:textbox>
                <w10:wrap type="topAndBottom"/>
              </v:shape>
            </w:pict>
          </mc:Fallback>
        </mc:AlternateContent>
      </w:r>
      <w:r>
        <w:rPr>
          <w:noProof/>
        </w:rPr>
        <w:drawing>
          <wp:anchor distT="0" distB="0" distL="114300" distR="114300" simplePos="0" relativeHeight="251659264" behindDoc="0" locked="0" layoutInCell="1" allowOverlap="1" wp14:anchorId="20BDE8CF" wp14:editId="7095405F">
            <wp:simplePos x="0" y="0"/>
            <wp:positionH relativeFrom="margin">
              <wp:posOffset>3041650</wp:posOffset>
            </wp:positionH>
            <wp:positionV relativeFrom="paragraph">
              <wp:posOffset>144780</wp:posOffset>
            </wp:positionV>
            <wp:extent cx="3269615" cy="1934845"/>
            <wp:effectExtent l="0" t="0" r="0" b="0"/>
            <wp:wrapTight wrapText="bothSides">
              <wp:wrapPolygon edited="0">
                <wp:start x="2391" y="0"/>
                <wp:lineTo x="2391" y="18927"/>
                <wp:lineTo x="17619" y="19353"/>
                <wp:lineTo x="19129" y="19353"/>
                <wp:lineTo x="19255" y="18715"/>
                <wp:lineTo x="18752" y="17864"/>
                <wp:lineTo x="17745" y="17013"/>
                <wp:lineTo x="19003" y="15525"/>
                <wp:lineTo x="19003" y="14674"/>
                <wp:lineTo x="18122" y="13611"/>
                <wp:lineTo x="19758" y="10846"/>
                <wp:lineTo x="20010" y="8294"/>
                <wp:lineTo x="19507" y="7656"/>
                <wp:lineTo x="17745" y="6805"/>
                <wp:lineTo x="19003" y="5742"/>
                <wp:lineTo x="19003" y="4466"/>
                <wp:lineTo x="17745" y="3403"/>
                <wp:lineTo x="19003" y="2339"/>
                <wp:lineTo x="19003" y="1063"/>
                <wp:lineTo x="17619" y="0"/>
                <wp:lineTo x="2391" y="0"/>
              </wp:wrapPolygon>
            </wp:wrapTight>
            <wp:docPr id="1" name="Picture 1" descr="A picture containing text, picture fram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_FWI_linear_trend_pval.png"/>
                    <pic:cNvPicPr/>
                  </pic:nvPicPr>
                  <pic:blipFill rotWithShape="1">
                    <a:blip r:embed="rId9">
                      <a:extLst>
                        <a:ext uri="{28A0092B-C50C-407E-A947-70E740481C1C}">
                          <a14:useLocalDpi xmlns:a14="http://schemas.microsoft.com/office/drawing/2010/main" val="0"/>
                        </a:ext>
                      </a:extLst>
                    </a:blip>
                    <a:srcRect t="11217"/>
                    <a:stretch/>
                  </pic:blipFill>
                  <pic:spPr bwMode="auto">
                    <a:xfrm>
                      <a:off x="0" y="0"/>
                      <a:ext cx="3269615" cy="1934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953DA6C" wp14:editId="28D36AA8">
            <wp:simplePos x="0" y="0"/>
            <wp:positionH relativeFrom="column">
              <wp:posOffset>-82550</wp:posOffset>
            </wp:positionH>
            <wp:positionV relativeFrom="paragraph">
              <wp:posOffset>125095</wp:posOffset>
            </wp:positionV>
            <wp:extent cx="3284855" cy="1963420"/>
            <wp:effectExtent l="0" t="0" r="0" b="0"/>
            <wp:wrapTopAndBottom/>
            <wp:docPr id="2"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_FWI_linear_trend_slope.png"/>
                    <pic:cNvPicPr/>
                  </pic:nvPicPr>
                  <pic:blipFill rotWithShape="1">
                    <a:blip r:embed="rId10">
                      <a:extLst>
                        <a:ext uri="{28A0092B-C50C-407E-A947-70E740481C1C}">
                          <a14:useLocalDpi xmlns:a14="http://schemas.microsoft.com/office/drawing/2010/main" val="0"/>
                        </a:ext>
                      </a:extLst>
                    </a:blip>
                    <a:srcRect t="10335"/>
                    <a:stretch/>
                  </pic:blipFill>
                  <pic:spPr bwMode="auto">
                    <a:xfrm>
                      <a:off x="0" y="0"/>
                      <a:ext cx="3284855" cy="196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25DC7B6" wp14:editId="51AF8978">
                <wp:simplePos x="0" y="0"/>
                <wp:positionH relativeFrom="column">
                  <wp:posOffset>323348</wp:posOffset>
                </wp:positionH>
                <wp:positionV relativeFrom="paragraph">
                  <wp:posOffset>1872453</wp:posOffset>
                </wp:positionV>
                <wp:extent cx="2504440" cy="262255"/>
                <wp:effectExtent l="0" t="0" r="10160" b="23495"/>
                <wp:wrapTopAndBottom/>
                <wp:docPr id="9" name="Text Box 9"/>
                <wp:cNvGraphicFramePr/>
                <a:graphic xmlns:a="http://schemas.openxmlformats.org/drawingml/2006/main">
                  <a:graphicData uri="http://schemas.microsoft.com/office/word/2010/wordprocessingShape">
                    <wps:wsp>
                      <wps:cNvSpPr txBox="1"/>
                      <wps:spPr>
                        <a:xfrm>
                          <a:off x="0" y="0"/>
                          <a:ext cx="2504440" cy="262255"/>
                        </a:xfrm>
                        <a:prstGeom prst="rect">
                          <a:avLst/>
                        </a:prstGeom>
                        <a:solidFill>
                          <a:schemeClr val="lt1"/>
                        </a:solidFill>
                        <a:ln w="6350">
                          <a:solidFill>
                            <a:prstClr val="black"/>
                          </a:solidFill>
                        </a:ln>
                      </wps:spPr>
                      <wps:txbx>
                        <w:txbxContent>
                          <w:p w14:paraId="04187981" w14:textId="7900B73B" w:rsidR="004D09AD" w:rsidRPr="004D09AD" w:rsidRDefault="004D09AD">
                            <w:pPr>
                              <w:rPr>
                                <w:sz w:val="20"/>
                                <w:szCs w:val="20"/>
                              </w:rPr>
                            </w:pPr>
                            <w:r w:rsidRPr="004D09AD">
                              <w:rPr>
                                <w:i/>
                                <w:iCs/>
                                <w:sz w:val="20"/>
                                <w:szCs w:val="20"/>
                              </w:rPr>
                              <w:t xml:space="preserve">Figure 1: </w:t>
                            </w:r>
                            <w:r w:rsidRPr="004D09AD">
                              <w:rPr>
                                <w:sz w:val="20"/>
                                <w:szCs w:val="20"/>
                              </w:rPr>
                              <w:t xml:space="preserve">Slope of Global FWI Linear Trend.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DC7B6" id="Text Box 9" o:spid="_x0000_s1028" type="#_x0000_t202" style="position:absolute;margin-left:25.45pt;margin-top:147.45pt;width:197.2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" fillcolor="white [3201]" strokeweight=".5pt">
                <v:textbox>
                  <w:txbxContent>
                    <w:p w14:paraId="04187981" w14:textId="7900B73B" w:rsidR="004D09AD" w:rsidRPr="004D09AD" w:rsidRDefault="004D09AD">
                      <w:pPr>
                        <w:rPr>
                          <w:sz w:val="20"/>
                          <w:szCs w:val="20"/>
                        </w:rPr>
                      </w:pPr>
                      <w:r w:rsidRPr="004D09AD">
                        <w:rPr>
                          <w:i/>
                          <w:iCs/>
                          <w:sz w:val="20"/>
                          <w:szCs w:val="20"/>
                        </w:rPr>
                        <w:t xml:space="preserve">Figure 1: </w:t>
                      </w:r>
                      <w:r w:rsidRPr="004D09AD">
                        <w:rPr>
                          <w:sz w:val="20"/>
                          <w:szCs w:val="20"/>
                        </w:rPr>
                        <w:t xml:space="preserve">Slope of Global FWI Linear Trend. </w:t>
                      </w:r>
                    </w:p>
                  </w:txbxContent>
                </v:textbox>
                <w10:wrap type="topAndBottom"/>
              </v:shape>
            </w:pict>
          </mc:Fallback>
        </mc:AlternateContent>
      </w:r>
      <w:r w:rsidR="00296944">
        <w:t>conditions and in fire risk. The yearly correlation map (figure 4) Shows a very strong correlation in the same region, this suggests that in high ONI years the fire weather will likely increase at a proportional rate.</w:t>
      </w:r>
    </w:p>
    <w:p w14:paraId="3A793E41" w14:textId="669C6310" w:rsidR="00296944" w:rsidRDefault="00296944" w:rsidP="000B7533">
      <w:pPr>
        <w:spacing w:line="480" w:lineRule="auto"/>
        <w:ind w:firstLine="720"/>
      </w:pPr>
      <w:r>
        <w:t>This data shows that the Amazon Rainforest Region is experiencing a significant yearly increase in fire weather</w:t>
      </w:r>
      <w:r w:rsidR="00E65960">
        <w:t>,</w:t>
      </w:r>
      <w:bookmarkStart w:id="0" w:name="_GoBack"/>
      <w:bookmarkEnd w:id="0"/>
      <w:r>
        <w:t xml:space="preserve"> and during years with high ONI, such as El Nino years, the fire weather in the </w:t>
      </w:r>
      <w:r w:rsidR="00A2745C">
        <w:t>northeast</w:t>
      </w:r>
      <w:r>
        <w:t xml:space="preserve"> section increases even more. This information could help in the forecasting of fire conditions in the region, specifically in the </w:t>
      </w:r>
      <w:r w:rsidR="00A2745C">
        <w:t>northeast</w:t>
      </w:r>
      <w:r>
        <w:t>ern region of the Amazon Rainforest.</w:t>
      </w:r>
    </w:p>
    <w:p w14:paraId="1F6FAC9C" w14:textId="1A3D9026" w:rsidR="000B7533" w:rsidRDefault="000B7533" w:rsidP="000B7533">
      <w:pPr>
        <w:spacing w:line="480" w:lineRule="auto"/>
        <w:jc w:val="center"/>
        <w:rPr>
          <w:b/>
          <w:bCs/>
        </w:rPr>
      </w:pPr>
    </w:p>
    <w:p w14:paraId="03D4DF1F" w14:textId="45A67F55" w:rsidR="00A42921" w:rsidRPr="00FC0714" w:rsidRDefault="00A42921" w:rsidP="000B7533">
      <w:pPr>
        <w:spacing w:line="480" w:lineRule="auto"/>
        <w:jc w:val="center"/>
        <w:rPr>
          <w:b/>
          <w:bCs/>
        </w:rPr>
      </w:pPr>
      <w:r w:rsidRPr="00FC0714">
        <w:rPr>
          <w:b/>
          <w:bCs/>
        </w:rPr>
        <w:lastRenderedPageBreak/>
        <w:t>References</w:t>
      </w:r>
    </w:p>
    <w:p w14:paraId="3500A1D1" w14:textId="5E74F493" w:rsidR="00A42921" w:rsidRPr="00FC0714" w:rsidRDefault="00A42921" w:rsidP="000B7533">
      <w:pPr>
        <w:pStyle w:val="NormalWeb"/>
        <w:spacing w:before="0" w:beforeAutospacing="0" w:after="0" w:afterAutospacing="0" w:line="480" w:lineRule="auto"/>
        <w:ind w:left="600" w:hanging="600"/>
      </w:pPr>
      <w:r w:rsidRPr="00FC0714">
        <w:t>Anna Jean Kaiser. (2019, August 27). </w:t>
      </w:r>
      <w:r w:rsidRPr="00FC0714">
        <w:rPr>
          <w:i/>
          <w:iCs/>
        </w:rPr>
        <w:t>AP Explains: Role of the Amazon in global climate change</w:t>
      </w:r>
      <w:r w:rsidRPr="00FC0714">
        <w:t xml:space="preserve">. AP NEWS; Associated Press. </w:t>
      </w:r>
      <w:hyperlink r:id="rId11" w:history="1">
        <w:r w:rsidR="00FC0714" w:rsidRPr="00FC0714">
          <w:rPr>
            <w:rStyle w:val="Hyperlink"/>
            <w:color w:val="auto"/>
          </w:rPr>
          <w:t>https://apnews.com/article/384fdb5ee7654667b53ddb49efce8023</w:t>
        </w:r>
      </w:hyperlink>
    </w:p>
    <w:p w14:paraId="44249E80" w14:textId="77777777" w:rsidR="00FC0714" w:rsidRPr="00FC0714" w:rsidRDefault="00FC0714" w:rsidP="00FC0714">
      <w:pPr>
        <w:pStyle w:val="NormalWeb"/>
        <w:spacing w:before="0" w:beforeAutospacing="0" w:after="0" w:afterAutospacing="0" w:line="480" w:lineRule="auto"/>
        <w:ind w:left="600" w:hanging="600"/>
      </w:pPr>
      <w:r w:rsidRPr="00FC0714">
        <w:t>CBS News. (2019, August 28). </w:t>
      </w:r>
      <w:r w:rsidRPr="00FC0714">
        <w:rPr>
          <w:i/>
          <w:iCs/>
        </w:rPr>
        <w:t xml:space="preserve">Jair </w:t>
      </w:r>
      <w:proofErr w:type="spellStart"/>
      <w:r w:rsidRPr="00FC0714">
        <w:rPr>
          <w:i/>
          <w:iCs/>
        </w:rPr>
        <w:t>Bolsonaro</w:t>
      </w:r>
      <w:proofErr w:type="spellEnd"/>
      <w:r w:rsidRPr="00FC0714">
        <w:rPr>
          <w:i/>
          <w:iCs/>
        </w:rPr>
        <w:t>: Brazil president welcoming foreign aid to fight Amazon rainforest fires</w:t>
      </w:r>
      <w:r w:rsidRPr="00FC0714">
        <w:t xml:space="preserve">. Cbsnews.com. </w:t>
      </w:r>
      <w:hyperlink r:id="rId12" w:history="1">
        <w:r w:rsidRPr="00FC0714">
          <w:rPr>
            <w:rStyle w:val="Hyperlink"/>
            <w:color w:val="auto"/>
          </w:rPr>
          <w:t>https://www.cbsnews.com/news/amazon-wildfires-brazil-spurns-20-million-aid-offer-from-g-7-nations-today-2019-08-27/</w:t>
        </w:r>
      </w:hyperlink>
    </w:p>
    <w:p w14:paraId="204A6704" w14:textId="77777777" w:rsidR="00FC0714" w:rsidRPr="00FC0714" w:rsidRDefault="00FC0714" w:rsidP="00A2745C">
      <w:pPr>
        <w:pStyle w:val="NormalWeb"/>
        <w:spacing w:before="0" w:beforeAutospacing="0" w:after="0" w:afterAutospacing="0" w:line="480" w:lineRule="auto"/>
        <w:ind w:left="600" w:hanging="600"/>
      </w:pPr>
      <w:proofErr w:type="spellStart"/>
      <w:r w:rsidRPr="00FC0714">
        <w:rPr>
          <w:i/>
          <w:iCs/>
        </w:rPr>
        <w:t>Data.GISS</w:t>
      </w:r>
      <w:proofErr w:type="spellEnd"/>
      <w:r w:rsidRPr="00FC0714">
        <w:rPr>
          <w:i/>
          <w:iCs/>
        </w:rPr>
        <w:t xml:space="preserve">: Global Fire </w:t>
      </w:r>
      <w:proofErr w:type="spellStart"/>
      <w:r w:rsidRPr="00FC0714">
        <w:rPr>
          <w:i/>
          <w:iCs/>
        </w:rPr>
        <w:t>WEather</w:t>
      </w:r>
      <w:proofErr w:type="spellEnd"/>
      <w:r w:rsidRPr="00FC0714">
        <w:rPr>
          <w:i/>
          <w:iCs/>
        </w:rPr>
        <w:t xml:space="preserve"> Database (GFWED)</w:t>
      </w:r>
      <w:r w:rsidRPr="00FC0714">
        <w:t xml:space="preserve">. (2015). Nasa.Gov. </w:t>
      </w:r>
      <w:hyperlink r:id="rId13" w:history="1">
        <w:r w:rsidRPr="00FC0714">
          <w:rPr>
            <w:rStyle w:val="Hyperlink"/>
            <w:color w:val="auto"/>
          </w:rPr>
          <w:t>https://data.giss.nasa.gov/impacts/gfwed/</w:t>
        </w:r>
      </w:hyperlink>
    </w:p>
    <w:p w14:paraId="7C63BAA8" w14:textId="77777777" w:rsidR="00FC0714" w:rsidRPr="00A2745C" w:rsidRDefault="00FC0714" w:rsidP="00A2745C">
      <w:pPr>
        <w:pStyle w:val="NormalWeb"/>
        <w:spacing w:before="0" w:beforeAutospacing="0" w:after="0" w:afterAutospacing="0" w:line="480" w:lineRule="auto"/>
        <w:ind w:left="600" w:hanging="600"/>
      </w:pPr>
      <w:r w:rsidRPr="00FC0714">
        <w:rPr>
          <w:i/>
          <w:iCs/>
        </w:rPr>
        <w:t>Fire Weather Index (FWI) System | NWCG</w:t>
      </w:r>
      <w:r w:rsidRPr="00FC0714">
        <w:t xml:space="preserve">. (2010). Nwcg.Gov. </w:t>
      </w:r>
      <w:hyperlink r:id="rId14" w:history="1">
        <w:r w:rsidRPr="00A2745C">
          <w:rPr>
            <w:rStyle w:val="Hyperlink"/>
            <w:color w:val="auto"/>
          </w:rPr>
          <w:t>https://www.nwcg.gov/publications/pms437/cffdrs/fire-weather-index-system#:~:text=The%20Fire%20Weather%20Index%20(FWI,of%20extreme%20fire%20behavior%20potential</w:t>
        </w:r>
      </w:hyperlink>
      <w:r w:rsidRPr="00A2745C">
        <w:t>.</w:t>
      </w:r>
    </w:p>
    <w:p w14:paraId="03031653" w14:textId="55672597" w:rsidR="00FC0714" w:rsidRPr="00A2745C" w:rsidRDefault="00FC0714" w:rsidP="00A2745C">
      <w:pPr>
        <w:pStyle w:val="NormalWeb"/>
        <w:spacing w:before="0" w:beforeAutospacing="0" w:after="0" w:afterAutospacing="0" w:line="480" w:lineRule="auto"/>
        <w:ind w:left="600" w:hanging="600"/>
      </w:pPr>
      <w:r w:rsidRPr="00A2745C">
        <w:t>NOAA’s Climate Prediction Center. (2017). </w:t>
      </w:r>
      <w:r w:rsidRPr="00A2745C">
        <w:rPr>
          <w:i/>
          <w:iCs/>
        </w:rPr>
        <w:t>Climate Prediction Center - ONI</w:t>
      </w:r>
      <w:r w:rsidRPr="00A2745C">
        <w:t xml:space="preserve">. Noaa.Gov. </w:t>
      </w:r>
      <w:hyperlink r:id="rId15" w:history="1">
        <w:r w:rsidR="00A2745C" w:rsidRPr="00A2745C">
          <w:rPr>
            <w:rStyle w:val="Hyperlink"/>
            <w:color w:val="auto"/>
          </w:rPr>
          <w:t>https://origin.cpc.ncep.noaa.gov/products/analysis_monitoring/ensostuff/ONI_v5.php</w:t>
        </w:r>
      </w:hyperlink>
    </w:p>
    <w:p w14:paraId="626B20A2" w14:textId="4935D3DE" w:rsidR="00A2745C" w:rsidRPr="00A2745C" w:rsidRDefault="00A2745C" w:rsidP="00A2745C">
      <w:pPr>
        <w:pStyle w:val="NormalWeb"/>
        <w:spacing w:before="0" w:beforeAutospacing="0" w:after="0" w:afterAutospacing="0" w:line="480" w:lineRule="auto"/>
        <w:ind w:left="600" w:hanging="600"/>
      </w:pPr>
      <w:proofErr w:type="spellStart"/>
      <w:proofErr w:type="gramStart"/>
      <w:r w:rsidRPr="00A2745C">
        <w:rPr>
          <w:i/>
          <w:iCs/>
        </w:rPr>
        <w:t>numpy.corrcoef</w:t>
      </w:r>
      <w:proofErr w:type="spellEnd"/>
      <w:proofErr w:type="gramEnd"/>
      <w:r w:rsidRPr="00A2745C">
        <w:rPr>
          <w:i/>
          <w:iCs/>
        </w:rPr>
        <w:t xml:space="preserve"> — NumPy v1.19 Manual</w:t>
      </w:r>
      <w:r w:rsidRPr="00A2745C">
        <w:t xml:space="preserve">. (2020). Numpy.org. </w:t>
      </w:r>
      <w:hyperlink r:id="rId16" w:history="1">
        <w:r w:rsidRPr="00A2745C">
          <w:rPr>
            <w:rStyle w:val="Hyperlink"/>
            <w:color w:val="auto"/>
          </w:rPr>
          <w:t>https://numpy.org/doc/stable/reference/generated/numpy.corrcoef.html</w:t>
        </w:r>
      </w:hyperlink>
    </w:p>
    <w:p w14:paraId="638156E8" w14:textId="50A08034" w:rsidR="00A2745C" w:rsidRPr="00A2745C" w:rsidRDefault="00A2745C" w:rsidP="00A2745C">
      <w:pPr>
        <w:pStyle w:val="NormalWeb"/>
        <w:spacing w:before="0" w:beforeAutospacing="0" w:after="0" w:afterAutospacing="0" w:line="480" w:lineRule="auto"/>
        <w:ind w:left="600" w:hanging="600"/>
      </w:pPr>
      <w:proofErr w:type="spellStart"/>
      <w:proofErr w:type="gramStart"/>
      <w:r w:rsidRPr="00A2745C">
        <w:rPr>
          <w:i/>
          <w:iCs/>
        </w:rPr>
        <w:t>scipy.stats</w:t>
      </w:r>
      <w:proofErr w:type="gramEnd"/>
      <w:r w:rsidRPr="00A2745C">
        <w:rPr>
          <w:i/>
          <w:iCs/>
        </w:rPr>
        <w:t>.linregress</w:t>
      </w:r>
      <w:proofErr w:type="spellEnd"/>
      <w:r w:rsidRPr="00A2745C">
        <w:rPr>
          <w:i/>
          <w:iCs/>
        </w:rPr>
        <w:t xml:space="preserve"> — SciPy v1.5.4 Reference Guide</w:t>
      </w:r>
      <w:r w:rsidRPr="00A2745C">
        <w:t>. (2020). Scipy.org. https://docs.scipy.org/doc/scipy/reference/generated/scipy.stats.linregress.html</w:t>
      </w:r>
    </w:p>
    <w:p w14:paraId="694DCA00" w14:textId="77777777" w:rsidR="00FC0714" w:rsidRPr="00A2745C" w:rsidRDefault="00FC0714" w:rsidP="00A2745C">
      <w:pPr>
        <w:pStyle w:val="NormalWeb"/>
        <w:spacing w:before="0" w:beforeAutospacing="0" w:after="0" w:afterAutospacing="0" w:line="480" w:lineRule="auto"/>
        <w:ind w:left="600" w:hanging="600"/>
      </w:pPr>
      <w:r w:rsidRPr="00A2745C">
        <w:t>Stewart, M. (2019, November 27). </w:t>
      </w:r>
      <w:r w:rsidRPr="00A2745C">
        <w:rPr>
          <w:i/>
          <w:iCs/>
        </w:rPr>
        <w:t>An Analysis of Amazonian Forest Fires - Towards Data Science</w:t>
      </w:r>
      <w:r w:rsidRPr="00A2745C">
        <w:t xml:space="preserve">. Medium; Towards Data Science. </w:t>
      </w:r>
      <w:hyperlink r:id="rId17" w:history="1">
        <w:r w:rsidRPr="00A2745C">
          <w:rPr>
            <w:rStyle w:val="Hyperlink"/>
            <w:color w:val="auto"/>
          </w:rPr>
          <w:t>https://towardsdatascience.com/an-analysis-of-amazonian-forest-fires-8facca63ba69</w:t>
        </w:r>
      </w:hyperlink>
    </w:p>
    <w:p w14:paraId="742DC8C1" w14:textId="17D0B35C" w:rsidR="00E157FE" w:rsidRPr="00FC0714" w:rsidRDefault="00E157FE" w:rsidP="00FC0714">
      <w:pPr>
        <w:pStyle w:val="NormalWeb"/>
        <w:spacing w:line="480" w:lineRule="auto"/>
        <w:rPr>
          <w:color w:val="000000"/>
        </w:rPr>
      </w:pPr>
    </w:p>
    <w:sectPr w:rsidR="00E157FE" w:rsidRPr="00FC071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67FBD" w14:textId="77777777" w:rsidR="007E4783" w:rsidRDefault="007E4783" w:rsidP="00A42921">
      <w:pPr>
        <w:spacing w:after="0" w:line="240" w:lineRule="auto"/>
      </w:pPr>
      <w:r>
        <w:separator/>
      </w:r>
    </w:p>
  </w:endnote>
  <w:endnote w:type="continuationSeparator" w:id="0">
    <w:p w14:paraId="3004EE17" w14:textId="77777777" w:rsidR="007E4783" w:rsidRDefault="007E4783" w:rsidP="00A42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731C6" w14:textId="77777777" w:rsidR="007E4783" w:rsidRDefault="007E4783" w:rsidP="00A42921">
      <w:pPr>
        <w:spacing w:after="0" w:line="240" w:lineRule="auto"/>
      </w:pPr>
      <w:r>
        <w:separator/>
      </w:r>
    </w:p>
  </w:footnote>
  <w:footnote w:type="continuationSeparator" w:id="0">
    <w:p w14:paraId="5346B55B" w14:textId="77777777" w:rsidR="007E4783" w:rsidRDefault="007E4783" w:rsidP="00A42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905380"/>
      <w:docPartObj>
        <w:docPartGallery w:val="Page Numbers (Top of Page)"/>
        <w:docPartUnique/>
      </w:docPartObj>
    </w:sdtPr>
    <w:sdtEndPr>
      <w:rPr>
        <w:noProof/>
      </w:rPr>
    </w:sdtEndPr>
    <w:sdtContent>
      <w:p w14:paraId="729B2C3C" w14:textId="120786AB" w:rsidR="00A42921" w:rsidRDefault="00A429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31255F" w14:textId="77777777" w:rsidR="00A42921" w:rsidRDefault="00A429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C6"/>
    <w:rsid w:val="00020E18"/>
    <w:rsid w:val="000B7533"/>
    <w:rsid w:val="00296944"/>
    <w:rsid w:val="00351001"/>
    <w:rsid w:val="00386DBB"/>
    <w:rsid w:val="004D09AD"/>
    <w:rsid w:val="00734AA6"/>
    <w:rsid w:val="007D5965"/>
    <w:rsid w:val="007E4783"/>
    <w:rsid w:val="00A2745C"/>
    <w:rsid w:val="00A42921"/>
    <w:rsid w:val="00D61FCC"/>
    <w:rsid w:val="00E04DC6"/>
    <w:rsid w:val="00E157FE"/>
    <w:rsid w:val="00E65960"/>
    <w:rsid w:val="00FC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E193"/>
  <w15:chartTrackingRefBased/>
  <w15:docId w15:val="{2BDCBCB5-E8C0-4190-8749-8A20394F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921"/>
  </w:style>
  <w:style w:type="paragraph" w:styleId="Footer">
    <w:name w:val="footer"/>
    <w:basedOn w:val="Normal"/>
    <w:link w:val="FooterChar"/>
    <w:uiPriority w:val="99"/>
    <w:unhideWhenUsed/>
    <w:rsid w:val="00A4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921"/>
  </w:style>
  <w:style w:type="paragraph" w:styleId="NormalWeb">
    <w:name w:val="Normal (Web)"/>
    <w:basedOn w:val="Normal"/>
    <w:uiPriority w:val="99"/>
    <w:unhideWhenUsed/>
    <w:rsid w:val="00A42921"/>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B7533"/>
    <w:rPr>
      <w:color w:val="0563C1" w:themeColor="hyperlink"/>
      <w:u w:val="single"/>
    </w:rPr>
  </w:style>
  <w:style w:type="character" w:styleId="UnresolvedMention">
    <w:name w:val="Unresolved Mention"/>
    <w:basedOn w:val="DefaultParagraphFont"/>
    <w:uiPriority w:val="99"/>
    <w:semiHidden/>
    <w:unhideWhenUsed/>
    <w:rsid w:val="000B7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2418">
      <w:bodyDiv w:val="1"/>
      <w:marLeft w:val="0"/>
      <w:marRight w:val="0"/>
      <w:marTop w:val="0"/>
      <w:marBottom w:val="0"/>
      <w:divBdr>
        <w:top w:val="none" w:sz="0" w:space="0" w:color="auto"/>
        <w:left w:val="none" w:sz="0" w:space="0" w:color="auto"/>
        <w:bottom w:val="none" w:sz="0" w:space="0" w:color="auto"/>
        <w:right w:val="none" w:sz="0" w:space="0" w:color="auto"/>
      </w:divBdr>
    </w:div>
    <w:div w:id="612438749">
      <w:bodyDiv w:val="1"/>
      <w:marLeft w:val="0"/>
      <w:marRight w:val="0"/>
      <w:marTop w:val="0"/>
      <w:marBottom w:val="0"/>
      <w:divBdr>
        <w:top w:val="none" w:sz="0" w:space="0" w:color="auto"/>
        <w:left w:val="none" w:sz="0" w:space="0" w:color="auto"/>
        <w:bottom w:val="none" w:sz="0" w:space="0" w:color="auto"/>
        <w:right w:val="none" w:sz="0" w:space="0" w:color="auto"/>
      </w:divBdr>
    </w:div>
    <w:div w:id="743071566">
      <w:bodyDiv w:val="1"/>
      <w:marLeft w:val="0"/>
      <w:marRight w:val="0"/>
      <w:marTop w:val="0"/>
      <w:marBottom w:val="0"/>
      <w:divBdr>
        <w:top w:val="none" w:sz="0" w:space="0" w:color="auto"/>
        <w:left w:val="none" w:sz="0" w:space="0" w:color="auto"/>
        <w:bottom w:val="none" w:sz="0" w:space="0" w:color="auto"/>
        <w:right w:val="none" w:sz="0" w:space="0" w:color="auto"/>
      </w:divBdr>
    </w:div>
    <w:div w:id="1149596995">
      <w:bodyDiv w:val="1"/>
      <w:marLeft w:val="0"/>
      <w:marRight w:val="0"/>
      <w:marTop w:val="0"/>
      <w:marBottom w:val="0"/>
      <w:divBdr>
        <w:top w:val="none" w:sz="0" w:space="0" w:color="auto"/>
        <w:left w:val="none" w:sz="0" w:space="0" w:color="auto"/>
        <w:bottom w:val="none" w:sz="0" w:space="0" w:color="auto"/>
        <w:right w:val="none" w:sz="0" w:space="0" w:color="auto"/>
      </w:divBdr>
    </w:div>
    <w:div w:id="1346321906">
      <w:bodyDiv w:val="1"/>
      <w:marLeft w:val="0"/>
      <w:marRight w:val="0"/>
      <w:marTop w:val="0"/>
      <w:marBottom w:val="0"/>
      <w:divBdr>
        <w:top w:val="none" w:sz="0" w:space="0" w:color="auto"/>
        <w:left w:val="none" w:sz="0" w:space="0" w:color="auto"/>
        <w:bottom w:val="none" w:sz="0" w:space="0" w:color="auto"/>
        <w:right w:val="none" w:sz="0" w:space="0" w:color="auto"/>
      </w:divBdr>
    </w:div>
    <w:div w:id="1702776889">
      <w:bodyDiv w:val="1"/>
      <w:marLeft w:val="0"/>
      <w:marRight w:val="0"/>
      <w:marTop w:val="0"/>
      <w:marBottom w:val="0"/>
      <w:divBdr>
        <w:top w:val="none" w:sz="0" w:space="0" w:color="auto"/>
        <w:left w:val="none" w:sz="0" w:space="0" w:color="auto"/>
        <w:bottom w:val="none" w:sz="0" w:space="0" w:color="auto"/>
        <w:right w:val="none" w:sz="0" w:space="0" w:color="auto"/>
      </w:divBdr>
    </w:div>
    <w:div w:id="1842962087">
      <w:bodyDiv w:val="1"/>
      <w:marLeft w:val="0"/>
      <w:marRight w:val="0"/>
      <w:marTop w:val="0"/>
      <w:marBottom w:val="0"/>
      <w:divBdr>
        <w:top w:val="none" w:sz="0" w:space="0" w:color="auto"/>
        <w:left w:val="none" w:sz="0" w:space="0" w:color="auto"/>
        <w:bottom w:val="none" w:sz="0" w:space="0" w:color="auto"/>
        <w:right w:val="none" w:sz="0" w:space="0" w:color="auto"/>
      </w:divBdr>
    </w:div>
    <w:div w:id="212044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giss.nasa.gov/impacts/gfwed/"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bsnews.com/news/amazon-wildfires-brazil-spurns-20-million-aid-offer-from-g-7-nations-today-2019-08-27/" TargetMode="External"/><Relationship Id="rId17" Type="http://schemas.openxmlformats.org/officeDocument/2006/relationships/hyperlink" Target="https://towardsdatascience.com/an-analysis-of-amazonian-forest-fires-8facca63ba69" TargetMode="External"/><Relationship Id="rId2" Type="http://schemas.openxmlformats.org/officeDocument/2006/relationships/styles" Target="styles.xml"/><Relationship Id="rId16" Type="http://schemas.openxmlformats.org/officeDocument/2006/relationships/hyperlink" Target="https://numpy.org/doc/stable/reference/generated/numpy.corrcoef.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pnews.com/article/384fdb5ee7654667b53ddb49efce8023" TargetMode="External"/><Relationship Id="rId5" Type="http://schemas.openxmlformats.org/officeDocument/2006/relationships/footnotes" Target="footnotes.xml"/><Relationship Id="rId15" Type="http://schemas.openxmlformats.org/officeDocument/2006/relationships/hyperlink" Target="https://origin.cpc.ncep.noaa.gov/products/analysis_monitoring/ensostuff/ONI_v5.ph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wcg.gov/publications/pms437/cffdrs/fire-weather-index-system#:~:text=The%20Fire%20Weather%20Index%20(FWI,of%20extreme%20fire%20behavior%20pot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094CD-5519-4B34-8F71-24C7DE78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 Naylor</dc:creator>
  <cp:keywords/>
  <dc:description/>
  <cp:lastModifiedBy>Patrick K Naylor</cp:lastModifiedBy>
  <cp:revision>1</cp:revision>
  <dcterms:created xsi:type="dcterms:W3CDTF">2020-12-15T20:26:00Z</dcterms:created>
  <dcterms:modified xsi:type="dcterms:W3CDTF">2020-12-15T22:49:00Z</dcterms:modified>
</cp:coreProperties>
</file>