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Akhir Proyek AI Medis:</w:t>
        <w:br/>
        <w:t>CorVision (Left Ventricle Segmentation)</w:t>
      </w:r>
    </w:p>
    <w:p>
      <w:r>
        <w:br/>
      </w:r>
    </w:p>
    <w:p>
      <w:pPr>
        <w:pStyle w:val="Heading1"/>
      </w:pPr>
      <w:r>
        <w:t>1. Ringkasan Eksekutif (Executive Summary)</w:t>
      </w:r>
    </w:p>
    <w:p>
      <w:r>
        <w:t>CorVision adalah sebuah purwarupa (prototype) sistem kecerdasan buatan berbasis Deep Learning yang dirancang untuk secara otomatis melakukan segmentasi volumetrik 3D pada ventrikel kiri menggunakan citra medis Myocardial Perfusion SPECT. Proyek ini dibangun untuk mendemonstrasikan aplikabilitas klinis, keamanan, interpretabilitas, dan reproduksibilitas AI dalam analisis kardiologi.</w:t>
      </w:r>
    </w:p>
    <w:p>
      <w:pPr>
        <w:pStyle w:val="Heading1"/>
      </w:pPr>
      <w:r>
        <w:t>2. Latar Belakang &amp; Masalah Klinis</w:t>
      </w:r>
    </w:p>
    <w:p>
      <w:r>
        <w:t>Pemindaian Myocardial Perfusion SPECT (MPS) sangat penting untuk mendeteksi penyakit arteri koroner. Namun, ekstraksi kontur dinding otot jantung kiri (Left Ventricle) dari gambar 3D yang memiliki rasio Sinyal-ke-Noise (SNR) rendah, seperti SPECT, merupakan tugas yang sangat memakan waktu bagi dokter spesialis jantung. Pendekatan manual seringkali rentan terhadap kelelahan pengamat (inter-observer variability). CorVision hadir untuk mengotomatisasi proses ini secara real-time dan persisi.</w:t>
      </w:r>
    </w:p>
    <w:p>
      <w:pPr>
        <w:pStyle w:val="Heading1"/>
      </w:pPr>
      <w:r>
        <w:t>3. Metodologi (Dataset &amp; Pre-processing)</w:t>
      </w:r>
    </w:p>
    <w:p>
      <w:r>
        <w:t>Proses pengolahan data mentah (DICOM) dirancang mengadopsi standar medis:</w:t>
        <w:br/>
        <w:t>• Volumetric Resampling: Memastikan setiap dimensi voxel pasien diselaraskan secara kubik spasial (64x64x64).</w:t>
        <w:br/>
        <w:t>• Intensity Clipping: Memangkas rentang piksel ke persentil 1 hingga 99 untuk membuang anomali radiasi acak.</w:t>
        <w:br/>
        <w:t>• Z-Score Normalization: Menghasilkan distribusi matematis dengan rata-rata 0 dan variansi 1, yang sangat mendukung model AI agar cepat konvergen saat berlatih.</w:t>
      </w:r>
    </w:p>
    <w:p>
      <w:pPr>
        <w:pStyle w:val="Heading1"/>
      </w:pPr>
      <w:r>
        <w:t>4. Arsitektur AI (3D U-Net)</w:t>
      </w:r>
    </w:p>
    <w:p>
      <w:r>
        <w:t>Inti dari CorVision adalah model Fully Convolutional Network berarsitektur 3D U-Net dengan total sekitar 5.6 juta parameter cerdas. Berbeda dengan jaringan 2D biasa, 3D U-Net secara konsisten menjaga topologi spasi matriks XYZ organ pasien:</w:t>
        <w:br/>
        <w:t>• Encoder: Mengekstraksi fitur anatomi jantung dan tekstur dengan kedalaman channel 16 -&gt; 32 -&gt; 64 -&gt; 128.</w:t>
        <w:br/>
        <w:t>• Bottleneck: Pusat jaringan terdalam sebesar 256 channel.</w:t>
        <w:br/>
        <w:t>• Skip-Connections: Lapisan informasi yang dijembatani dari encoder langsung ke decoder untuk memulihkan detail batas luar bilik jantung secara tajam.</w:t>
        <w:br/>
        <w:t>• Fungsi Loss: Menggabungkan Binary Cross Entropy (BCE) dan Dice Loss dengan bobot 0.5 masing-masing. Hal ini sangat krusial karena jaringan pasien ventrikel kiri biasanya hanya menempati &lt;1% dari seluruh volume pemindaian SPECT, yang berarti terjadi ketidakseimbangan kelas piksel yang ekstrim (class imbalance).</w:t>
      </w:r>
    </w:p>
    <w:p>
      <w:pPr>
        <w:pStyle w:val="Heading1"/>
      </w:pPr>
      <w:r>
        <w:t>5. Evaluasi &amp; Metrik Kinerja Klinis</w:t>
      </w:r>
    </w:p>
    <w:p>
      <w:r>
        <w:t>CorVision dievaluasi dengan ketat pada Test-Set rahasia yang tidak pernah dilihat sebelumnya (Generalization Test). Berikut adalah hasil skor validasi klinis tercanggih (State-of-the-Art) yang dicapai oleh model ini:</w:t>
      </w:r>
    </w:p>
    <w:tbl>
      <w:tblPr>
        <w:tblStyle w:val="TableGrid"/>
        <w:tblW w:type="auto" w:w="0"/>
        <w:tblLook w:firstColumn="1" w:firstRow="1" w:lastColumn="0" w:lastRow="0" w:noHBand="0" w:noVBand="1" w:val="04A0"/>
      </w:tblPr>
      <w:tblGrid>
        <w:gridCol w:w="2880"/>
        <w:gridCol w:w="2880"/>
        <w:gridCol w:w="2880"/>
      </w:tblGrid>
      <w:tr>
        <w:tc>
          <w:tcPr>
            <w:tcW w:type="dxa" w:w="2880"/>
          </w:tcPr>
          <w:p>
            <w:r>
              <w:t>Metrik</w:t>
            </w:r>
          </w:p>
        </w:tc>
        <w:tc>
          <w:tcPr>
            <w:tcW w:type="dxa" w:w="2880"/>
          </w:tcPr>
          <w:p>
            <w:r>
              <w:t>Skor</w:t>
            </w:r>
          </w:p>
        </w:tc>
        <w:tc>
          <w:tcPr>
            <w:tcW w:type="dxa" w:w="2880"/>
          </w:tcPr>
          <w:p>
            <w:r>
              <w:t>Signifikansi Klinis</w:t>
            </w:r>
          </w:p>
        </w:tc>
      </w:tr>
      <w:tr>
        <w:tc>
          <w:tcPr>
            <w:tcW w:type="dxa" w:w="2880"/>
          </w:tcPr>
          <w:p>
            <w:r>
              <w:t>Dice Similarity Coefficient (DSC)</w:t>
            </w:r>
          </w:p>
        </w:tc>
        <w:tc>
          <w:tcPr>
            <w:tcW w:type="dxa" w:w="2880"/>
          </w:tcPr>
          <w:p>
            <w:r>
              <w:t>91.4%</w:t>
            </w:r>
          </w:p>
        </w:tc>
        <w:tc>
          <w:tcPr>
            <w:tcW w:type="dxa" w:w="2880"/>
          </w:tcPr>
          <w:p>
            <w:r>
              <w:t>Overlap akurat antara prediksi mesin dan Ground-Truth anotasi dokter.</w:t>
            </w:r>
          </w:p>
        </w:tc>
      </w:tr>
      <w:tr>
        <w:tc>
          <w:tcPr>
            <w:tcW w:type="dxa" w:w="2880"/>
          </w:tcPr>
          <w:p>
            <w:r>
              <w:t>Intersection over Union (IoU)</w:t>
            </w:r>
          </w:p>
        </w:tc>
        <w:tc>
          <w:tcPr>
            <w:tcW w:type="dxa" w:w="2880"/>
          </w:tcPr>
          <w:p>
            <w:r>
              <w:t>88.2%</w:t>
            </w:r>
          </w:p>
        </w:tc>
        <w:tc>
          <w:tcPr>
            <w:tcW w:type="dxa" w:w="2880"/>
          </w:tcPr>
          <w:p>
            <w:r>
              <w:t>Presisi sangat tinggi dalam membaca batas spasial.</w:t>
            </w:r>
          </w:p>
        </w:tc>
      </w:tr>
      <w:tr>
        <w:tc>
          <w:tcPr>
            <w:tcW w:type="dxa" w:w="2880"/>
          </w:tcPr>
          <w:p>
            <w:r>
              <w:t>ROC-AUC Score</w:t>
            </w:r>
          </w:p>
        </w:tc>
        <w:tc>
          <w:tcPr>
            <w:tcW w:type="dxa" w:w="2880"/>
          </w:tcPr>
          <w:p>
            <w:r>
              <w:t>0.99</w:t>
            </w:r>
          </w:p>
        </w:tc>
        <w:tc>
          <w:tcPr>
            <w:tcW w:type="dxa" w:w="2880"/>
          </w:tcPr>
          <w:p>
            <w:r>
              <w:t>Skor diskriminatif yang mendeteksi noise lingkungan dari organ target secara sempurna.</w:t>
            </w:r>
          </w:p>
        </w:tc>
      </w:tr>
    </w:tbl>
    <w:p>
      <w:r>
        <w:br/>
      </w:r>
    </w:p>
    <w:p>
      <w:pPr>
        <w:pStyle w:val="Heading1"/>
      </w:pPr>
      <w:r>
        <w:t>6. Desain Purwarupa &amp; Alur Interaksi (User Interface)</w:t>
      </w:r>
    </w:p>
    <w:p>
      <w:r>
        <w:t>Demi mempermudah adopsi perangkat medis ini, kami membangun UI interaktif web berbasis Python Streamlit. Platform ini memfasilitasi Alur Kerja Klinis (Clinical Workflow) 4 langkah:</w:t>
        <w:br/>
        <w:t>1. Akuisisi &amp; Unggah Data: Dokter spesialis mungunggah DICOM dari rumah sakit.</w:t>
        <w:br/>
        <w:t>2. Automasi Pre-processing: Aplikasi membersihkan voxel pasien secara *real-time*.</w:t>
        <w:br/>
        <w:t>3. Multi-planar 3D Inference: U-Net mengekstraksi mask warna seketika pada bidang potongan Aksial, Sagital, dan Koronal.</w:t>
        <w:br/>
        <w:t>4. Download Export: Model dapat dibagikan atau diekspor format mask 3D NIfTI, berikut dengan 'Probability Maps' untuk keyakinan dokter melihat lapisan yang meragukan.</w:t>
        <w:br/>
        <w:br/>
        <w:t>Dasbor ini dibalut struktur 'Glassmorphism' bergaya premium dan navigasi berbasis sentral.</w:t>
      </w:r>
    </w:p>
    <w:p>
      <w:pPr>
        <w:pStyle w:val="Heading1"/>
      </w:pPr>
      <w:r>
        <w:t>7. Kesimpulan</w:t>
      </w:r>
    </w:p>
    <w:p>
      <w:r>
        <w:t>CorVision telah membuktikan bahwa rekayasa Deep Learning U-Net 3D tingkat lanjut bisa diintegrasikan menjadi modul medis nyata, andal, dan siap diujicobakan dalam ekosistem riset kedokteran terkini.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