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120"/>
        <w:jc w:val="center"/>
      </w:pPr>
      <w:r>
        <w:rPr>
          <w:rFonts w:ascii="Calibri" w:cs="Calibri" w:eastAsia="Calibri" w:hAnsi="Calibri"/>
          <w:b/>
          <w:bCs/>
          <w:color w:val="084272"/>
          <w:sz w:val="52"/>
          <w:szCs w:val="52"/>
        </w:rPr>
        <w:t xml:space="preserve">DNA FACILITIES</w:t>
      </w:r>
    </w:p>
    <w:p>
      <w:pPr>
        <w:spacing w:after="600"/>
        <w:jc w:val="center"/>
      </w:pPr>
      <w:r>
        <w:rPr>
          <w:rFonts w:ascii="Calibri" w:cs="Calibri" w:eastAsia="Calibri" w:hAnsi="Calibri"/>
          <w:b/>
          <w:bCs/>
          <w:color w:val="25AAE2"/>
          <w:sz w:val="36"/>
          <w:szCs w:val="36"/>
        </w:rPr>
        <w:t xml:space="preserve">DNA AUTOMAÇÃO INDUSTRIAL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084272"/>
          <w:sz w:val="40"/>
          <w:szCs w:val="40"/>
        </w:rPr>
        <w:t xml:space="preserve">Especificação Técnica — Módulo 2</w:t>
      </w:r>
    </w:p>
    <w:p>
      <w:pPr>
        <w:spacing w:after="800"/>
        <w:jc w:val="center"/>
      </w:pPr>
      <w:r>
        <w:rPr>
          <w:rFonts w:ascii="Calibri" w:cs="Calibri" w:eastAsia="Calibri" w:hAnsi="Calibri"/>
          <w:i/>
          <w:iCs/>
          <w:color w:val="333333"/>
          <w:sz w:val="26"/>
          <w:szCs w:val="26"/>
        </w:rPr>
        <w:t xml:space="preserve">Governança, Segurança e Controle de Acesso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800"/>
            <w:shd w:fill="084272" w:color="0842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tcW w:type="dxa" w:w="1200"/>
            <w:shd w:fill="084272" w:color="0842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Versão</w:t>
            </w:r>
          </w:p>
        </w:tc>
        <w:tc>
          <w:tcPr>
            <w:tcW w:type="dxa" w:w="2400"/>
            <w:shd w:fill="084272" w:color="0842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Data de Emissão</w:t>
            </w:r>
          </w:p>
        </w:tc>
        <w:tc>
          <w:tcPr>
            <w:tcW w:type="dxa" w:w="4200"/>
            <w:shd w:fill="084272" w:color="0842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Classificação</w:t>
            </w:r>
          </w:p>
        </w:tc>
      </w:tr>
      <w:tr>
        <w:tc>
          <w:tcPr>
            <w:tcW w:type="dxa" w:w="1800"/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Módulo 2 — Governança e Segurança</w:t>
            </w:r>
          </w:p>
        </w:tc>
        <w:tc>
          <w:tcPr>
            <w:tcW w:type="dxa" w:w="1200"/>
            <w:shd w:fill="EBF5FB" w:color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v1.0</w:t>
            </w:r>
          </w:p>
        </w:tc>
        <w:tc>
          <w:tcPr>
            <w:tcW w:type="dxa" w:w="2400"/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Junho / 2025</w:t>
            </w:r>
          </w:p>
        </w:tc>
        <w:tc>
          <w:tcPr>
            <w:tcW w:type="dxa" w:w="4200"/>
            <w:shd w:fill="EBF5FB" w:color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Confidencial — Uso Interno</w:t>
            </w:r>
          </w:p>
        </w:tc>
      </w:tr>
    </w:tbl>
    <w:p>
      <w:pPr>
        <w:pageBreakBefore/>
      </w:pPr>
    </w:p>
    <w:p>
      <w:pPr>
        <w:pStyle w:val="Heading1"/>
        <w:pBdr>
          <w:bottom w:val="single" w:color="084272" w:sz="8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084272"/>
          <w:sz w:val="28"/>
          <w:szCs w:val="28"/>
        </w:rPr>
        <w:t xml:space="preserve">Controle do Documento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3000"/>
            <w:shd w:fill="084272" w:color="0842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600"/>
            <w:shd w:fill="084272" w:color="0842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Informação</w:t>
            </w:r>
          </w:p>
        </w:tc>
      </w:tr>
      <w:tr>
        <w:tc>
          <w:tcPr>
            <w:tcW w:type="dxa" w:w="3000"/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Cliente / Unidade</w:t>
            </w:r>
          </w:p>
        </w:tc>
        <w:tc>
          <w:tcPr>
            <w:tcW w:type="dxa" w:w="6600"/>
            <w:shd w:fill="EBF5FB" w:color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DNA Facilities — Automação Industrial</w:t>
            </w:r>
          </w:p>
        </w:tc>
      </w:tr>
      <w:tr>
        <w:tc>
          <w:tcPr>
            <w:tcW w:type="dxa" w:w="3000"/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Módulo</w:t>
            </w:r>
          </w:p>
        </w:tc>
        <w:tc>
          <w:tcPr>
            <w:tcW w:type="dxa" w:w="6600"/>
            <w:shd w:fill="EBF5FB" w:color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Módulo 2 — Governança, Segurança e Controle de Acesso</w:t>
            </w:r>
          </w:p>
        </w:tc>
      </w:tr>
      <w:tr>
        <w:tc>
          <w:tcPr>
            <w:tcW w:type="dxa" w:w="3000"/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Departamento</w:t>
            </w:r>
          </w:p>
        </w:tc>
        <w:tc>
          <w:tcPr>
            <w:tcW w:type="dxa" w:w="6600"/>
            <w:shd w:fill="EBF5FB" w:color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Engenharia de Software / TI</w:t>
            </w:r>
          </w:p>
        </w:tc>
      </w:tr>
      <w:tr>
        <w:tc>
          <w:tcPr>
            <w:tcW w:type="dxa" w:w="3000"/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Classificação</w:t>
            </w:r>
          </w:p>
        </w:tc>
        <w:tc>
          <w:tcPr>
            <w:tcW w:type="dxa" w:w="6600"/>
            <w:shd w:fill="EBF5FB" w:color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Confidencial — Uso Interno</w:t>
            </w:r>
          </w:p>
        </w:tc>
      </w:tr>
      <w:tr>
        <w:tc>
          <w:tcPr>
            <w:tcW w:type="dxa" w:w="3000"/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Data de Emissão</w:t>
            </w:r>
          </w:p>
        </w:tc>
        <w:tc>
          <w:tcPr>
            <w:tcW w:type="dxa" w:w="6600"/>
            <w:shd w:fill="EBF5FB" w:color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Junho / 2025</w:t>
            </w:r>
          </w:p>
        </w:tc>
      </w:tr>
      <w:tr>
        <w:tc>
          <w:tcPr>
            <w:tcW w:type="dxa" w:w="3000"/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Versão</w:t>
            </w:r>
          </w:p>
        </w:tc>
        <w:tc>
          <w:tcPr>
            <w:tcW w:type="dxa" w:w="6600"/>
            <w:shd w:fill="EBF5FB" w:color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1.0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084272" w:sz="8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084272"/>
          <w:sz w:val="28"/>
          <w:szCs w:val="28"/>
        </w:rPr>
        <w:t xml:space="preserve">Índice de Revisões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900"/>
            <w:shd w:fill="084272" w:color="0842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Rev.</w:t>
            </w:r>
          </w:p>
        </w:tc>
        <w:tc>
          <w:tcPr>
            <w:tcW w:type="dxa" w:w="1500"/>
            <w:shd w:fill="084272" w:color="0842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  <w:tc>
          <w:tcPr>
            <w:tcW w:type="dxa" w:w="4200"/>
            <w:shd w:fill="084272" w:color="0842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2000"/>
            <w:shd w:fill="084272" w:color="0842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Execução</w:t>
            </w:r>
          </w:p>
        </w:tc>
        <w:tc>
          <w:tcPr>
            <w:tcW w:type="dxa" w:w="2000"/>
            <w:shd w:fill="084272" w:color="0842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Aprovação</w:t>
            </w:r>
          </w:p>
        </w:tc>
      </w:tr>
      <w:tr>
        <w:tc>
          <w:tcPr>
            <w:tcW w:type="dxa" w:w="900"/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1.0</w:t>
            </w:r>
          </w:p>
        </w:tc>
        <w:tc>
          <w:tcPr>
            <w:tcW w:type="dxa" w:w="1500"/>
            <w:shd w:fill="EBF5FB" w:color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Jun/2025</w:t>
            </w:r>
          </w:p>
        </w:tc>
        <w:tc>
          <w:tcPr>
            <w:tcW w:type="dxa" w:w="4200"/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Versão inicial</w:t>
            </w:r>
          </w:p>
        </w:tc>
        <w:tc>
          <w:tcPr>
            <w:tcW w:type="dxa" w:w="2000"/>
            <w:shd w:fill="EBF5FB" w:color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Equipe DNA TI</w:t>
            </w:r>
          </w:p>
        </w:tc>
        <w:tc>
          <w:tcPr>
            <w:tcW w:type="dxa" w:w="2000"/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Diretoria</w:t>
            </w:r>
          </w:p>
        </w:tc>
      </w:tr>
    </w:tbl>
    <w:p>
      <w:pPr>
        <w:pageBreakBefore/>
      </w:pPr>
    </w:p>
    <w:p>
      <w:pPr>
        <w:pStyle w:val="Heading1"/>
        <w:pBdr>
          <w:bottom w:val="single" w:color="084272" w:sz="8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084272"/>
          <w:sz w:val="28"/>
          <w:szCs w:val="28"/>
        </w:rPr>
        <w:t xml:space="preserve">1. Visão Geral</w:t>
      </w:r>
    </w:p>
    <w:p>
      <w:pPr>
        <w:spacing w:after="1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O Módulo 2 implementa toda a camada de identidade, autenticação, autorização e auditoria do DNA Automação Industrial. A solução é baseada em Amazon Cognito para gestão de identidades, com suporte a SSO via SAML 2.0 (Azure AD/Okta), ABAC (Attribute-Based Access Control) via claims JWT e trilha de auditoria imutável em S3 Object Lock.</w:t>
      </w:r>
    </w:p>
    <w:p>
      <w:pPr>
        <w:spacing w:after="1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O modelo ABAC propaga os atributos de planta, departamento e papel do usuário como custom claims no JWT, garantindo que a filtragem de dados ocorra na camada de dados (SQL WHERE), não apenas na API.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5AAE2"/>
          <w:sz w:val="24"/>
          <w:szCs w:val="24"/>
        </w:rPr>
        <w:t xml:space="preserve">1.1 Objetivos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• Autenticação MFA obrigatória em produção via Amazon Cognito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• SSO federado SAML 2.0 com Azure AD / Okta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• ABAC com claims custom:plant, custom:department, custom:role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• RBAC com 3 grupos: Administrador, Analista, Auditor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• Trilha de auditoria imutável: S3 Object Lock COMPLIANCE (5 anos)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• Proteção WAF v2 com rate limiting e regras gerenciadas AWS</w:t>
      </w:r>
    </w:p>
    <w:p>
      <w:pPr>
        <w:spacing w:after="160"/>
      </w:pPr>
    </w:p>
    <w:p>
      <w:pPr>
        <w:pStyle w:val="Heading1"/>
        <w:pBdr>
          <w:bottom w:val="single" w:color="084272" w:sz="8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084272"/>
          <w:sz w:val="28"/>
          <w:szCs w:val="28"/>
        </w:rPr>
        <w:t xml:space="preserve">2. Amazon Cognito — Gestão de Identidades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5AAE2"/>
          <w:sz w:val="24"/>
          <w:szCs w:val="24"/>
        </w:rPr>
        <w:t xml:space="preserve">2.1 Configuração do User Pool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084272" w:color="0842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Parâmetro</w:t>
            </w:r>
          </w:p>
        </w:tc>
        <w:tc>
          <w:tcPr>
            <w:shd w:fill="084272" w:color="0842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  <w:tc>
          <w:tcPr>
            <w:shd w:fill="084272" w:color="0842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Justificativa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Senha mínima</w:t>
            </w:r>
          </w:p>
        </w:tc>
        <w:tc>
          <w:tcPr>
            <w:shd w:fill="EBF5FB" w:color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12 caracteres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ISO 27001 A.9.4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MFA</w:t>
            </w:r>
          </w:p>
        </w:tc>
        <w:tc>
          <w:tcPr>
            <w:shd w:fill="EBF5FB" w:color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TOTP (prod obrigatório)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Autenticação forte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Advanced Security</w:t>
            </w:r>
          </w:p>
        </w:tc>
        <w:tc>
          <w:tcPr>
            <w:shd w:fill="EBF5FB" w:color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ENFORCED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Detecção de ataques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Token refresh</w:t>
            </w:r>
          </w:p>
        </w:tc>
        <w:tc>
          <w:tcPr>
            <w:shd w:fill="EBF5FB" w:color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30 dias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UX balanceada com segurança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Custom attributes</w:t>
            </w:r>
          </w:p>
        </w:tc>
        <w:tc>
          <w:tcPr>
            <w:shd w:fill="EBF5FB" w:color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plant, department, role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Base do ABAC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Domínio Cognito</w:t>
            </w:r>
          </w:p>
        </w:tc>
        <w:tc>
          <w:tcPr>
            <w:shd w:fill="EBF5FB" w:color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dna-automacao.auth.us-east-1.amazoncognito.com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SSO endpoint</w:t>
            </w:r>
          </w:p>
        </w:tc>
      </w:tr>
    </w:tbl>
    <w:p>
      <w:pPr>
        <w:spacing w:after="16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5AAE2"/>
          <w:sz w:val="24"/>
          <w:szCs w:val="24"/>
        </w:rPr>
        <w:t xml:space="preserve">2.2 Claims ABAC no JWT (ID Token)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084272" w:color="0842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Claim</w:t>
            </w:r>
          </w:p>
        </w:tc>
        <w:tc>
          <w:tcPr>
            <w:shd w:fill="084272" w:color="0842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Exemplo</w:t>
            </w:r>
          </w:p>
        </w:tc>
        <w:tc>
          <w:tcPr>
            <w:shd w:fill="084272" w:color="0842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Fonte</w:t>
            </w:r>
          </w:p>
        </w:tc>
        <w:tc>
          <w:tcPr>
            <w:shd w:fill="084272" w:color="0842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custom:plant</w:t>
            </w:r>
          </w:p>
        </w:tc>
        <w:tc>
          <w:tcPr>
            <w:shd w:fill="EBF5FB" w:color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planta-sp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Atributo Cognito / SAML mapping</w:t>
            </w:r>
          </w:p>
        </w:tc>
        <w:tc>
          <w:tcPr>
            <w:shd w:fill="EBF5FB" w:color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Filtra dados por planta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custom:department</w:t>
            </w:r>
          </w:p>
        </w:tc>
        <w:tc>
          <w:tcPr>
            <w:shd w:fill="EBF5FB" w:color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manutencao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Atributo Cognito / SAML mapping</w:t>
            </w:r>
          </w:p>
        </w:tc>
        <w:tc>
          <w:tcPr>
            <w:shd w:fill="EBF5FB" w:color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Filtra por departamento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custom:role</w:t>
            </w:r>
          </w:p>
        </w:tc>
        <w:tc>
          <w:tcPr>
            <w:shd w:fill="EBF5FB" w:color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Analista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Atributo Cognito / SAML mapping</w:t>
            </w:r>
          </w:p>
        </w:tc>
        <w:tc>
          <w:tcPr>
            <w:shd w:fill="EBF5FB" w:color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Exibe perfil no frontend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cognito:groups</w:t>
            </w:r>
          </w:p>
        </w:tc>
        <w:tc>
          <w:tcPr>
            <w:shd w:fill="EBF5FB" w:color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["Analista"]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Grupo Cognito</w:t>
            </w:r>
          </w:p>
        </w:tc>
        <w:tc>
          <w:tcPr>
            <w:shd w:fill="EBF5FB" w:color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IAM role assumption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sub</w:t>
            </w:r>
          </w:p>
        </w:tc>
        <w:tc>
          <w:tcPr>
            <w:shd w:fill="EBF5FB" w:color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uuid-v4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Cognito</w:t>
            </w:r>
          </w:p>
        </w:tc>
        <w:tc>
          <w:tcPr>
            <w:shd w:fill="EBF5FB" w:color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Identificador único do usuário</w:t>
            </w:r>
          </w:p>
        </w:tc>
      </w:tr>
    </w:tbl>
    <w:p>
      <w:pPr>
        <w:spacing w:after="16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5AAE2"/>
          <w:sz w:val="24"/>
          <w:szCs w:val="24"/>
        </w:rPr>
        <w:t xml:space="preserve">2.3 Grupos e Permissões RBAC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084272" w:color="0842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Grupo</w:t>
            </w:r>
          </w:p>
        </w:tc>
        <w:tc>
          <w:tcPr>
            <w:shd w:fill="084272" w:color="0842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IAM Role</w:t>
            </w:r>
          </w:p>
        </w:tc>
        <w:tc>
          <w:tcPr>
            <w:shd w:fill="084272" w:color="0842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Permissões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Administrador</w:t>
            </w:r>
          </w:p>
        </w:tc>
        <w:tc>
          <w:tcPr>
            <w:shd w:fill="EBF5FB" w:color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dna-admin-role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Acesso completo: relatórios, auditoria, configurações, todas as plantas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Analista</w:t>
            </w:r>
          </w:p>
        </w:tc>
        <w:tc>
          <w:tcPr>
            <w:shd w:fill="EBF5FB" w:color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dna-analista-role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Solicitar relatórios, visualizar dados da própria planta/departamento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Auditor</w:t>
            </w:r>
          </w:p>
        </w:tc>
        <w:tc>
          <w:tcPr>
            <w:shd w:fill="EBF5FB" w:color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dna-auditor-role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Read-only em logs CloudWatch e S3 audit; sem acesso a Lambdas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84272" w:sz="8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084272"/>
          <w:sz w:val="28"/>
          <w:szCs w:val="28"/>
        </w:rPr>
        <w:t xml:space="preserve">3. Fluxo SSO SAML 2.0</w:t>
      </w:r>
    </w:p>
    <w:p>
      <w:pPr>
        <w:spacing w:after="1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1. Usuário acessa o frontend e clica em "Entrar com SSO".</w:t>
      </w:r>
    </w:p>
    <w:p>
      <w:pPr>
        <w:spacing w:after="1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2. Frontend redireciona para o Cognito Domain /oauth2/authorize com response_type=code e PKCE.</w:t>
      </w:r>
    </w:p>
    <w:p>
      <w:pPr>
        <w:spacing w:after="1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3. Cognito redireciona para o IdP SAML (Azure AD/Okta) para autenticação.</w:t>
      </w:r>
    </w:p>
    <w:p>
      <w:pPr>
        <w:spacing w:after="1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4. IdP autentica o usuário e retorna SAML Assertion com atributos mapeados (email → email, department → custom:department, plant → custom:plant, role → custom:role).</w:t>
      </w:r>
    </w:p>
    <w:p>
      <w:pPr>
        <w:spacing w:after="1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5. Cognito processa a assertion, cria/atualiza o usuário no User Pool e emite tokens JWT (Access, ID, Refresh).</w:t>
      </w:r>
    </w:p>
    <w:p>
      <w:pPr>
        <w:spacing w:after="1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6. Frontend recebe o authorization code e troca por tokens via /oauth2/token (PKCE).</w:t>
      </w:r>
    </w:p>
    <w:p>
      <w:pPr>
        <w:spacing w:after="160"/>
      </w:pPr>
    </w:p>
    <w:p>
      <w:pPr>
        <w:pStyle w:val="Heading1"/>
        <w:pBdr>
          <w:bottom w:val="single" w:color="084272" w:sz="8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084272"/>
          <w:sz w:val="28"/>
          <w:szCs w:val="28"/>
        </w:rPr>
        <w:t xml:space="preserve">4. Token Authorizer Lambda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5AAE2"/>
          <w:sz w:val="24"/>
          <w:szCs w:val="24"/>
        </w:rPr>
        <w:t xml:space="preserve">4.1 Funcionamento</w:t>
      </w:r>
    </w:p>
    <w:p>
      <w:pPr>
        <w:spacing w:after="1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A Lambda token_authorizer intercepta todas as requisições ao API Gateway. Ela valida o JWT do header Authorization contra as chaves públicas JWKS do Cognito (cacheadas via @lru_cache para evitar latência extra), verifica issuer, expiração e audience, e gera uma IAM Policy (Allow/Deny) com o contexto ABAC como variáveis de authorizer.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5AAE2"/>
          <w:sz w:val="24"/>
          <w:szCs w:val="24"/>
        </w:rPr>
        <w:t xml:space="preserve">4.2 Publicação de Eventos de Auditoria</w:t>
      </w:r>
    </w:p>
    <w:p>
      <w:pPr>
        <w:spacing w:after="1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A cada validação de token, a Lambda publica um evento AUTH_SUCCESS ou AUTH_FAILURE na fila SQS de auditoria, contendo: user_id, email, timestamp, IP de origem, claims ABAC e o resultado da validação.</w:t>
      </w:r>
    </w:p>
    <w:p>
      <w:pPr>
        <w:spacing w:after="160"/>
      </w:pPr>
    </w:p>
    <w:p>
      <w:pPr>
        <w:pStyle w:val="Heading1"/>
        <w:pBdr>
          <w:bottom w:val="single" w:color="084272" w:sz="8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084272"/>
          <w:sz w:val="28"/>
          <w:szCs w:val="28"/>
        </w:rPr>
        <w:t xml:space="preserve">5. Trilha de Auditoria Imutável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5AAE2"/>
          <w:sz w:val="24"/>
          <w:szCs w:val="24"/>
        </w:rPr>
        <w:t xml:space="preserve">5.1 Arquitetura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084272" w:color="0842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shd w:fill="084272" w:color="0842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Configuração</w:t>
            </w:r>
          </w:p>
        </w:tc>
        <w:tc>
          <w:tcPr>
            <w:shd w:fill="084272" w:color="0842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Finalidade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SQS Audit Queue</w:t>
            </w:r>
          </w:p>
        </w:tc>
        <w:tc>
          <w:tcPr>
            <w:shd w:fill="EBF5FB" w:color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Visibility: 60s, DLQ: 14 dias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Buffer de eventos de auditoria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Lambda audit_logger</w:t>
            </w:r>
          </w:p>
        </w:tc>
        <w:tc>
          <w:tcPr>
            <w:shd w:fill="EBF5FB" w:color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Batch size: 10, Python 3.12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Processa e persiste eventos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CloudWatch Logs</w:t>
            </w:r>
          </w:p>
        </w:tc>
        <w:tc>
          <w:tcPr>
            <w:shd w:fill="EBF5FB" w:color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Retenção: 365 dias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Log estruturado para consultas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S3 Object Lock</w:t>
            </w:r>
          </w:p>
        </w:tc>
        <w:tc>
          <w:tcPr>
            <w:shd w:fill="EBF5FB" w:color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COMPLIANCE, 5 anos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Imutabilidade garantida por lei</w:t>
            </w:r>
          </w:p>
        </w:tc>
      </w:tr>
    </w:tbl>
    <w:p>
      <w:pPr>
        <w:spacing w:after="16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5AAE2"/>
          <w:sz w:val="24"/>
          <w:szCs w:val="24"/>
        </w:rPr>
        <w:t xml:space="preserve">5.2 Campos do Registro de Auditoria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084272" w:color="0842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shd w:fill="084272" w:color="0842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shd w:fill="084272" w:color="0842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event_id</w:t>
            </w:r>
          </w:p>
        </w:tc>
        <w:tc>
          <w:tcPr>
            <w:shd w:fill="EBF5FB" w:color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UUID v4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Identificador único do evento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event_type</w:t>
            </w:r>
          </w:p>
        </w:tc>
        <w:tc>
          <w:tcPr>
            <w:shd w:fill="EBF5FB" w:color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AUTH_SUCCESS, AUTH_FAILURE, REPORT_REQUEST, etc.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timestamp</w:t>
            </w:r>
          </w:p>
        </w:tc>
        <w:tc>
          <w:tcPr>
            <w:shd w:fill="EBF5FB" w:color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ISO 8601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Data/hora UTC do evento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user_id</w:t>
            </w:r>
          </w:p>
        </w:tc>
        <w:tc>
          <w:tcPr>
            <w:shd w:fill="EBF5FB" w:color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sub do JWT (Cognito user ID)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user_email</w:t>
            </w:r>
          </w:p>
        </w:tc>
        <w:tc>
          <w:tcPr>
            <w:shd w:fill="EBF5FB" w:color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E-mail do usuário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plant</w:t>
            </w:r>
          </w:p>
        </w:tc>
        <w:tc>
          <w:tcPr>
            <w:shd w:fill="EBF5FB" w:color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Planta do usuário (claim ABAC)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department</w:t>
            </w:r>
          </w:p>
        </w:tc>
        <w:tc>
          <w:tcPr>
            <w:shd w:fill="EBF5FB" w:color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Departamento do usuário (claim ABAC)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source_ip</w:t>
            </w:r>
          </w:p>
        </w:tc>
        <w:tc>
          <w:tcPr>
            <w:shd w:fill="EBF5FB" w:color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IP de origem da requisição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validation_hash</w:t>
            </w:r>
          </w:p>
        </w:tc>
        <w:tc>
          <w:tcPr>
            <w:shd w:fill="EBF5FB" w:color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SHA-256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Hash do registro para detecção de adulteração</w:t>
            </w:r>
          </w:p>
        </w:tc>
      </w:tr>
    </w:tbl>
    <w:p>
      <w:pPr>
        <w:spacing w:after="16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5AAE2"/>
          <w:sz w:val="24"/>
          <w:szCs w:val="24"/>
        </w:rPr>
        <w:t xml:space="preserve">5.3 Particionamento S3</w:t>
      </w:r>
    </w:p>
    <w:p>
      <w:pPr>
        <w:spacing w:after="1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Os registros são salvos com particionamento Hive para otimização de consultas Athena:</w:t>
      </w:r>
    </w:p>
    <w:p>
      <w:pPr>
        <w:spacing w:after="12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audit-logs/year=YYYY/month=MM/day=DD/event_type=TYPE/{uuid}.json</w:t>
      </w:r>
    </w:p>
    <w:p>
      <w:pPr>
        <w:spacing w:after="160"/>
      </w:pPr>
    </w:p>
    <w:p>
      <w:pPr>
        <w:pStyle w:val="Heading1"/>
        <w:pBdr>
          <w:bottom w:val="single" w:color="084272" w:sz="8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084272"/>
          <w:sz w:val="28"/>
          <w:szCs w:val="28"/>
        </w:rPr>
        <w:t xml:space="preserve">6. WAF v2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084272" w:color="0842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Regra</w:t>
            </w:r>
          </w:p>
        </w:tc>
        <w:tc>
          <w:tcPr>
            <w:shd w:fill="084272" w:color="0842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shd w:fill="084272" w:color="0842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Parâmetros</w:t>
            </w:r>
          </w:p>
        </w:tc>
        <w:tc>
          <w:tcPr>
            <w:shd w:fill="084272" w:color="0842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Ação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Rate Limit</w:t>
            </w:r>
          </w:p>
        </w:tc>
        <w:tc>
          <w:tcPr>
            <w:shd w:fill="EBF5FB" w:color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Custom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2000 req / 5 min por IP</w:t>
            </w:r>
          </w:p>
        </w:tc>
        <w:tc>
          <w:tcPr>
            <w:shd w:fill="EBF5FB" w:color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BLOCK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Common Rules</w:t>
            </w:r>
          </w:p>
        </w:tc>
        <w:tc>
          <w:tcPr>
            <w:shd w:fill="EBF5FB" w:color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Managed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AWSManagedRulesCommonRuleSet</w:t>
            </w:r>
          </w:p>
        </w:tc>
        <w:tc>
          <w:tcPr>
            <w:shd w:fill="EBF5FB" w:color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BLOCK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Known Bad Inputs</w:t>
            </w:r>
          </w:p>
        </w:tc>
        <w:tc>
          <w:tcPr>
            <w:shd w:fill="EBF5FB" w:color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Managed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AWSManagedRulesKnownBadInputsRuleSet</w:t>
            </w:r>
          </w:p>
        </w:tc>
        <w:tc>
          <w:tcPr>
            <w:shd w:fill="EBF5FB" w:color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BLOCK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SQL Injection</w:t>
            </w:r>
          </w:p>
        </w:tc>
        <w:tc>
          <w:tcPr>
            <w:shd w:fill="EBF5FB" w:color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Custom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URL + HTML decode + SQLi match</w:t>
            </w:r>
          </w:p>
        </w:tc>
        <w:tc>
          <w:tcPr>
            <w:shd w:fill="EBF5FB" w:color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20"/>
                <w:szCs w:val="20"/>
              </w:rPr>
              <w:t xml:space="preserve">BLOCK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84272" w:sz="8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084272"/>
          <w:sz w:val="28"/>
          <w:szCs w:val="28"/>
        </w:rPr>
        <w:t xml:space="preserve">7. Conformidade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5AAE2"/>
          <w:sz w:val="24"/>
          <w:szCs w:val="24"/>
        </w:rPr>
        <w:t xml:space="preserve">7.1 LGPD (Art. 46–49)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• MFA obrigatório em produção para acesso a dados pessoais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• ABAC garante acesso mínimo necessário por usuário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• Trilha de auditoria com retenção de 5 anos conforme Art. 37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• Detecção de tentativas de acesso não autorizado via Advanced Security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5AAE2"/>
          <w:sz w:val="24"/>
          <w:szCs w:val="24"/>
        </w:rPr>
        <w:t xml:space="preserve">7.2 ISO 27001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• A.9 — Controle de acesso: RBAC + ABAC com revisão periódica de grupos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• A.12 — Log de eventos: CloudWatch + S3 Object Lock COMPLIANCE</w:t>
      </w:r>
    </w:p>
    <w:p>
      <w:pPr>
        <w:spacing w:after="80"/>
        <w:ind w:left="36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• A.18 — Conformidade: trilha imutável para auditorias externas e regulatórias</w:t>
      </w:r>
    </w:p>
    <w:p>
      <w:pPr>
        <w:spacing w:after="160"/>
      </w:pPr>
    </w:p>
    <w:p>
      <w:pPr>
        <w:spacing w:before="400"/>
        <w:jc w:val="center"/>
      </w:pPr>
      <w:r>
        <w:rPr>
          <w:rFonts w:ascii="Calibri" w:cs="Calibri" w:eastAsia="Calibri" w:hAnsi="Calibri"/>
          <w:i/>
          <w:iCs/>
          <w:color w:val="9CA3AF"/>
          <w:sz w:val="18"/>
          <w:szCs w:val="18"/>
        </w:rPr>
        <w:t xml:space="preserve">DNA Facilities — Documento Confidencial — Uso Interno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2026-06-28T02:18:27.199Z</dcterms:created>
  <dcterms:modified xsi:type="dcterms:W3CDTF">2026-06-28T02:18:27.199Z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