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3322" w14:textId="77777777" w:rsidR="00E12B4F" w:rsidRPr="00703A75" w:rsidRDefault="008B564B" w:rsidP="008B564B">
      <w:pPr>
        <w:contextualSpacing/>
        <w:jc w:val="center"/>
        <w:rPr>
          <w:rFonts w:ascii="Times New Roman" w:hAnsi="Times New Roman" w:cs="Times New Roman"/>
          <w:sz w:val="32"/>
        </w:rPr>
      </w:pPr>
      <w:r w:rsidRPr="00703A75">
        <w:rPr>
          <w:rFonts w:ascii="Times New Roman" w:hAnsi="Times New Roman" w:cs="Times New Roman"/>
          <w:sz w:val="32"/>
        </w:rPr>
        <w:t xml:space="preserve">CDRC </w:t>
      </w:r>
      <w:r w:rsidR="00356D53">
        <w:rPr>
          <w:rFonts w:ascii="Times New Roman" w:hAnsi="Times New Roman" w:cs="Times New Roman"/>
          <w:sz w:val="32"/>
        </w:rPr>
        <w:t>Retail Centre</w:t>
      </w:r>
      <w:r w:rsidRPr="00703A75">
        <w:rPr>
          <w:rFonts w:ascii="Times New Roman" w:hAnsi="Times New Roman" w:cs="Times New Roman"/>
          <w:sz w:val="32"/>
        </w:rPr>
        <w:t xml:space="preserve"> Typology (Version 2)</w:t>
      </w:r>
    </w:p>
    <w:p w14:paraId="0DCB5FB8" w14:textId="77777777" w:rsidR="008B564B" w:rsidRDefault="008B564B" w:rsidP="008B564B">
      <w:pPr>
        <w:contextualSpacing/>
        <w:jc w:val="center"/>
        <w:rPr>
          <w:rFonts w:ascii="Times New Roman" w:hAnsi="Times New Roman" w:cs="Times New Roman"/>
          <w:sz w:val="28"/>
        </w:rPr>
      </w:pPr>
    </w:p>
    <w:p w14:paraId="4E23CA71" w14:textId="77777777" w:rsidR="008B564B" w:rsidRPr="00703A75" w:rsidRDefault="008B564B" w:rsidP="008B564B">
      <w:pPr>
        <w:contextualSpacing/>
        <w:jc w:val="center"/>
        <w:rPr>
          <w:rFonts w:ascii="Times New Roman" w:hAnsi="Times New Roman" w:cs="Times New Roman"/>
          <w:sz w:val="28"/>
          <w:vertAlign w:val="superscript"/>
        </w:rPr>
      </w:pPr>
      <w:r w:rsidRPr="00703A75">
        <w:rPr>
          <w:rFonts w:ascii="Times New Roman" w:hAnsi="Times New Roman" w:cs="Times New Roman"/>
          <w:sz w:val="28"/>
        </w:rPr>
        <w:t>Patrick Ballantyne</w:t>
      </w:r>
      <w:r w:rsidRPr="00703A75">
        <w:rPr>
          <w:rFonts w:ascii="Times New Roman" w:hAnsi="Times New Roman" w:cs="Times New Roman"/>
          <w:sz w:val="28"/>
          <w:vertAlign w:val="superscript"/>
        </w:rPr>
        <w:t>1</w:t>
      </w:r>
      <w:r w:rsidRPr="00703A75">
        <w:rPr>
          <w:rFonts w:ascii="Times New Roman" w:hAnsi="Times New Roman" w:cs="Times New Roman"/>
          <w:sz w:val="28"/>
        </w:rPr>
        <w:t>, Les Dolega</w:t>
      </w:r>
      <w:r w:rsidRPr="00703A75">
        <w:rPr>
          <w:rFonts w:ascii="Times New Roman" w:hAnsi="Times New Roman" w:cs="Times New Roman"/>
          <w:sz w:val="28"/>
          <w:vertAlign w:val="superscript"/>
        </w:rPr>
        <w:t>1</w:t>
      </w:r>
      <w:r w:rsidRPr="00703A75">
        <w:rPr>
          <w:rFonts w:ascii="Times New Roman" w:hAnsi="Times New Roman" w:cs="Times New Roman"/>
          <w:sz w:val="28"/>
        </w:rPr>
        <w:t xml:space="preserve"> and Alex Singleton</w:t>
      </w:r>
      <w:r w:rsidRPr="00703A75">
        <w:rPr>
          <w:rFonts w:ascii="Times New Roman" w:hAnsi="Times New Roman" w:cs="Times New Roman"/>
          <w:sz w:val="28"/>
          <w:vertAlign w:val="superscript"/>
        </w:rPr>
        <w:t>1</w:t>
      </w:r>
    </w:p>
    <w:p w14:paraId="4E1A3E85" w14:textId="77777777" w:rsidR="008B564B" w:rsidRDefault="008B564B" w:rsidP="008B564B">
      <w:pPr>
        <w:contextualSpacing/>
        <w:jc w:val="center"/>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Geographic Data Science Lab, University of Liverpool</w:t>
      </w:r>
    </w:p>
    <w:p w14:paraId="5FDD5C9D" w14:textId="77777777" w:rsidR="008B564B" w:rsidRDefault="008B564B" w:rsidP="008B564B">
      <w:pPr>
        <w:jc w:val="center"/>
        <w:rPr>
          <w:rFonts w:ascii="Times New Roman" w:hAnsi="Times New Roman" w:cs="Times New Roman"/>
          <w:sz w:val="24"/>
        </w:rPr>
      </w:pPr>
    </w:p>
    <w:p w14:paraId="4A36ED3E" w14:textId="77777777" w:rsidR="008B564B" w:rsidRPr="00703A75" w:rsidRDefault="008B564B" w:rsidP="00FE05EE">
      <w:pPr>
        <w:contextualSpacing/>
        <w:jc w:val="center"/>
        <w:rPr>
          <w:rFonts w:ascii="Times New Roman" w:hAnsi="Times New Roman" w:cs="Times New Roman"/>
          <w:sz w:val="28"/>
        </w:rPr>
      </w:pPr>
      <w:r w:rsidRPr="00703A75">
        <w:rPr>
          <w:rFonts w:ascii="Times New Roman" w:hAnsi="Times New Roman" w:cs="Times New Roman"/>
          <w:sz w:val="28"/>
        </w:rPr>
        <w:t>May 2022</w:t>
      </w:r>
    </w:p>
    <w:p w14:paraId="3838472E" w14:textId="77777777" w:rsidR="008B564B" w:rsidRDefault="00703A75" w:rsidP="00FE05EE">
      <w:pPr>
        <w:contextualSpacing/>
        <w:jc w:val="center"/>
        <w:rPr>
          <w:rFonts w:ascii="Times New Roman" w:hAnsi="Times New Roman" w:cs="Times New Roman"/>
          <w:sz w:val="28"/>
        </w:rPr>
      </w:pPr>
      <w:r w:rsidRPr="00703A75">
        <w:rPr>
          <w:rFonts w:ascii="Times New Roman" w:hAnsi="Times New Roman" w:cs="Times New Roman"/>
          <w:sz w:val="28"/>
        </w:rPr>
        <w:t>Consumer</w:t>
      </w:r>
      <w:r w:rsidR="008B564B" w:rsidRPr="00703A75">
        <w:rPr>
          <w:rFonts w:ascii="Times New Roman" w:hAnsi="Times New Roman" w:cs="Times New Roman"/>
          <w:sz w:val="28"/>
        </w:rPr>
        <w:t xml:space="preserve"> Data Research Centre (CDRC) </w:t>
      </w:r>
    </w:p>
    <w:p w14:paraId="620F7983" w14:textId="77777777" w:rsidR="000E0E08" w:rsidRPr="000E0E08" w:rsidRDefault="00836F27" w:rsidP="00FE05EE">
      <w:pPr>
        <w:contextualSpacing/>
        <w:jc w:val="center"/>
        <w:rPr>
          <w:rFonts w:ascii="Times New Roman" w:hAnsi="Times New Roman" w:cs="Times New Roman"/>
          <w:sz w:val="24"/>
        </w:rPr>
      </w:pPr>
      <w:hyperlink r:id="rId7" w:history="1">
        <w:r w:rsidR="000E0E08" w:rsidRPr="000E0E08">
          <w:rPr>
            <w:rStyle w:val="Hyperlink"/>
            <w:rFonts w:ascii="Times New Roman" w:hAnsi="Times New Roman" w:cs="Times New Roman"/>
            <w:sz w:val="24"/>
          </w:rPr>
          <w:t>GitHub Repository</w:t>
        </w:r>
      </w:hyperlink>
    </w:p>
    <w:p w14:paraId="06B59393" w14:textId="77777777" w:rsidR="00703A75" w:rsidRPr="00703A75" w:rsidRDefault="00703A75" w:rsidP="008B564B">
      <w:pPr>
        <w:jc w:val="center"/>
        <w:rPr>
          <w:rFonts w:ascii="Times New Roman" w:hAnsi="Times New Roman" w:cs="Times New Roman"/>
          <w:sz w:val="24"/>
        </w:rPr>
      </w:pPr>
    </w:p>
    <w:p w14:paraId="7EEB20FA" w14:textId="77777777" w:rsidR="00CC60EE" w:rsidRPr="000C396D" w:rsidRDefault="000C396D" w:rsidP="00703A75">
      <w:pPr>
        <w:rPr>
          <w:rFonts w:ascii="Times New Roman" w:hAnsi="Times New Roman" w:cs="Times New Roman"/>
          <w:b/>
          <w:sz w:val="28"/>
        </w:rPr>
      </w:pPr>
      <w:r w:rsidRPr="000C396D">
        <w:rPr>
          <w:rFonts w:ascii="Times New Roman" w:hAnsi="Times New Roman" w:cs="Times New Roman"/>
          <w:b/>
          <w:sz w:val="28"/>
        </w:rPr>
        <w:t xml:space="preserve">1. </w:t>
      </w:r>
      <w:r w:rsidR="00703A75" w:rsidRPr="000C396D">
        <w:rPr>
          <w:rFonts w:ascii="Times New Roman" w:hAnsi="Times New Roman" w:cs="Times New Roman"/>
          <w:b/>
          <w:sz w:val="28"/>
        </w:rPr>
        <w:t xml:space="preserve">Introduction </w:t>
      </w:r>
    </w:p>
    <w:p w14:paraId="1D5D07F7" w14:textId="77777777" w:rsidR="00CC60EE" w:rsidRDefault="00356D53" w:rsidP="003774FC">
      <w:pPr>
        <w:jc w:val="both"/>
        <w:rPr>
          <w:rFonts w:ascii="Times New Roman" w:hAnsi="Times New Roman" w:cs="Times New Roman"/>
          <w:sz w:val="24"/>
        </w:rPr>
      </w:pPr>
      <w:r w:rsidRPr="00356D53">
        <w:rPr>
          <w:rFonts w:ascii="Times New Roman" w:hAnsi="Times New Roman" w:cs="Times New Roman"/>
          <w:sz w:val="24"/>
        </w:rPr>
        <w:t xml:space="preserve">The 2022 Retail Centre Typology </w:t>
      </w:r>
      <w:r w:rsidR="00CC60EE">
        <w:rPr>
          <w:rFonts w:ascii="Times New Roman" w:hAnsi="Times New Roman" w:cs="Times New Roman"/>
          <w:sz w:val="24"/>
        </w:rPr>
        <w:t xml:space="preserve">presents an updated </w:t>
      </w:r>
      <w:r w:rsidRPr="00356D53">
        <w:rPr>
          <w:rFonts w:ascii="Times New Roman" w:hAnsi="Times New Roman" w:cs="Times New Roman"/>
          <w:sz w:val="24"/>
        </w:rPr>
        <w:t>multidimensional typology of retail and consumption spaces across Great Britain</w:t>
      </w:r>
      <w:r w:rsidR="00065041" w:rsidRPr="00356D53">
        <w:rPr>
          <w:rFonts w:ascii="Times New Roman" w:hAnsi="Times New Roman" w:cs="Times New Roman"/>
          <w:sz w:val="24"/>
        </w:rPr>
        <w:t>.</w:t>
      </w:r>
      <w:r w:rsidR="00065041">
        <w:rPr>
          <w:rFonts w:ascii="Times New Roman" w:hAnsi="Times New Roman" w:cs="Times New Roman"/>
          <w:sz w:val="24"/>
        </w:rPr>
        <w:t xml:space="preserve"> Retail presence within towns and city centres has become increasingly combined with other uses such as services and leisure activities, and the expansion of online retailing is causing a net loss of demand for some forms of retail floor space and change in function for others.</w:t>
      </w:r>
      <w:r w:rsidRPr="00356D53">
        <w:rPr>
          <w:rFonts w:ascii="Times New Roman" w:hAnsi="Times New Roman" w:cs="Times New Roman"/>
          <w:sz w:val="24"/>
        </w:rPr>
        <w:t xml:space="preserve"> </w:t>
      </w:r>
      <w:r w:rsidR="00CC60EE">
        <w:rPr>
          <w:rFonts w:ascii="Times New Roman" w:hAnsi="Times New Roman" w:cs="Times New Roman"/>
          <w:sz w:val="24"/>
        </w:rPr>
        <w:t>This data product can be used to understand</w:t>
      </w:r>
      <w:r w:rsidR="00CB74CA">
        <w:rPr>
          <w:rFonts w:ascii="Times New Roman" w:hAnsi="Times New Roman" w:cs="Times New Roman"/>
          <w:sz w:val="24"/>
        </w:rPr>
        <w:t xml:space="preserve"> and comprehend</w:t>
      </w:r>
      <w:r w:rsidR="00CC60EE">
        <w:rPr>
          <w:rFonts w:ascii="Times New Roman" w:hAnsi="Times New Roman" w:cs="Times New Roman"/>
          <w:sz w:val="24"/>
        </w:rPr>
        <w:t xml:space="preserve"> the spatial provision of retailing and service activity, and better </w:t>
      </w:r>
      <w:r w:rsidR="00CB74CA">
        <w:rPr>
          <w:rFonts w:ascii="Times New Roman" w:hAnsi="Times New Roman" w:cs="Times New Roman"/>
          <w:sz w:val="24"/>
        </w:rPr>
        <w:t>unpack</w:t>
      </w:r>
      <w:r w:rsidR="00CC60EE">
        <w:rPr>
          <w:rFonts w:ascii="Times New Roman" w:hAnsi="Times New Roman" w:cs="Times New Roman"/>
          <w:sz w:val="24"/>
        </w:rPr>
        <w:t xml:space="preserve"> the transformed roles and functions of consumption spaces. </w:t>
      </w:r>
    </w:p>
    <w:p w14:paraId="15074D00" w14:textId="2F59DB7E" w:rsidR="00356D53" w:rsidRPr="00CB74CA" w:rsidRDefault="00356D53" w:rsidP="003774FC">
      <w:pPr>
        <w:jc w:val="both"/>
        <w:rPr>
          <w:rFonts w:ascii="Times New Roman" w:hAnsi="Times New Roman" w:cs="Times New Roman"/>
          <w:sz w:val="24"/>
        </w:rPr>
      </w:pPr>
      <w:r w:rsidRPr="00356D53">
        <w:rPr>
          <w:rFonts w:ascii="Times New Roman" w:hAnsi="Times New Roman" w:cs="Times New Roman"/>
          <w:sz w:val="24"/>
        </w:rPr>
        <w:t>As with the previous version</w:t>
      </w:r>
      <w:r w:rsidR="00650D9C">
        <w:rPr>
          <w:rFonts w:ascii="Times New Roman" w:hAnsi="Times New Roman" w:cs="Times New Roman"/>
          <w:sz w:val="24"/>
        </w:rPr>
        <w:t xml:space="preserve"> of the CDRC Retail Centre Typology, available </w:t>
      </w:r>
      <w:hyperlink r:id="rId8" w:history="1">
        <w:r w:rsidR="00650D9C" w:rsidRPr="00650D9C">
          <w:rPr>
            <w:rStyle w:val="Hyperlink"/>
            <w:rFonts w:ascii="Times New Roman" w:hAnsi="Times New Roman" w:cs="Times New Roman"/>
            <w:sz w:val="24"/>
          </w:rPr>
          <w:t>here</w:t>
        </w:r>
      </w:hyperlink>
      <w:r w:rsidR="00650D9C">
        <w:rPr>
          <w:rFonts w:ascii="Times New Roman" w:hAnsi="Times New Roman" w:cs="Times New Roman"/>
          <w:sz w:val="24"/>
        </w:rPr>
        <w:t xml:space="preserve"> - </w:t>
      </w:r>
      <w:r w:rsidR="00CB74CA">
        <w:rPr>
          <w:rFonts w:ascii="Times New Roman" w:hAnsi="Times New Roman" w:cs="Times New Roman"/>
          <w:sz w:val="24"/>
        </w:rPr>
        <w:t>construction of the typology</w:t>
      </w:r>
      <w:r w:rsidR="00CC60EE">
        <w:rPr>
          <w:rFonts w:ascii="Times New Roman" w:hAnsi="Times New Roman" w:cs="Times New Roman"/>
          <w:sz w:val="24"/>
        </w:rPr>
        <w:t xml:space="preserve"> focuses on </w:t>
      </w:r>
      <w:r w:rsidR="00CC60EE" w:rsidRPr="00356D53">
        <w:rPr>
          <w:rFonts w:ascii="Times New Roman" w:hAnsi="Times New Roman" w:cs="Times New Roman"/>
          <w:sz w:val="24"/>
        </w:rPr>
        <w:t xml:space="preserve">four key domains; the </w:t>
      </w:r>
      <w:r w:rsidR="00CC60EE" w:rsidRPr="00356D53">
        <w:rPr>
          <w:rFonts w:ascii="Times New Roman" w:hAnsi="Times New Roman" w:cs="Times New Roman"/>
          <w:i/>
          <w:sz w:val="24"/>
        </w:rPr>
        <w:t>composition, diversity, function</w:t>
      </w:r>
      <w:r w:rsidR="00CC60EE" w:rsidRPr="00356D53">
        <w:rPr>
          <w:rFonts w:ascii="Times New Roman" w:hAnsi="Times New Roman" w:cs="Times New Roman"/>
          <w:sz w:val="24"/>
        </w:rPr>
        <w:t xml:space="preserve"> and </w:t>
      </w:r>
      <w:r w:rsidR="00CC60EE" w:rsidRPr="00356D53">
        <w:rPr>
          <w:rFonts w:ascii="Times New Roman" w:hAnsi="Times New Roman" w:cs="Times New Roman"/>
          <w:i/>
          <w:sz w:val="24"/>
        </w:rPr>
        <w:t>economic health</w:t>
      </w:r>
      <w:r w:rsidR="00CC60EE" w:rsidRPr="00356D53">
        <w:rPr>
          <w:rFonts w:ascii="Times New Roman" w:hAnsi="Times New Roman" w:cs="Times New Roman"/>
          <w:sz w:val="24"/>
        </w:rPr>
        <w:t xml:space="preserve"> of centres</w:t>
      </w:r>
      <w:r w:rsidR="00CC60EE">
        <w:rPr>
          <w:rFonts w:ascii="Times New Roman" w:hAnsi="Times New Roman" w:cs="Times New Roman"/>
          <w:sz w:val="24"/>
        </w:rPr>
        <w:t>, and</w:t>
      </w:r>
      <w:r w:rsidR="00CC60EE" w:rsidRPr="00356D53">
        <w:rPr>
          <w:rFonts w:ascii="Times New Roman" w:hAnsi="Times New Roman" w:cs="Times New Roman"/>
          <w:sz w:val="24"/>
        </w:rPr>
        <w:t xml:space="preserve"> </w:t>
      </w:r>
      <w:r w:rsidR="00CB74CA">
        <w:rPr>
          <w:rFonts w:ascii="Times New Roman" w:hAnsi="Times New Roman" w:cs="Times New Roman"/>
          <w:sz w:val="24"/>
        </w:rPr>
        <w:t xml:space="preserve">comprises two </w:t>
      </w:r>
      <w:r w:rsidRPr="00356D53">
        <w:rPr>
          <w:rFonts w:ascii="Times New Roman" w:hAnsi="Times New Roman" w:cs="Times New Roman"/>
          <w:sz w:val="24"/>
        </w:rPr>
        <w:t>tier</w:t>
      </w:r>
      <w:r w:rsidR="00CB74CA">
        <w:rPr>
          <w:rFonts w:ascii="Times New Roman" w:hAnsi="Times New Roman" w:cs="Times New Roman"/>
          <w:sz w:val="24"/>
        </w:rPr>
        <w:t xml:space="preserve">s of Supergroups and nested Groups. With this second iteration of the typology, we instead have </w:t>
      </w:r>
      <w:r w:rsidR="00796176" w:rsidRPr="00796176">
        <w:rPr>
          <w:rFonts w:ascii="Times New Roman" w:hAnsi="Times New Roman" w:cs="Times New Roman"/>
          <w:sz w:val="24"/>
        </w:rPr>
        <w:t>four</w:t>
      </w:r>
      <w:r w:rsidRPr="00796176">
        <w:rPr>
          <w:rFonts w:ascii="Times New Roman" w:hAnsi="Times New Roman" w:cs="Times New Roman"/>
          <w:sz w:val="24"/>
        </w:rPr>
        <w:t xml:space="preserve"> </w:t>
      </w:r>
      <w:r w:rsidRPr="00356D53">
        <w:rPr>
          <w:rFonts w:ascii="Times New Roman" w:hAnsi="Times New Roman" w:cs="Times New Roman"/>
          <w:sz w:val="24"/>
        </w:rPr>
        <w:t xml:space="preserve">Supergroups, and </w:t>
      </w:r>
      <w:r w:rsidR="00796176" w:rsidRPr="00796176">
        <w:rPr>
          <w:rFonts w:ascii="Times New Roman" w:hAnsi="Times New Roman" w:cs="Times New Roman"/>
          <w:sz w:val="24"/>
        </w:rPr>
        <w:t>eight</w:t>
      </w:r>
      <w:r w:rsidRPr="00356D53">
        <w:rPr>
          <w:rFonts w:ascii="Times New Roman" w:hAnsi="Times New Roman" w:cs="Times New Roman"/>
          <w:sz w:val="24"/>
        </w:rPr>
        <w:t xml:space="preserve"> nested Groups, for which descriptions in the form of pen portraits are provided. </w:t>
      </w:r>
    </w:p>
    <w:p w14:paraId="5421AA4D" w14:textId="77777777" w:rsidR="00356D53" w:rsidRPr="00703A75" w:rsidRDefault="00356D53" w:rsidP="00703A75">
      <w:pPr>
        <w:rPr>
          <w:rFonts w:ascii="Times New Roman" w:hAnsi="Times New Roman" w:cs="Times New Roman"/>
          <w:b/>
          <w:sz w:val="24"/>
        </w:rPr>
      </w:pPr>
    </w:p>
    <w:p w14:paraId="2A8F39BF" w14:textId="77777777" w:rsidR="00703A75" w:rsidRPr="000C396D" w:rsidRDefault="000C396D" w:rsidP="00703A75">
      <w:pPr>
        <w:rPr>
          <w:rFonts w:ascii="Times New Roman" w:hAnsi="Times New Roman" w:cs="Times New Roman"/>
          <w:b/>
          <w:sz w:val="28"/>
        </w:rPr>
      </w:pPr>
      <w:r w:rsidRPr="000C396D">
        <w:rPr>
          <w:rFonts w:ascii="Times New Roman" w:hAnsi="Times New Roman" w:cs="Times New Roman"/>
          <w:b/>
          <w:sz w:val="28"/>
        </w:rPr>
        <w:t xml:space="preserve">2. </w:t>
      </w:r>
      <w:r w:rsidR="00703A75" w:rsidRPr="000C396D">
        <w:rPr>
          <w:rFonts w:ascii="Times New Roman" w:hAnsi="Times New Roman" w:cs="Times New Roman"/>
          <w:b/>
          <w:sz w:val="28"/>
        </w:rPr>
        <w:t>Methodology</w:t>
      </w:r>
    </w:p>
    <w:p w14:paraId="53A70BD5" w14:textId="77777777" w:rsidR="000C396D" w:rsidRDefault="000C396D" w:rsidP="00703A75">
      <w:pPr>
        <w:rPr>
          <w:rFonts w:ascii="Times New Roman" w:hAnsi="Times New Roman" w:cs="Times New Roman"/>
          <w:b/>
          <w:sz w:val="24"/>
        </w:rPr>
      </w:pPr>
      <w:r>
        <w:rPr>
          <w:rFonts w:ascii="Times New Roman" w:hAnsi="Times New Roman" w:cs="Times New Roman"/>
          <w:b/>
          <w:sz w:val="24"/>
        </w:rPr>
        <w:t>2.1 Input Variables</w:t>
      </w:r>
    </w:p>
    <w:p w14:paraId="4A7DD41A" w14:textId="77777777" w:rsidR="001D5D0E" w:rsidRPr="001D5D0E" w:rsidRDefault="001D5D0E" w:rsidP="003774FC">
      <w:pPr>
        <w:jc w:val="both"/>
        <w:rPr>
          <w:rFonts w:ascii="Times New Roman" w:hAnsi="Times New Roman" w:cs="Times New Roman"/>
          <w:sz w:val="24"/>
        </w:rPr>
      </w:pPr>
      <w:r w:rsidRPr="001D5D0E">
        <w:rPr>
          <w:rFonts w:ascii="Times New Roman" w:hAnsi="Times New Roman" w:cs="Times New Roman"/>
          <w:sz w:val="24"/>
        </w:rPr>
        <w:t xml:space="preserve">The Retail Centre Typology is available for 1,245 retail centres across Great Britain. This number is in line with those centres for which the CDRC </w:t>
      </w:r>
      <w:hyperlink r:id="rId9" w:history="1">
        <w:r w:rsidRPr="001D5D0E">
          <w:rPr>
            <w:rStyle w:val="Hyperlink"/>
            <w:rFonts w:ascii="Times New Roman" w:hAnsi="Times New Roman" w:cs="Times New Roman"/>
            <w:sz w:val="24"/>
          </w:rPr>
          <w:t>Retail Centre Indicators</w:t>
        </w:r>
      </w:hyperlink>
      <w:r w:rsidRPr="001D5D0E">
        <w:rPr>
          <w:rFonts w:ascii="Times New Roman" w:hAnsi="Times New Roman" w:cs="Times New Roman"/>
          <w:sz w:val="24"/>
        </w:rPr>
        <w:t xml:space="preserve"> data product is available. </w:t>
      </w:r>
      <w:r>
        <w:rPr>
          <w:rFonts w:ascii="Times New Roman" w:hAnsi="Times New Roman" w:cs="Times New Roman"/>
          <w:sz w:val="24"/>
        </w:rPr>
        <w:t xml:space="preserve">These 1,245 centres comprise those not hierarchically classified as ‘Small Local Centres’, and those with sufficient coverage of the Local Data Company (LDC) dataset; a key contributing data source for this data product, as with the Indicators. </w:t>
      </w:r>
    </w:p>
    <w:p w14:paraId="583ECE99" w14:textId="017CD1E0" w:rsidR="00047700" w:rsidRDefault="000F0388" w:rsidP="003774FC">
      <w:pPr>
        <w:jc w:val="both"/>
        <w:rPr>
          <w:rFonts w:ascii="Times New Roman" w:hAnsi="Times New Roman" w:cs="Times New Roman"/>
          <w:sz w:val="24"/>
        </w:rPr>
      </w:pPr>
      <w:r>
        <w:rPr>
          <w:rFonts w:ascii="Times New Roman" w:hAnsi="Times New Roman" w:cs="Times New Roman"/>
          <w:sz w:val="24"/>
        </w:rPr>
        <w:t>A total of 46 variables were gathered about the retail centres</w:t>
      </w:r>
      <w:r w:rsidR="000F236E">
        <w:rPr>
          <w:rFonts w:ascii="Times New Roman" w:hAnsi="Times New Roman" w:cs="Times New Roman"/>
          <w:sz w:val="24"/>
        </w:rPr>
        <w:t xml:space="preserve"> (Table 1)</w:t>
      </w:r>
      <w:r>
        <w:rPr>
          <w:rFonts w:ascii="Times New Roman" w:hAnsi="Times New Roman" w:cs="Times New Roman"/>
          <w:sz w:val="24"/>
        </w:rPr>
        <w:t>, covering the four classification domains. The majority of these variables matched those used to construct the original CDRC Retail Centre Typology, with some of these calculated using open access data such as the Index of Multiple Deprivation an</w:t>
      </w:r>
      <w:r w:rsidR="00B010E9">
        <w:rPr>
          <w:rFonts w:ascii="Times New Roman" w:hAnsi="Times New Roman" w:cs="Times New Roman"/>
          <w:sz w:val="24"/>
        </w:rPr>
        <w:t xml:space="preserve">d Open Retail Centre Indicators, code for which can be found on the associated </w:t>
      </w:r>
      <w:hyperlink r:id="rId10" w:history="1">
        <w:r w:rsidR="00B010E9" w:rsidRPr="00B010E9">
          <w:rPr>
            <w:rStyle w:val="Hyperlink"/>
            <w:rFonts w:ascii="Times New Roman" w:hAnsi="Times New Roman" w:cs="Times New Roman"/>
            <w:sz w:val="24"/>
          </w:rPr>
          <w:t>GitHub repository</w:t>
        </w:r>
      </w:hyperlink>
      <w:r w:rsidR="00B010E9">
        <w:rPr>
          <w:rFonts w:ascii="Times New Roman" w:hAnsi="Times New Roman" w:cs="Times New Roman"/>
          <w:sz w:val="24"/>
        </w:rPr>
        <w:t xml:space="preserve">. </w:t>
      </w:r>
      <w:r>
        <w:rPr>
          <w:rFonts w:ascii="Times New Roman" w:hAnsi="Times New Roman" w:cs="Times New Roman"/>
          <w:sz w:val="24"/>
        </w:rPr>
        <w:t xml:space="preserve">Many of the variables were calculated inside the CDRC Safe Researcher environment (DSH), using the Local Data Company (LDC) Retail Type, Location and Vacancy datasets. </w:t>
      </w:r>
      <w:r w:rsidR="00650D9C">
        <w:rPr>
          <w:rFonts w:ascii="Times New Roman" w:hAnsi="Times New Roman" w:cs="Times New Roman"/>
          <w:sz w:val="24"/>
        </w:rPr>
        <w:t xml:space="preserve">A number of variables were not calculated for this version, and a description and justification of this can be section 4.5. </w:t>
      </w:r>
      <w:r w:rsidR="000F236E">
        <w:rPr>
          <w:rFonts w:ascii="Times New Roman" w:hAnsi="Times New Roman" w:cs="Times New Roman"/>
          <w:sz w:val="24"/>
        </w:rPr>
        <w:t xml:space="preserve">For detailed information about the construction of each of the </w:t>
      </w:r>
      <w:r w:rsidR="00B010E9">
        <w:rPr>
          <w:rFonts w:ascii="Times New Roman" w:hAnsi="Times New Roman" w:cs="Times New Roman"/>
          <w:sz w:val="24"/>
        </w:rPr>
        <w:t xml:space="preserve">46 </w:t>
      </w:r>
      <w:r w:rsidR="000F236E">
        <w:rPr>
          <w:rFonts w:ascii="Times New Roman" w:hAnsi="Times New Roman" w:cs="Times New Roman"/>
          <w:sz w:val="24"/>
        </w:rPr>
        <w:t xml:space="preserve">variables, see </w:t>
      </w:r>
      <w:r w:rsidR="00B010E9">
        <w:rPr>
          <w:rFonts w:ascii="Times New Roman" w:hAnsi="Times New Roman" w:cs="Times New Roman"/>
          <w:sz w:val="24"/>
        </w:rPr>
        <w:t xml:space="preserve">the </w:t>
      </w:r>
      <w:r w:rsidR="000F236E">
        <w:rPr>
          <w:rFonts w:ascii="Times New Roman" w:hAnsi="Times New Roman" w:cs="Times New Roman"/>
          <w:sz w:val="24"/>
        </w:rPr>
        <w:t xml:space="preserve">Appendix. </w:t>
      </w:r>
    </w:p>
    <w:p w14:paraId="7C88A5A9" w14:textId="77777777" w:rsidR="00FE05EE" w:rsidRDefault="00FE05EE" w:rsidP="003774FC">
      <w:pPr>
        <w:jc w:val="both"/>
        <w:rPr>
          <w:rFonts w:ascii="Times New Roman" w:hAnsi="Times New Roman" w:cs="Times New Roman"/>
          <w:sz w:val="24"/>
        </w:rPr>
      </w:pPr>
    </w:p>
    <w:p w14:paraId="21483BAF" w14:textId="77777777" w:rsidR="003014AB" w:rsidRDefault="003014AB" w:rsidP="00703A75">
      <w:pPr>
        <w:rPr>
          <w:rFonts w:ascii="Times New Roman" w:hAnsi="Times New Roman" w:cs="Times New Roman"/>
          <w:sz w:val="24"/>
        </w:rPr>
      </w:pPr>
    </w:p>
    <w:p w14:paraId="6B2662A4" w14:textId="77777777" w:rsidR="00047700" w:rsidRDefault="000F236E" w:rsidP="000F236E">
      <w:pPr>
        <w:jc w:val="center"/>
        <w:rPr>
          <w:rFonts w:ascii="Times New Roman" w:hAnsi="Times New Roman" w:cs="Times New Roman"/>
          <w:sz w:val="24"/>
        </w:rPr>
      </w:pPr>
      <w:r w:rsidRPr="000F236E">
        <w:rPr>
          <w:rFonts w:ascii="Times New Roman" w:hAnsi="Times New Roman" w:cs="Times New Roman"/>
          <w:b/>
          <w:sz w:val="24"/>
        </w:rPr>
        <w:t>Table 1.</w:t>
      </w:r>
      <w:r>
        <w:rPr>
          <w:rFonts w:ascii="Times New Roman" w:hAnsi="Times New Roman" w:cs="Times New Roman"/>
          <w:sz w:val="24"/>
        </w:rPr>
        <w:t xml:space="preserve"> Variables used to assemble typology.</w:t>
      </w:r>
    </w:p>
    <w:tbl>
      <w:tblPr>
        <w:tblStyle w:val="TableGrid"/>
        <w:tblpPr w:leftFromText="180" w:rightFromText="180" w:vertAnchor="text" w:tblpX="1144" w:tblpY="1"/>
        <w:tblOverlap w:val="never"/>
        <w:tblW w:w="0" w:type="auto"/>
        <w:tblLook w:val="04A0" w:firstRow="1" w:lastRow="0" w:firstColumn="1" w:lastColumn="0" w:noHBand="0" w:noVBand="1"/>
      </w:tblPr>
      <w:tblGrid>
        <w:gridCol w:w="2369"/>
        <w:gridCol w:w="4060"/>
      </w:tblGrid>
      <w:tr w:rsidR="00047700" w:rsidRPr="00047700" w14:paraId="02CF8171" w14:textId="77777777" w:rsidTr="004B2B96">
        <w:trPr>
          <w:trHeight w:val="315"/>
        </w:trPr>
        <w:tc>
          <w:tcPr>
            <w:tcW w:w="2369" w:type="dxa"/>
            <w:hideMark/>
          </w:tcPr>
          <w:p w14:paraId="3AA32504" w14:textId="77777777" w:rsidR="00047700" w:rsidRPr="00047700" w:rsidRDefault="00047700" w:rsidP="004B2B96">
            <w:pPr>
              <w:jc w:val="center"/>
              <w:rPr>
                <w:rFonts w:ascii="Times New Roman" w:hAnsi="Times New Roman" w:cs="Times New Roman"/>
                <w:b/>
                <w:bCs/>
                <w:sz w:val="24"/>
              </w:rPr>
            </w:pPr>
            <w:r w:rsidRPr="00047700">
              <w:rPr>
                <w:rFonts w:ascii="Times New Roman" w:hAnsi="Times New Roman" w:cs="Times New Roman"/>
                <w:b/>
                <w:bCs/>
                <w:sz w:val="24"/>
              </w:rPr>
              <w:t>Domain</w:t>
            </w:r>
          </w:p>
        </w:tc>
        <w:tc>
          <w:tcPr>
            <w:tcW w:w="4060" w:type="dxa"/>
            <w:hideMark/>
          </w:tcPr>
          <w:p w14:paraId="1FCFD29D" w14:textId="77777777" w:rsidR="00047700" w:rsidRPr="00047700" w:rsidRDefault="00047700" w:rsidP="004B2B96">
            <w:pPr>
              <w:jc w:val="center"/>
              <w:rPr>
                <w:rFonts w:ascii="Times New Roman" w:hAnsi="Times New Roman" w:cs="Times New Roman"/>
                <w:b/>
                <w:bCs/>
                <w:sz w:val="24"/>
              </w:rPr>
            </w:pPr>
            <w:r w:rsidRPr="00047700">
              <w:rPr>
                <w:rFonts w:ascii="Times New Roman" w:hAnsi="Times New Roman" w:cs="Times New Roman"/>
                <w:b/>
                <w:bCs/>
                <w:sz w:val="24"/>
              </w:rPr>
              <w:t>Variables</w:t>
            </w:r>
          </w:p>
        </w:tc>
      </w:tr>
      <w:tr w:rsidR="00047700" w:rsidRPr="00047700" w14:paraId="588168EC" w14:textId="77777777" w:rsidTr="004B2B96">
        <w:trPr>
          <w:trHeight w:val="3490"/>
        </w:trPr>
        <w:tc>
          <w:tcPr>
            <w:tcW w:w="2369" w:type="dxa"/>
            <w:hideMark/>
          </w:tcPr>
          <w:p w14:paraId="6DA58C90" w14:textId="77777777" w:rsidR="00047700" w:rsidRPr="00047700" w:rsidRDefault="00047700" w:rsidP="004B2B96">
            <w:pPr>
              <w:jc w:val="center"/>
              <w:rPr>
                <w:rFonts w:ascii="Times New Roman" w:hAnsi="Times New Roman" w:cs="Times New Roman"/>
                <w:b/>
                <w:sz w:val="24"/>
              </w:rPr>
            </w:pPr>
            <w:r w:rsidRPr="00047700">
              <w:rPr>
                <w:rFonts w:ascii="Times New Roman" w:hAnsi="Times New Roman" w:cs="Times New Roman"/>
                <w:b/>
                <w:sz w:val="24"/>
              </w:rPr>
              <w:t>Composition</w:t>
            </w:r>
          </w:p>
        </w:tc>
        <w:tc>
          <w:tcPr>
            <w:tcW w:w="4060" w:type="dxa"/>
            <w:hideMark/>
          </w:tcPr>
          <w:p w14:paraId="030E5938" w14:textId="77777777" w:rsidR="00047700" w:rsidRPr="00047700" w:rsidRDefault="00047700" w:rsidP="004B2B96">
            <w:pPr>
              <w:rPr>
                <w:rFonts w:ascii="Times New Roman" w:hAnsi="Times New Roman" w:cs="Times New Roman"/>
                <w:sz w:val="24"/>
              </w:rPr>
            </w:pPr>
            <w:r w:rsidRPr="00047700">
              <w:rPr>
                <w:rFonts w:ascii="Times New Roman" w:hAnsi="Times New Roman" w:cs="Times New Roman"/>
                <w:sz w:val="24"/>
              </w:rPr>
              <w:t xml:space="preserve">propClothingandFootwear, propDIYandHousehold, </w:t>
            </w:r>
            <w:proofErr w:type="spellStart"/>
            <w:r w:rsidRPr="00047700">
              <w:rPr>
                <w:rFonts w:ascii="Times New Roman" w:hAnsi="Times New Roman" w:cs="Times New Roman"/>
                <w:sz w:val="24"/>
              </w:rPr>
              <w:t>propElectricalandHomeEntertainment</w:t>
            </w:r>
            <w:proofErr w:type="spellEnd"/>
            <w:r w:rsidRPr="00047700">
              <w:rPr>
                <w:rFonts w:ascii="Times New Roman" w:hAnsi="Times New Roman" w:cs="Times New Roman"/>
                <w:sz w:val="24"/>
              </w:rPr>
              <w:t xml:space="preserve">, propRecreational, propFood, </w:t>
            </w:r>
            <w:proofErr w:type="spellStart"/>
            <w:r w:rsidRPr="00047700">
              <w:rPr>
                <w:rFonts w:ascii="Times New Roman" w:hAnsi="Times New Roman" w:cs="Times New Roman"/>
                <w:sz w:val="24"/>
              </w:rPr>
              <w:t>propCTNOffLicence</w:t>
            </w:r>
            <w:proofErr w:type="spellEnd"/>
            <w:r w:rsidRPr="00047700">
              <w:rPr>
                <w:rFonts w:ascii="Times New Roman" w:hAnsi="Times New Roman" w:cs="Times New Roman"/>
                <w:sz w:val="24"/>
              </w:rPr>
              <w:t xml:space="preserve">, propChemist, propRestaurantsandFastFood, propPubsBarsandClubs, propCafe, propEntertainmentandFitness, </w:t>
            </w:r>
            <w:proofErr w:type="spellStart"/>
            <w:r w:rsidRPr="00047700">
              <w:rPr>
                <w:rFonts w:ascii="Times New Roman" w:hAnsi="Times New Roman" w:cs="Times New Roman"/>
                <w:sz w:val="24"/>
              </w:rPr>
              <w:t>propHealthandBeauty</w:t>
            </w:r>
            <w:proofErr w:type="spellEnd"/>
            <w:r w:rsidRPr="00047700">
              <w:rPr>
                <w:rFonts w:ascii="Times New Roman" w:hAnsi="Times New Roman" w:cs="Times New Roman"/>
                <w:sz w:val="24"/>
              </w:rPr>
              <w:t>, propConsumerServices, propHouseholdServices, propBusinessServices.</w:t>
            </w:r>
          </w:p>
        </w:tc>
      </w:tr>
      <w:tr w:rsidR="00047700" w:rsidRPr="00047700" w14:paraId="0EC09975" w14:textId="77777777" w:rsidTr="004B2B96">
        <w:trPr>
          <w:trHeight w:val="1822"/>
        </w:trPr>
        <w:tc>
          <w:tcPr>
            <w:tcW w:w="2369" w:type="dxa"/>
            <w:hideMark/>
          </w:tcPr>
          <w:p w14:paraId="77A30CAF" w14:textId="77777777" w:rsidR="00047700" w:rsidRPr="00047700" w:rsidRDefault="00047700" w:rsidP="004B2B96">
            <w:pPr>
              <w:jc w:val="center"/>
              <w:rPr>
                <w:rFonts w:ascii="Times New Roman" w:hAnsi="Times New Roman" w:cs="Times New Roman"/>
                <w:b/>
                <w:sz w:val="24"/>
              </w:rPr>
            </w:pPr>
            <w:r w:rsidRPr="00047700">
              <w:rPr>
                <w:rFonts w:ascii="Times New Roman" w:hAnsi="Times New Roman" w:cs="Times New Roman"/>
                <w:b/>
                <w:sz w:val="24"/>
              </w:rPr>
              <w:t>Diversity</w:t>
            </w:r>
          </w:p>
        </w:tc>
        <w:tc>
          <w:tcPr>
            <w:tcW w:w="4060" w:type="dxa"/>
            <w:hideMark/>
          </w:tcPr>
          <w:p w14:paraId="452A9C72" w14:textId="77777777" w:rsidR="00047700" w:rsidRPr="00047700" w:rsidRDefault="00047700" w:rsidP="004B2B96">
            <w:pPr>
              <w:rPr>
                <w:rFonts w:ascii="Times New Roman" w:hAnsi="Times New Roman" w:cs="Times New Roman"/>
                <w:sz w:val="24"/>
              </w:rPr>
            </w:pPr>
            <w:proofErr w:type="spellStart"/>
            <w:r w:rsidRPr="00047700">
              <w:rPr>
                <w:rFonts w:ascii="Times New Roman" w:hAnsi="Times New Roman" w:cs="Times New Roman"/>
                <w:sz w:val="24"/>
              </w:rPr>
              <w:t>propIndependents</w:t>
            </w:r>
            <w:proofErr w:type="spellEnd"/>
            <w:r w:rsidRPr="00047700">
              <w:rPr>
                <w:rFonts w:ascii="Times New Roman" w:hAnsi="Times New Roman" w:cs="Times New Roman"/>
                <w:sz w:val="24"/>
              </w:rPr>
              <w:t xml:space="preserve">, propSmallMultiple, </w:t>
            </w:r>
            <w:proofErr w:type="spellStart"/>
            <w:r w:rsidRPr="00047700">
              <w:rPr>
                <w:rFonts w:ascii="Times New Roman" w:hAnsi="Times New Roman" w:cs="Times New Roman"/>
                <w:sz w:val="24"/>
              </w:rPr>
              <w:t>propLargeMultiple</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tenantMix</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comparisonDiversity</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convenienceDiversity</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leisureDiversity</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serviceDiversity</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propCloneRetailers</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propCloneCategories</w:t>
            </w:r>
            <w:proofErr w:type="spellEnd"/>
            <w:r w:rsidRPr="00047700">
              <w:rPr>
                <w:rFonts w:ascii="Times New Roman" w:hAnsi="Times New Roman" w:cs="Times New Roman"/>
                <w:sz w:val="24"/>
              </w:rPr>
              <w:t>.</w:t>
            </w:r>
          </w:p>
        </w:tc>
      </w:tr>
      <w:tr w:rsidR="00047700" w:rsidRPr="00047700" w14:paraId="4CA68701" w14:textId="77777777" w:rsidTr="004B2B96">
        <w:trPr>
          <w:trHeight w:val="1800"/>
        </w:trPr>
        <w:tc>
          <w:tcPr>
            <w:tcW w:w="2369" w:type="dxa"/>
            <w:hideMark/>
          </w:tcPr>
          <w:p w14:paraId="0DCBE164" w14:textId="77777777" w:rsidR="00047700" w:rsidRPr="00047700" w:rsidRDefault="00047700" w:rsidP="004B2B96">
            <w:pPr>
              <w:jc w:val="center"/>
              <w:rPr>
                <w:rFonts w:ascii="Times New Roman" w:hAnsi="Times New Roman" w:cs="Times New Roman"/>
                <w:b/>
                <w:sz w:val="24"/>
              </w:rPr>
            </w:pPr>
            <w:r w:rsidRPr="00047700">
              <w:rPr>
                <w:rFonts w:ascii="Times New Roman" w:hAnsi="Times New Roman" w:cs="Times New Roman"/>
                <w:b/>
                <w:sz w:val="24"/>
              </w:rPr>
              <w:t>Size &amp; Function</w:t>
            </w:r>
          </w:p>
        </w:tc>
        <w:tc>
          <w:tcPr>
            <w:tcW w:w="4060" w:type="dxa"/>
            <w:hideMark/>
          </w:tcPr>
          <w:p w14:paraId="61928288" w14:textId="77777777" w:rsidR="00047700" w:rsidRPr="00047700" w:rsidRDefault="00047700" w:rsidP="004B2B96">
            <w:pPr>
              <w:rPr>
                <w:rFonts w:ascii="Times New Roman" w:hAnsi="Times New Roman" w:cs="Times New Roman"/>
                <w:sz w:val="24"/>
              </w:rPr>
            </w:pPr>
            <w:r w:rsidRPr="00047700">
              <w:rPr>
                <w:rFonts w:ascii="Times New Roman" w:hAnsi="Times New Roman" w:cs="Times New Roman"/>
                <w:sz w:val="24"/>
              </w:rPr>
              <w:t xml:space="preserve">nUnits, </w:t>
            </w:r>
            <w:proofErr w:type="spellStart"/>
            <w:r w:rsidRPr="00047700">
              <w:rPr>
                <w:rFonts w:ascii="Times New Roman" w:hAnsi="Times New Roman" w:cs="Times New Roman"/>
                <w:sz w:val="24"/>
              </w:rPr>
              <w:t>centreArea</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geographicReach</w:t>
            </w:r>
            <w:proofErr w:type="spellEnd"/>
            <w:r w:rsidRPr="00047700">
              <w:rPr>
                <w:rFonts w:ascii="Times New Roman" w:hAnsi="Times New Roman" w:cs="Times New Roman"/>
                <w:sz w:val="24"/>
              </w:rPr>
              <w:t xml:space="preserve">, roeckScore, </w:t>
            </w:r>
            <w:proofErr w:type="spellStart"/>
            <w:r w:rsidRPr="00047700">
              <w:rPr>
                <w:rFonts w:ascii="Times New Roman" w:hAnsi="Times New Roman" w:cs="Times New Roman"/>
                <w:sz w:val="24"/>
              </w:rPr>
              <w:t>attractivenessScore</w:t>
            </w:r>
            <w:proofErr w:type="spellEnd"/>
            <w:r w:rsidRPr="00047700">
              <w:rPr>
                <w:rFonts w:ascii="Times New Roman" w:hAnsi="Times New Roman" w:cs="Times New Roman"/>
                <w:sz w:val="24"/>
              </w:rPr>
              <w:t xml:space="preserve">, propAnchor, </w:t>
            </w:r>
            <w:proofErr w:type="spellStart"/>
            <w:r w:rsidRPr="00047700">
              <w:rPr>
                <w:rFonts w:ascii="Times New Roman" w:hAnsi="Times New Roman" w:cs="Times New Roman"/>
                <w:sz w:val="24"/>
              </w:rPr>
              <w:t>propPremium</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propMass</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propValue</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propCharity</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propPawnbrokersandBetting</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propConcession</w:t>
            </w:r>
            <w:proofErr w:type="spellEnd"/>
            <w:r w:rsidRPr="00047700">
              <w:rPr>
                <w:rFonts w:ascii="Times New Roman" w:hAnsi="Times New Roman" w:cs="Times New Roman"/>
                <w:sz w:val="24"/>
              </w:rPr>
              <w:t>.</w:t>
            </w:r>
          </w:p>
        </w:tc>
      </w:tr>
      <w:tr w:rsidR="00047700" w:rsidRPr="00047700" w14:paraId="0599FDE4" w14:textId="77777777" w:rsidTr="004B2B96">
        <w:trPr>
          <w:trHeight w:val="1593"/>
        </w:trPr>
        <w:tc>
          <w:tcPr>
            <w:tcW w:w="2369" w:type="dxa"/>
            <w:hideMark/>
          </w:tcPr>
          <w:p w14:paraId="2B9604E9" w14:textId="77777777" w:rsidR="00047700" w:rsidRPr="00047700" w:rsidRDefault="00047700" w:rsidP="004B2B96">
            <w:pPr>
              <w:jc w:val="center"/>
              <w:rPr>
                <w:rFonts w:ascii="Times New Roman" w:hAnsi="Times New Roman" w:cs="Times New Roman"/>
                <w:b/>
                <w:sz w:val="24"/>
              </w:rPr>
            </w:pPr>
            <w:r w:rsidRPr="00047700">
              <w:rPr>
                <w:rFonts w:ascii="Times New Roman" w:hAnsi="Times New Roman" w:cs="Times New Roman"/>
                <w:b/>
                <w:sz w:val="24"/>
              </w:rPr>
              <w:t>Economic Health</w:t>
            </w:r>
          </w:p>
        </w:tc>
        <w:tc>
          <w:tcPr>
            <w:tcW w:w="4060" w:type="dxa"/>
            <w:hideMark/>
          </w:tcPr>
          <w:p w14:paraId="3547266D" w14:textId="77777777" w:rsidR="00047700" w:rsidRPr="00047700" w:rsidRDefault="00047700" w:rsidP="004B2B96">
            <w:pPr>
              <w:rPr>
                <w:rFonts w:ascii="Times New Roman" w:hAnsi="Times New Roman" w:cs="Times New Roman"/>
                <w:sz w:val="24"/>
              </w:rPr>
            </w:pPr>
            <w:r w:rsidRPr="00047700">
              <w:rPr>
                <w:rFonts w:ascii="Times New Roman" w:hAnsi="Times New Roman" w:cs="Times New Roman"/>
                <w:sz w:val="24"/>
              </w:rPr>
              <w:t xml:space="preserve">nCompeting, propVacant, propStructuralVacant, </w:t>
            </w:r>
            <w:proofErr w:type="spellStart"/>
            <w:r w:rsidRPr="00047700">
              <w:rPr>
                <w:rFonts w:ascii="Times New Roman" w:hAnsi="Times New Roman" w:cs="Times New Roman"/>
                <w:sz w:val="24"/>
              </w:rPr>
              <w:t>vacancyChange</w:t>
            </w:r>
            <w:proofErr w:type="spellEnd"/>
            <w:r w:rsidRPr="00047700">
              <w:rPr>
                <w:rFonts w:ascii="Times New Roman" w:hAnsi="Times New Roman" w:cs="Times New Roman"/>
                <w:sz w:val="24"/>
              </w:rPr>
              <w:t xml:space="preserve">, onlineExposure, </w:t>
            </w:r>
            <w:proofErr w:type="spellStart"/>
            <w:r w:rsidRPr="00047700">
              <w:rPr>
                <w:rFonts w:ascii="Times New Roman" w:hAnsi="Times New Roman" w:cs="Times New Roman"/>
                <w:sz w:val="24"/>
              </w:rPr>
              <w:t>retailService</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retailChange</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averageIMD</w:t>
            </w:r>
            <w:proofErr w:type="spellEnd"/>
            <w:r w:rsidRPr="00047700">
              <w:rPr>
                <w:rFonts w:ascii="Times New Roman" w:hAnsi="Times New Roman" w:cs="Times New Roman"/>
                <w:sz w:val="24"/>
              </w:rPr>
              <w:t xml:space="preserve">, </w:t>
            </w:r>
            <w:proofErr w:type="spellStart"/>
            <w:r w:rsidRPr="00047700">
              <w:rPr>
                <w:rFonts w:ascii="Times New Roman" w:hAnsi="Times New Roman" w:cs="Times New Roman"/>
                <w:sz w:val="24"/>
              </w:rPr>
              <w:t>nightPopulation</w:t>
            </w:r>
            <w:proofErr w:type="spellEnd"/>
            <w:r w:rsidRPr="00047700">
              <w:rPr>
                <w:rFonts w:ascii="Times New Roman" w:hAnsi="Times New Roman" w:cs="Times New Roman"/>
                <w:sz w:val="24"/>
              </w:rPr>
              <w:t>.</w:t>
            </w:r>
          </w:p>
        </w:tc>
      </w:tr>
    </w:tbl>
    <w:p w14:paraId="7FADC294" w14:textId="77777777" w:rsidR="00047700" w:rsidRDefault="00047700" w:rsidP="00703A75">
      <w:pPr>
        <w:rPr>
          <w:rFonts w:ascii="Times New Roman" w:hAnsi="Times New Roman" w:cs="Times New Roman"/>
          <w:sz w:val="24"/>
        </w:rPr>
      </w:pPr>
    </w:p>
    <w:p w14:paraId="480EB528" w14:textId="77777777" w:rsidR="00047700" w:rsidRDefault="00047700" w:rsidP="00703A75">
      <w:pPr>
        <w:rPr>
          <w:rFonts w:ascii="Times New Roman" w:hAnsi="Times New Roman" w:cs="Times New Roman"/>
          <w:sz w:val="24"/>
        </w:rPr>
      </w:pPr>
    </w:p>
    <w:p w14:paraId="77489013" w14:textId="77777777" w:rsidR="00047700" w:rsidRDefault="00047700" w:rsidP="00703A75">
      <w:pPr>
        <w:rPr>
          <w:rFonts w:ascii="Times New Roman" w:hAnsi="Times New Roman" w:cs="Times New Roman"/>
          <w:sz w:val="24"/>
        </w:rPr>
      </w:pPr>
    </w:p>
    <w:p w14:paraId="35CC3339" w14:textId="77777777" w:rsidR="00047700" w:rsidRDefault="00047700" w:rsidP="00703A75">
      <w:pPr>
        <w:rPr>
          <w:rFonts w:ascii="Times New Roman" w:hAnsi="Times New Roman" w:cs="Times New Roman"/>
          <w:sz w:val="24"/>
        </w:rPr>
      </w:pPr>
    </w:p>
    <w:p w14:paraId="75D5D12B" w14:textId="77777777" w:rsidR="00047700" w:rsidRDefault="00047700" w:rsidP="00703A75">
      <w:pPr>
        <w:rPr>
          <w:rFonts w:ascii="Times New Roman" w:hAnsi="Times New Roman" w:cs="Times New Roman"/>
          <w:sz w:val="24"/>
        </w:rPr>
      </w:pPr>
    </w:p>
    <w:p w14:paraId="26C6590E" w14:textId="77777777" w:rsidR="00047700" w:rsidRDefault="00047700" w:rsidP="00703A75">
      <w:pPr>
        <w:rPr>
          <w:rFonts w:ascii="Times New Roman" w:hAnsi="Times New Roman" w:cs="Times New Roman"/>
          <w:sz w:val="24"/>
        </w:rPr>
      </w:pPr>
    </w:p>
    <w:p w14:paraId="2253406F" w14:textId="77777777" w:rsidR="00047700" w:rsidRDefault="00047700" w:rsidP="00703A75">
      <w:pPr>
        <w:rPr>
          <w:rFonts w:ascii="Times New Roman" w:hAnsi="Times New Roman" w:cs="Times New Roman"/>
          <w:sz w:val="24"/>
        </w:rPr>
      </w:pPr>
    </w:p>
    <w:p w14:paraId="6EDBADB3" w14:textId="77777777" w:rsidR="00047700" w:rsidRDefault="00047700" w:rsidP="00703A75">
      <w:pPr>
        <w:rPr>
          <w:rFonts w:ascii="Times New Roman" w:hAnsi="Times New Roman" w:cs="Times New Roman"/>
          <w:sz w:val="24"/>
        </w:rPr>
      </w:pPr>
    </w:p>
    <w:p w14:paraId="7CA3A1E3" w14:textId="77777777" w:rsidR="00047700" w:rsidRDefault="00047700" w:rsidP="00703A75">
      <w:pPr>
        <w:rPr>
          <w:rFonts w:ascii="Times New Roman" w:hAnsi="Times New Roman" w:cs="Times New Roman"/>
          <w:sz w:val="24"/>
        </w:rPr>
      </w:pPr>
    </w:p>
    <w:p w14:paraId="2C867707" w14:textId="77777777" w:rsidR="00047700" w:rsidRDefault="00047700" w:rsidP="00703A75">
      <w:pPr>
        <w:rPr>
          <w:rFonts w:ascii="Times New Roman" w:hAnsi="Times New Roman" w:cs="Times New Roman"/>
          <w:sz w:val="24"/>
        </w:rPr>
      </w:pPr>
    </w:p>
    <w:p w14:paraId="3D91213C" w14:textId="77777777" w:rsidR="00047700" w:rsidRDefault="00047700" w:rsidP="00703A75">
      <w:pPr>
        <w:rPr>
          <w:rFonts w:ascii="Times New Roman" w:hAnsi="Times New Roman" w:cs="Times New Roman"/>
          <w:sz w:val="24"/>
        </w:rPr>
      </w:pPr>
    </w:p>
    <w:p w14:paraId="03B4BE89" w14:textId="77777777" w:rsidR="00047700" w:rsidRDefault="00047700" w:rsidP="00703A75">
      <w:pPr>
        <w:rPr>
          <w:rFonts w:ascii="Times New Roman" w:hAnsi="Times New Roman" w:cs="Times New Roman"/>
          <w:sz w:val="24"/>
        </w:rPr>
      </w:pPr>
    </w:p>
    <w:p w14:paraId="47FE490A" w14:textId="77777777" w:rsidR="00047700" w:rsidRDefault="00047700" w:rsidP="00703A75">
      <w:pPr>
        <w:rPr>
          <w:rFonts w:ascii="Times New Roman" w:hAnsi="Times New Roman" w:cs="Times New Roman"/>
          <w:sz w:val="24"/>
        </w:rPr>
      </w:pPr>
    </w:p>
    <w:p w14:paraId="0144D21D" w14:textId="77777777" w:rsidR="00047700" w:rsidRDefault="00047700" w:rsidP="00703A75">
      <w:pPr>
        <w:rPr>
          <w:rFonts w:ascii="Times New Roman" w:hAnsi="Times New Roman" w:cs="Times New Roman"/>
          <w:sz w:val="24"/>
        </w:rPr>
      </w:pPr>
    </w:p>
    <w:p w14:paraId="483D4EF8" w14:textId="77777777" w:rsidR="00047700" w:rsidRDefault="00047700" w:rsidP="00703A75">
      <w:pPr>
        <w:rPr>
          <w:rFonts w:ascii="Times New Roman" w:hAnsi="Times New Roman" w:cs="Times New Roman"/>
          <w:sz w:val="24"/>
        </w:rPr>
      </w:pPr>
    </w:p>
    <w:p w14:paraId="730B4EEB" w14:textId="77777777" w:rsidR="00047700" w:rsidRDefault="00047700" w:rsidP="00703A75">
      <w:pPr>
        <w:rPr>
          <w:rFonts w:ascii="Times New Roman" w:hAnsi="Times New Roman" w:cs="Times New Roman"/>
          <w:sz w:val="24"/>
        </w:rPr>
      </w:pPr>
    </w:p>
    <w:p w14:paraId="13DF75F9" w14:textId="77777777" w:rsidR="00047700" w:rsidRDefault="00047700" w:rsidP="00703A75">
      <w:pPr>
        <w:rPr>
          <w:rFonts w:ascii="Times New Roman" w:hAnsi="Times New Roman" w:cs="Times New Roman"/>
          <w:sz w:val="24"/>
        </w:rPr>
      </w:pPr>
    </w:p>
    <w:p w14:paraId="7EBD9ACF" w14:textId="77777777" w:rsidR="00047700" w:rsidRDefault="00047700" w:rsidP="00703A75">
      <w:pPr>
        <w:rPr>
          <w:rFonts w:ascii="Times New Roman" w:hAnsi="Times New Roman" w:cs="Times New Roman"/>
          <w:sz w:val="24"/>
        </w:rPr>
      </w:pPr>
    </w:p>
    <w:p w14:paraId="4AE8F0BC" w14:textId="77777777" w:rsidR="00047700" w:rsidRDefault="00047700" w:rsidP="00703A75">
      <w:pPr>
        <w:rPr>
          <w:rFonts w:ascii="Times New Roman" w:hAnsi="Times New Roman" w:cs="Times New Roman"/>
          <w:sz w:val="24"/>
        </w:rPr>
      </w:pPr>
    </w:p>
    <w:p w14:paraId="656827BF" w14:textId="77777777" w:rsidR="00047700" w:rsidRDefault="00047700" w:rsidP="00703A75">
      <w:pPr>
        <w:rPr>
          <w:rFonts w:ascii="Times New Roman" w:hAnsi="Times New Roman" w:cs="Times New Roman"/>
          <w:sz w:val="24"/>
        </w:rPr>
      </w:pPr>
    </w:p>
    <w:p w14:paraId="67C9C737" w14:textId="77777777" w:rsidR="0087487D" w:rsidRDefault="0087487D" w:rsidP="0087487D">
      <w:pPr>
        <w:jc w:val="center"/>
        <w:rPr>
          <w:rFonts w:ascii="Times New Roman" w:hAnsi="Times New Roman" w:cs="Times New Roman"/>
          <w:b/>
          <w:sz w:val="24"/>
        </w:rPr>
      </w:pPr>
    </w:p>
    <w:p w14:paraId="42EC7A59" w14:textId="77777777" w:rsidR="000F236E" w:rsidRDefault="000C396D" w:rsidP="000C396D">
      <w:pPr>
        <w:rPr>
          <w:rFonts w:ascii="Times New Roman" w:hAnsi="Times New Roman" w:cs="Times New Roman"/>
          <w:b/>
          <w:sz w:val="24"/>
        </w:rPr>
      </w:pPr>
      <w:r>
        <w:rPr>
          <w:rFonts w:ascii="Times New Roman" w:hAnsi="Times New Roman" w:cs="Times New Roman"/>
          <w:b/>
          <w:sz w:val="24"/>
        </w:rPr>
        <w:t xml:space="preserve">2.2 Feature Selection </w:t>
      </w:r>
    </w:p>
    <w:p w14:paraId="051E7B5B" w14:textId="4A6F686C" w:rsidR="000C396D" w:rsidRDefault="000C396D" w:rsidP="003774FC">
      <w:pPr>
        <w:jc w:val="both"/>
        <w:rPr>
          <w:rFonts w:ascii="Times New Roman" w:hAnsi="Times New Roman" w:cs="Times New Roman"/>
          <w:sz w:val="24"/>
        </w:rPr>
      </w:pPr>
      <w:r>
        <w:rPr>
          <w:rFonts w:ascii="Times New Roman" w:hAnsi="Times New Roman" w:cs="Times New Roman"/>
          <w:sz w:val="24"/>
        </w:rPr>
        <w:t xml:space="preserve">Once the variables had been assembled, we performed a series of </w:t>
      </w:r>
      <w:r w:rsidR="001D5D0E">
        <w:rPr>
          <w:rFonts w:ascii="Times New Roman" w:hAnsi="Times New Roman" w:cs="Times New Roman"/>
          <w:sz w:val="24"/>
        </w:rPr>
        <w:t>checks on the variables to ensure none were highly correlated with each</w:t>
      </w:r>
      <w:r w:rsidR="00F83AEA">
        <w:rPr>
          <w:rFonts w:ascii="Times New Roman" w:hAnsi="Times New Roman" w:cs="Times New Roman"/>
          <w:sz w:val="24"/>
        </w:rPr>
        <w:t xml:space="preserve"> </w:t>
      </w:r>
      <w:r w:rsidR="001D5D0E">
        <w:rPr>
          <w:rFonts w:ascii="Times New Roman" w:hAnsi="Times New Roman" w:cs="Times New Roman"/>
          <w:sz w:val="24"/>
        </w:rPr>
        <w:t xml:space="preserve">other, which would otherwise skew the results of this classification. </w:t>
      </w:r>
      <w:r w:rsidR="003014AB">
        <w:rPr>
          <w:rFonts w:ascii="Times New Roman" w:hAnsi="Times New Roman" w:cs="Times New Roman"/>
          <w:sz w:val="24"/>
        </w:rPr>
        <w:t>We plotted the highest/lowest correlations, as below in Figure 1, and used this to inform removal of four</w:t>
      </w:r>
      <w:r w:rsidR="004B2B96">
        <w:rPr>
          <w:rFonts w:ascii="Times New Roman" w:hAnsi="Times New Roman" w:cs="Times New Roman"/>
          <w:sz w:val="24"/>
        </w:rPr>
        <w:t xml:space="preserve"> of the 46</w:t>
      </w:r>
      <w:r w:rsidR="003014AB">
        <w:rPr>
          <w:rFonts w:ascii="Times New Roman" w:hAnsi="Times New Roman" w:cs="Times New Roman"/>
          <w:sz w:val="24"/>
        </w:rPr>
        <w:t xml:space="preserve"> variables; </w:t>
      </w:r>
      <w:proofErr w:type="spellStart"/>
      <w:r w:rsidR="003014AB">
        <w:rPr>
          <w:rFonts w:ascii="Times New Roman" w:hAnsi="Times New Roman" w:cs="Times New Roman"/>
          <w:i/>
          <w:sz w:val="24"/>
        </w:rPr>
        <w:t>propLargeMultiple</w:t>
      </w:r>
      <w:proofErr w:type="spellEnd"/>
      <w:r w:rsidR="003014AB">
        <w:rPr>
          <w:rFonts w:ascii="Times New Roman" w:hAnsi="Times New Roman" w:cs="Times New Roman"/>
          <w:i/>
          <w:sz w:val="24"/>
        </w:rPr>
        <w:t xml:space="preserve">, </w:t>
      </w:r>
      <w:proofErr w:type="spellStart"/>
      <w:r w:rsidR="003014AB">
        <w:rPr>
          <w:rFonts w:ascii="Times New Roman" w:hAnsi="Times New Roman" w:cs="Times New Roman"/>
          <w:i/>
          <w:sz w:val="24"/>
        </w:rPr>
        <w:t>tenantMix</w:t>
      </w:r>
      <w:proofErr w:type="spellEnd"/>
      <w:r w:rsidR="003014AB">
        <w:rPr>
          <w:rFonts w:ascii="Times New Roman" w:hAnsi="Times New Roman" w:cs="Times New Roman"/>
          <w:i/>
          <w:sz w:val="24"/>
        </w:rPr>
        <w:t xml:space="preserve">, </w:t>
      </w:r>
      <w:proofErr w:type="spellStart"/>
      <w:r w:rsidR="003014AB">
        <w:rPr>
          <w:rFonts w:ascii="Times New Roman" w:hAnsi="Times New Roman" w:cs="Times New Roman"/>
          <w:i/>
          <w:sz w:val="24"/>
        </w:rPr>
        <w:t>propCloneCategories</w:t>
      </w:r>
      <w:proofErr w:type="spellEnd"/>
      <w:r w:rsidR="003014AB">
        <w:rPr>
          <w:rFonts w:ascii="Times New Roman" w:hAnsi="Times New Roman" w:cs="Times New Roman"/>
          <w:i/>
          <w:sz w:val="24"/>
        </w:rPr>
        <w:t xml:space="preserve"> </w:t>
      </w:r>
      <w:r w:rsidR="003014AB">
        <w:rPr>
          <w:rFonts w:ascii="Times New Roman" w:hAnsi="Times New Roman" w:cs="Times New Roman"/>
          <w:sz w:val="24"/>
        </w:rPr>
        <w:t xml:space="preserve">and </w:t>
      </w:r>
      <w:r w:rsidR="003014AB">
        <w:rPr>
          <w:rFonts w:ascii="Times New Roman" w:hAnsi="Times New Roman" w:cs="Times New Roman"/>
          <w:i/>
          <w:sz w:val="24"/>
        </w:rPr>
        <w:t>propStructuralVacant</w:t>
      </w:r>
      <w:r w:rsidR="003014AB">
        <w:rPr>
          <w:rFonts w:ascii="Times New Roman" w:hAnsi="Times New Roman" w:cs="Times New Roman"/>
          <w:sz w:val="24"/>
        </w:rPr>
        <w:t xml:space="preserve">. </w:t>
      </w:r>
    </w:p>
    <w:p w14:paraId="7D6F0F6C" w14:textId="77777777" w:rsidR="003014AB" w:rsidRPr="003014AB" w:rsidRDefault="003014AB" w:rsidP="003774FC">
      <w:pPr>
        <w:jc w:val="both"/>
        <w:rPr>
          <w:rFonts w:ascii="Times New Roman" w:hAnsi="Times New Roman" w:cs="Times New Roman"/>
          <w:sz w:val="24"/>
        </w:rPr>
      </w:pPr>
      <w:r>
        <w:rPr>
          <w:rFonts w:ascii="Times New Roman" w:hAnsi="Times New Roman" w:cs="Times New Roman"/>
          <w:sz w:val="24"/>
        </w:rPr>
        <w:t>Once these variables had b</w:t>
      </w:r>
      <w:r w:rsidR="004B2B96">
        <w:rPr>
          <w:rFonts w:ascii="Times New Roman" w:hAnsi="Times New Roman" w:cs="Times New Roman"/>
          <w:sz w:val="24"/>
        </w:rPr>
        <w:t>een removed, we were left with 42</w:t>
      </w:r>
      <w:r>
        <w:rPr>
          <w:rFonts w:ascii="Times New Roman" w:hAnsi="Times New Roman" w:cs="Times New Roman"/>
          <w:sz w:val="24"/>
        </w:rPr>
        <w:t xml:space="preserve"> variables, which were supplied as inputs to the typology. The variables were range-standardised, but not weighted as this was found to have a limited effect on the construction of the typology in the </w:t>
      </w:r>
      <w:hyperlink r:id="rId11" w:history="1">
        <w:r w:rsidRPr="003014AB">
          <w:rPr>
            <w:rStyle w:val="Hyperlink"/>
            <w:rFonts w:ascii="Times New Roman" w:hAnsi="Times New Roman" w:cs="Times New Roman"/>
            <w:sz w:val="24"/>
          </w:rPr>
          <w:t>previous iteration</w:t>
        </w:r>
      </w:hyperlink>
      <w:r>
        <w:rPr>
          <w:rFonts w:ascii="Times New Roman" w:hAnsi="Times New Roman" w:cs="Times New Roman"/>
          <w:sz w:val="24"/>
        </w:rPr>
        <w:t xml:space="preserve">. </w:t>
      </w:r>
      <w:r w:rsidR="000E0E08">
        <w:rPr>
          <w:rFonts w:ascii="Times New Roman" w:hAnsi="Times New Roman" w:cs="Times New Roman"/>
          <w:sz w:val="24"/>
        </w:rPr>
        <w:t xml:space="preserve">Code for the feature selection can be found in the associated </w:t>
      </w:r>
      <w:hyperlink r:id="rId12" w:history="1">
        <w:r w:rsidR="000E0E08" w:rsidRPr="000E0E08">
          <w:rPr>
            <w:rStyle w:val="Hyperlink"/>
            <w:rFonts w:ascii="Times New Roman" w:hAnsi="Times New Roman" w:cs="Times New Roman"/>
            <w:sz w:val="24"/>
          </w:rPr>
          <w:t>GitHub repository</w:t>
        </w:r>
      </w:hyperlink>
      <w:r w:rsidR="000E0E08">
        <w:rPr>
          <w:rFonts w:ascii="Times New Roman" w:hAnsi="Times New Roman" w:cs="Times New Roman"/>
          <w:sz w:val="24"/>
        </w:rPr>
        <w:t>.</w:t>
      </w:r>
    </w:p>
    <w:p w14:paraId="28AF995F" w14:textId="77777777" w:rsidR="001D5D0E" w:rsidRDefault="001D5D0E" w:rsidP="000C396D">
      <w:pPr>
        <w:rPr>
          <w:rFonts w:ascii="Times New Roman" w:hAnsi="Times New Roman" w:cs="Times New Roman"/>
          <w:sz w:val="24"/>
        </w:rPr>
      </w:pPr>
    </w:p>
    <w:p w14:paraId="739BA428" w14:textId="77777777" w:rsidR="001D5D0E" w:rsidRDefault="001D5D0E" w:rsidP="000C396D">
      <w:pPr>
        <w:rPr>
          <w:rFonts w:ascii="Times New Roman" w:hAnsi="Times New Roman" w:cs="Times New Roman"/>
          <w:sz w:val="24"/>
        </w:rPr>
      </w:pPr>
    </w:p>
    <w:p w14:paraId="34F579C9" w14:textId="77777777" w:rsidR="001D5D0E" w:rsidRDefault="003014AB" w:rsidP="000C396D">
      <w:pPr>
        <w:rPr>
          <w:rFonts w:ascii="Times New Roman" w:hAnsi="Times New Roman" w:cs="Times New Roman"/>
          <w:sz w:val="24"/>
        </w:rPr>
      </w:pPr>
      <w:r>
        <w:rPr>
          <w:noProof/>
          <w:lang w:eastAsia="en-GB"/>
        </w:rPr>
        <w:drawing>
          <wp:anchor distT="0" distB="0" distL="114300" distR="114300" simplePos="0" relativeHeight="251658240" behindDoc="0" locked="0" layoutInCell="1" allowOverlap="1" wp14:anchorId="3228A9B9" wp14:editId="5D03F4AC">
            <wp:simplePos x="0" y="0"/>
            <wp:positionH relativeFrom="column">
              <wp:posOffset>-247650</wp:posOffset>
            </wp:positionH>
            <wp:positionV relativeFrom="margin">
              <wp:align>top</wp:align>
            </wp:positionV>
            <wp:extent cx="5731510" cy="30486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14:sizeRelH relativeFrom="page">
              <wp14:pctWidth>0</wp14:pctWidth>
            </wp14:sizeRelH>
            <wp14:sizeRelV relativeFrom="page">
              <wp14:pctHeight>0</wp14:pctHeight>
            </wp14:sizeRelV>
          </wp:anchor>
        </w:drawing>
      </w:r>
    </w:p>
    <w:p w14:paraId="484DD32F" w14:textId="77777777" w:rsidR="001D5D0E" w:rsidRDefault="003014AB" w:rsidP="003014AB">
      <w:pPr>
        <w:jc w:val="center"/>
        <w:rPr>
          <w:rFonts w:ascii="Times New Roman" w:hAnsi="Times New Roman" w:cs="Times New Roman"/>
          <w:sz w:val="24"/>
        </w:rPr>
      </w:pPr>
      <w:r w:rsidRPr="003014AB">
        <w:rPr>
          <w:rFonts w:ascii="Times New Roman" w:hAnsi="Times New Roman" w:cs="Times New Roman"/>
          <w:b/>
          <w:sz w:val="24"/>
        </w:rPr>
        <w:t>Figure 1.</w:t>
      </w:r>
      <w:r>
        <w:rPr>
          <w:rFonts w:ascii="Times New Roman" w:hAnsi="Times New Roman" w:cs="Times New Roman"/>
          <w:sz w:val="24"/>
        </w:rPr>
        <w:t xml:space="preserve"> Variable correlations</w:t>
      </w:r>
    </w:p>
    <w:p w14:paraId="6CAB90A2" w14:textId="77777777" w:rsidR="003774FC" w:rsidRDefault="003774FC" w:rsidP="000C396D">
      <w:pPr>
        <w:rPr>
          <w:rFonts w:ascii="Times New Roman" w:hAnsi="Times New Roman" w:cs="Times New Roman"/>
          <w:b/>
          <w:sz w:val="24"/>
        </w:rPr>
      </w:pPr>
    </w:p>
    <w:p w14:paraId="0CD87989" w14:textId="77777777" w:rsidR="003014AB" w:rsidRDefault="004B2B96" w:rsidP="000C396D">
      <w:pPr>
        <w:rPr>
          <w:rFonts w:ascii="Times New Roman" w:hAnsi="Times New Roman" w:cs="Times New Roman"/>
          <w:b/>
          <w:sz w:val="24"/>
        </w:rPr>
      </w:pPr>
      <w:r w:rsidRPr="004B2B96">
        <w:rPr>
          <w:rFonts w:ascii="Times New Roman" w:hAnsi="Times New Roman" w:cs="Times New Roman"/>
          <w:b/>
          <w:sz w:val="24"/>
        </w:rPr>
        <w:t>2.3 Typology Construction</w:t>
      </w:r>
    </w:p>
    <w:p w14:paraId="67BB38C9" w14:textId="31DE5376" w:rsidR="004B2B96" w:rsidRDefault="003774FC" w:rsidP="00D56685">
      <w:pPr>
        <w:jc w:val="both"/>
        <w:rPr>
          <w:rFonts w:ascii="Times New Roman" w:hAnsi="Times New Roman" w:cs="Times New Roman"/>
          <w:sz w:val="24"/>
        </w:rPr>
      </w:pPr>
      <w:r w:rsidRPr="003774FC">
        <w:rPr>
          <w:rFonts w:ascii="Times New Roman" w:hAnsi="Times New Roman" w:cs="Times New Roman"/>
          <w:sz w:val="24"/>
        </w:rPr>
        <w:t>The Retail Centre Typology was constructed using an unsupervised machine-learning algorithm called PAM; partition around (the) medoids</w:t>
      </w:r>
      <w:r w:rsidR="00650D9C">
        <w:rPr>
          <w:rFonts w:ascii="Times New Roman" w:hAnsi="Times New Roman" w:cs="Times New Roman"/>
          <w:sz w:val="24"/>
        </w:rPr>
        <w:t xml:space="preserve">, in line with the methods used to construct the first </w:t>
      </w:r>
      <w:proofErr w:type="gramStart"/>
      <w:r w:rsidR="00650D9C">
        <w:rPr>
          <w:rFonts w:ascii="Times New Roman" w:hAnsi="Times New Roman" w:cs="Times New Roman"/>
          <w:sz w:val="24"/>
        </w:rPr>
        <w:t>iteration  of</w:t>
      </w:r>
      <w:proofErr w:type="gramEnd"/>
      <w:r w:rsidR="00650D9C">
        <w:rPr>
          <w:rFonts w:ascii="Times New Roman" w:hAnsi="Times New Roman" w:cs="Times New Roman"/>
          <w:sz w:val="24"/>
        </w:rPr>
        <w:t xml:space="preserve"> the CDRC Retail Centre Typology</w:t>
      </w:r>
      <w:r w:rsidRPr="003774FC">
        <w:rPr>
          <w:rFonts w:ascii="Times New Roman" w:hAnsi="Times New Roman" w:cs="Times New Roman"/>
          <w:sz w:val="24"/>
        </w:rPr>
        <w:t>. It works similarly to k-means, but performs better when input variables are heavily skewed</w:t>
      </w:r>
      <w:r w:rsidR="00337A16">
        <w:rPr>
          <w:rFonts w:ascii="Times New Roman" w:hAnsi="Times New Roman" w:cs="Times New Roman"/>
          <w:sz w:val="24"/>
        </w:rPr>
        <w:t>, as in our case</w:t>
      </w:r>
      <w:r w:rsidRPr="003774FC">
        <w:rPr>
          <w:rFonts w:ascii="Times New Roman" w:hAnsi="Times New Roman" w:cs="Times New Roman"/>
          <w:sz w:val="24"/>
        </w:rPr>
        <w:t xml:space="preserve">. </w:t>
      </w:r>
      <w:r w:rsidR="00337A16">
        <w:rPr>
          <w:rFonts w:ascii="Times New Roman" w:hAnsi="Times New Roman" w:cs="Times New Roman"/>
          <w:sz w:val="24"/>
        </w:rPr>
        <w:t xml:space="preserve">The algorithm works by taking the 42 input variables about the retail centres, and splitting them into ‘clusters’ or Supergroups/Groups based on identified similarities and differences between them. </w:t>
      </w:r>
      <w:r w:rsidR="000E0E08">
        <w:rPr>
          <w:rFonts w:ascii="Times New Roman" w:hAnsi="Times New Roman" w:cs="Times New Roman"/>
          <w:sz w:val="24"/>
        </w:rPr>
        <w:t xml:space="preserve">Code for typology construction can be found in the associated </w:t>
      </w:r>
      <w:hyperlink r:id="rId14" w:history="1">
        <w:r w:rsidR="000E0E08" w:rsidRPr="000E0E08">
          <w:rPr>
            <w:rStyle w:val="Hyperlink"/>
            <w:rFonts w:ascii="Times New Roman" w:hAnsi="Times New Roman" w:cs="Times New Roman"/>
            <w:sz w:val="24"/>
          </w:rPr>
          <w:t>GitHub repository</w:t>
        </w:r>
      </w:hyperlink>
      <w:r w:rsidR="000E0E08">
        <w:rPr>
          <w:rFonts w:ascii="Times New Roman" w:hAnsi="Times New Roman" w:cs="Times New Roman"/>
          <w:sz w:val="24"/>
        </w:rPr>
        <w:t>.</w:t>
      </w:r>
    </w:p>
    <w:p w14:paraId="147E63D2" w14:textId="17ABC1D2" w:rsidR="00337A16" w:rsidRDefault="00337A16" w:rsidP="00D56685">
      <w:pPr>
        <w:jc w:val="both"/>
        <w:rPr>
          <w:rFonts w:ascii="Times New Roman" w:hAnsi="Times New Roman" w:cs="Times New Roman"/>
          <w:sz w:val="24"/>
        </w:rPr>
      </w:pPr>
      <w:r>
        <w:rPr>
          <w:rFonts w:ascii="Times New Roman" w:hAnsi="Times New Roman" w:cs="Times New Roman"/>
          <w:sz w:val="24"/>
        </w:rPr>
        <w:t xml:space="preserve">However, in order to split the retail centres into typology Supergroups and Groups, we have to identify the number of ‘clusters’ or Supergroups/Groups, supplied </w:t>
      </w:r>
      <w:proofErr w:type="spellStart"/>
      <w:r>
        <w:rPr>
          <w:rFonts w:ascii="Times New Roman" w:hAnsi="Times New Roman" w:cs="Times New Roman"/>
          <w:sz w:val="24"/>
        </w:rPr>
        <w:t xml:space="preserve">as </w:t>
      </w:r>
      <w:r w:rsidR="002D5368">
        <w:rPr>
          <w:rFonts w:ascii="Times New Roman" w:hAnsi="Times New Roman" w:cs="Times New Roman"/>
          <w:i/>
          <w:sz w:val="24"/>
        </w:rPr>
        <w:t>k</w:t>
      </w:r>
      <w:proofErr w:type="spellEnd"/>
      <w:r w:rsidR="002D5368">
        <w:rPr>
          <w:rFonts w:ascii="Times New Roman" w:hAnsi="Times New Roman" w:cs="Times New Roman"/>
          <w:i/>
          <w:sz w:val="24"/>
        </w:rPr>
        <w:t xml:space="preserve"> </w:t>
      </w:r>
      <w:r w:rsidR="002D5368">
        <w:rPr>
          <w:rFonts w:ascii="Times New Roman" w:hAnsi="Times New Roman" w:cs="Times New Roman"/>
          <w:sz w:val="24"/>
        </w:rPr>
        <w:t xml:space="preserve">to PAM. To do this, we utilised clustergrams and average silhouette scores, </w:t>
      </w:r>
      <w:r w:rsidR="00090D56">
        <w:rPr>
          <w:rFonts w:ascii="Times New Roman" w:hAnsi="Times New Roman" w:cs="Times New Roman"/>
          <w:sz w:val="24"/>
        </w:rPr>
        <w:t>to</w:t>
      </w:r>
      <w:r w:rsidR="002D5368">
        <w:rPr>
          <w:rFonts w:ascii="Times New Roman" w:hAnsi="Times New Roman" w:cs="Times New Roman"/>
          <w:sz w:val="24"/>
        </w:rPr>
        <w:t xml:space="preserve"> identif</w:t>
      </w:r>
      <w:r w:rsidR="00090D56">
        <w:rPr>
          <w:rFonts w:ascii="Times New Roman" w:hAnsi="Times New Roman" w:cs="Times New Roman"/>
          <w:sz w:val="24"/>
        </w:rPr>
        <w:t>y</w:t>
      </w:r>
      <w:r w:rsidR="002D5368">
        <w:rPr>
          <w:rFonts w:ascii="Times New Roman" w:hAnsi="Times New Roman" w:cs="Times New Roman"/>
          <w:sz w:val="24"/>
        </w:rPr>
        <w:t xml:space="preserve"> the optimal value of </w:t>
      </w:r>
      <w:r w:rsidR="002D5368">
        <w:rPr>
          <w:rFonts w:ascii="Times New Roman" w:hAnsi="Times New Roman" w:cs="Times New Roman"/>
          <w:i/>
          <w:sz w:val="24"/>
        </w:rPr>
        <w:t xml:space="preserve">k </w:t>
      </w:r>
      <w:r w:rsidR="002D5368">
        <w:rPr>
          <w:rFonts w:ascii="Times New Roman" w:hAnsi="Times New Roman" w:cs="Times New Roman"/>
          <w:sz w:val="24"/>
        </w:rPr>
        <w:t>when identifying the number of Supergroups, and then when identifying the number of nested Groups within each Supergroup.</w:t>
      </w:r>
    </w:p>
    <w:p w14:paraId="4FC818E0" w14:textId="77777777" w:rsidR="00B57837" w:rsidRPr="00D652CA" w:rsidRDefault="00B57837" w:rsidP="00D56685">
      <w:pPr>
        <w:jc w:val="both"/>
        <w:rPr>
          <w:rFonts w:ascii="Times New Roman" w:hAnsi="Times New Roman" w:cs="Times New Roman"/>
          <w:sz w:val="24"/>
        </w:rPr>
      </w:pPr>
      <w:r>
        <w:rPr>
          <w:rFonts w:ascii="Times New Roman" w:hAnsi="Times New Roman" w:cs="Times New Roman"/>
          <w:sz w:val="24"/>
        </w:rPr>
        <w:t>The average silhouette scores and clustergram for the Supergroups can be seen below in Table 2 and Figure 2.</w:t>
      </w:r>
      <w:r w:rsidR="00B63348">
        <w:rPr>
          <w:rFonts w:ascii="Times New Roman" w:hAnsi="Times New Roman" w:cs="Times New Roman"/>
          <w:sz w:val="24"/>
        </w:rPr>
        <w:t xml:space="preserve"> </w:t>
      </w:r>
      <w:r w:rsidR="00D652CA">
        <w:rPr>
          <w:rFonts w:ascii="Times New Roman" w:hAnsi="Times New Roman" w:cs="Times New Roman"/>
          <w:sz w:val="24"/>
        </w:rPr>
        <w:t xml:space="preserve">The maximum average silhouette score was used to identify the optimal </w:t>
      </w:r>
      <w:r w:rsidR="00D652CA">
        <w:rPr>
          <w:rFonts w:ascii="Times New Roman" w:hAnsi="Times New Roman" w:cs="Times New Roman"/>
          <w:i/>
          <w:sz w:val="24"/>
        </w:rPr>
        <w:t xml:space="preserve">k </w:t>
      </w:r>
      <w:r w:rsidR="00D652CA">
        <w:rPr>
          <w:rFonts w:ascii="Times New Roman" w:hAnsi="Times New Roman" w:cs="Times New Roman"/>
          <w:sz w:val="24"/>
        </w:rPr>
        <w:t xml:space="preserve">value when splitting the Supergroups into nested Groups. </w:t>
      </w:r>
    </w:p>
    <w:p w14:paraId="4A6F1BF2" w14:textId="77777777" w:rsidR="00B57837" w:rsidRDefault="00B57837" w:rsidP="000C396D">
      <w:pPr>
        <w:rPr>
          <w:rFonts w:ascii="Times New Roman" w:hAnsi="Times New Roman" w:cs="Times New Roman"/>
          <w:sz w:val="24"/>
        </w:rPr>
      </w:pPr>
    </w:p>
    <w:p w14:paraId="238FF333" w14:textId="77777777" w:rsidR="00B57837" w:rsidRDefault="00B57837" w:rsidP="000C396D">
      <w:pPr>
        <w:rPr>
          <w:rFonts w:ascii="Times New Roman" w:hAnsi="Times New Roman" w:cs="Times New Roman"/>
          <w:sz w:val="24"/>
        </w:rPr>
      </w:pPr>
    </w:p>
    <w:p w14:paraId="6471AEA9" w14:textId="77777777" w:rsidR="00B57837" w:rsidRDefault="00B57837" w:rsidP="000C396D">
      <w:pPr>
        <w:rPr>
          <w:rFonts w:ascii="Times New Roman" w:hAnsi="Times New Roman" w:cs="Times New Roman"/>
          <w:sz w:val="24"/>
        </w:rPr>
      </w:pPr>
    </w:p>
    <w:p w14:paraId="78468001" w14:textId="77777777" w:rsidR="00B57837" w:rsidRDefault="00B57837" w:rsidP="000C396D">
      <w:pPr>
        <w:rPr>
          <w:rFonts w:ascii="Times New Roman" w:hAnsi="Times New Roman" w:cs="Times New Roman"/>
          <w:sz w:val="24"/>
        </w:rPr>
      </w:pPr>
    </w:p>
    <w:p w14:paraId="43A994CF" w14:textId="77777777" w:rsidR="00B57837" w:rsidRDefault="00B57837" w:rsidP="000C396D">
      <w:pPr>
        <w:rPr>
          <w:rFonts w:ascii="Times New Roman" w:hAnsi="Times New Roman" w:cs="Times New Roman"/>
          <w:sz w:val="24"/>
        </w:rPr>
      </w:pPr>
    </w:p>
    <w:p w14:paraId="5BBE9925" w14:textId="77777777" w:rsidR="00B57837" w:rsidRPr="00B57837" w:rsidRDefault="00B57837" w:rsidP="00B57837">
      <w:pPr>
        <w:jc w:val="center"/>
        <w:rPr>
          <w:rFonts w:ascii="Times New Roman" w:hAnsi="Times New Roman" w:cs="Times New Roman"/>
          <w:sz w:val="24"/>
        </w:rPr>
      </w:pPr>
      <w:r w:rsidRPr="00D652CA">
        <w:rPr>
          <w:rFonts w:ascii="Times New Roman" w:hAnsi="Times New Roman" w:cs="Times New Roman"/>
          <w:b/>
          <w:sz w:val="24"/>
        </w:rPr>
        <w:t>Table 2.</w:t>
      </w:r>
      <w:r>
        <w:rPr>
          <w:rFonts w:ascii="Times New Roman" w:hAnsi="Times New Roman" w:cs="Times New Roman"/>
          <w:sz w:val="24"/>
        </w:rPr>
        <w:t xml:space="preserve"> Determination of optimal </w:t>
      </w:r>
      <w:r>
        <w:rPr>
          <w:rFonts w:ascii="Times New Roman" w:hAnsi="Times New Roman" w:cs="Times New Roman"/>
          <w:i/>
          <w:sz w:val="24"/>
        </w:rPr>
        <w:t xml:space="preserve">k </w:t>
      </w:r>
      <w:r>
        <w:rPr>
          <w:rFonts w:ascii="Times New Roman" w:hAnsi="Times New Roman" w:cs="Times New Roman"/>
          <w:sz w:val="24"/>
        </w:rPr>
        <w:t>value for Supergroups</w:t>
      </w:r>
    </w:p>
    <w:tbl>
      <w:tblPr>
        <w:tblpPr w:leftFromText="180" w:rightFromText="180" w:vertAnchor="text" w:horzAnchor="margin" w:tblpXSpec="center" w:tblpY="1"/>
        <w:tblOverlap w:val="never"/>
        <w:tblW w:w="4106" w:type="dxa"/>
        <w:tblLook w:val="04A0" w:firstRow="1" w:lastRow="0" w:firstColumn="1" w:lastColumn="0" w:noHBand="0" w:noVBand="1"/>
      </w:tblPr>
      <w:tblGrid>
        <w:gridCol w:w="960"/>
        <w:gridCol w:w="3146"/>
      </w:tblGrid>
      <w:tr w:rsidR="00B57837" w:rsidRPr="00B57837" w14:paraId="362AE008" w14:textId="77777777" w:rsidTr="00B57837">
        <w:trPr>
          <w:trHeight w:val="315"/>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3A061960" w14:textId="77777777" w:rsidR="00B57837" w:rsidRPr="00B57837" w:rsidRDefault="00B57837" w:rsidP="00B57837">
            <w:pPr>
              <w:spacing w:after="0" w:line="240" w:lineRule="auto"/>
              <w:jc w:val="center"/>
              <w:rPr>
                <w:rFonts w:ascii="Times New Roman" w:eastAsia="Times New Roman" w:hAnsi="Times New Roman" w:cs="Times New Roman"/>
                <w:b/>
                <w:bCs/>
                <w:i/>
                <w:iCs/>
                <w:color w:val="000000"/>
                <w:sz w:val="24"/>
                <w:szCs w:val="24"/>
                <w:lang w:eastAsia="en-GB"/>
              </w:rPr>
            </w:pPr>
            <w:r w:rsidRPr="00B57837">
              <w:rPr>
                <w:rFonts w:ascii="Times New Roman" w:eastAsia="Times New Roman" w:hAnsi="Times New Roman" w:cs="Times New Roman"/>
                <w:b/>
                <w:bCs/>
                <w:i/>
                <w:iCs/>
                <w:color w:val="000000"/>
                <w:sz w:val="24"/>
                <w:szCs w:val="24"/>
                <w:lang w:eastAsia="en-GB"/>
              </w:rPr>
              <w:t xml:space="preserve">k </w:t>
            </w:r>
          </w:p>
        </w:tc>
        <w:tc>
          <w:tcPr>
            <w:tcW w:w="3146" w:type="dxa"/>
            <w:tcBorders>
              <w:top w:val="single" w:sz="4" w:space="0" w:color="auto"/>
              <w:left w:val="nil"/>
              <w:bottom w:val="single" w:sz="4" w:space="0" w:color="auto"/>
              <w:right w:val="single" w:sz="4" w:space="0" w:color="auto"/>
            </w:tcBorders>
            <w:shd w:val="clear" w:color="auto" w:fill="auto"/>
            <w:noWrap/>
            <w:vAlign w:val="bottom"/>
            <w:hideMark/>
          </w:tcPr>
          <w:p w14:paraId="17085829" w14:textId="77777777" w:rsidR="00B57837" w:rsidRPr="00B57837" w:rsidRDefault="00B57837" w:rsidP="00B57837">
            <w:pPr>
              <w:spacing w:after="0" w:line="240" w:lineRule="auto"/>
              <w:jc w:val="center"/>
              <w:rPr>
                <w:rFonts w:ascii="Times New Roman" w:eastAsia="Times New Roman" w:hAnsi="Times New Roman" w:cs="Times New Roman"/>
                <w:b/>
                <w:bCs/>
                <w:color w:val="000000"/>
                <w:sz w:val="24"/>
                <w:szCs w:val="24"/>
                <w:lang w:eastAsia="en-GB"/>
              </w:rPr>
            </w:pPr>
            <w:r w:rsidRPr="00B57837">
              <w:rPr>
                <w:rFonts w:ascii="Times New Roman" w:eastAsia="Times New Roman" w:hAnsi="Times New Roman" w:cs="Times New Roman"/>
                <w:b/>
                <w:bCs/>
                <w:color w:val="000000"/>
                <w:sz w:val="24"/>
                <w:szCs w:val="24"/>
                <w:lang w:eastAsia="en-GB"/>
              </w:rPr>
              <w:t>Average silhouette score</w:t>
            </w:r>
          </w:p>
        </w:tc>
      </w:tr>
      <w:tr w:rsidR="00B57837" w:rsidRPr="00B57837" w14:paraId="3B67FFD6"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25E16328"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2</w:t>
            </w:r>
          </w:p>
        </w:tc>
        <w:tc>
          <w:tcPr>
            <w:tcW w:w="3146" w:type="dxa"/>
            <w:tcBorders>
              <w:top w:val="nil"/>
              <w:left w:val="nil"/>
              <w:bottom w:val="nil"/>
              <w:right w:val="single" w:sz="4" w:space="0" w:color="auto"/>
            </w:tcBorders>
            <w:shd w:val="clear" w:color="auto" w:fill="auto"/>
            <w:noWrap/>
            <w:vAlign w:val="bottom"/>
            <w:hideMark/>
          </w:tcPr>
          <w:p w14:paraId="52A5BD9D"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0.081</w:t>
            </w:r>
          </w:p>
        </w:tc>
      </w:tr>
      <w:tr w:rsidR="00B57837" w:rsidRPr="00B57837" w14:paraId="309A71CE"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1FCE7961"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3</w:t>
            </w:r>
          </w:p>
        </w:tc>
        <w:tc>
          <w:tcPr>
            <w:tcW w:w="3146" w:type="dxa"/>
            <w:tcBorders>
              <w:top w:val="nil"/>
              <w:left w:val="nil"/>
              <w:bottom w:val="nil"/>
              <w:right w:val="single" w:sz="4" w:space="0" w:color="auto"/>
            </w:tcBorders>
            <w:shd w:val="clear" w:color="auto" w:fill="auto"/>
            <w:noWrap/>
            <w:vAlign w:val="bottom"/>
            <w:hideMark/>
          </w:tcPr>
          <w:p w14:paraId="4F134066"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0.094</w:t>
            </w:r>
          </w:p>
        </w:tc>
      </w:tr>
      <w:tr w:rsidR="00B57837" w:rsidRPr="00B57837" w14:paraId="35856A6D"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300CC321" w14:textId="77777777" w:rsidR="00B57837" w:rsidRPr="00B57837" w:rsidRDefault="00B57837" w:rsidP="00B57837">
            <w:pPr>
              <w:spacing w:after="0" w:line="240" w:lineRule="auto"/>
              <w:jc w:val="center"/>
              <w:rPr>
                <w:rFonts w:ascii="Times New Roman" w:eastAsia="Times New Roman" w:hAnsi="Times New Roman" w:cs="Times New Roman"/>
                <w:b/>
                <w:bCs/>
                <w:color w:val="000000"/>
                <w:sz w:val="24"/>
                <w:szCs w:val="24"/>
                <w:lang w:eastAsia="en-GB"/>
              </w:rPr>
            </w:pPr>
            <w:r w:rsidRPr="00B57837">
              <w:rPr>
                <w:rFonts w:ascii="Times New Roman" w:eastAsia="Times New Roman" w:hAnsi="Times New Roman" w:cs="Times New Roman"/>
                <w:b/>
                <w:bCs/>
                <w:color w:val="000000"/>
                <w:sz w:val="24"/>
                <w:szCs w:val="24"/>
                <w:lang w:eastAsia="en-GB"/>
              </w:rPr>
              <w:t>4</w:t>
            </w:r>
          </w:p>
        </w:tc>
        <w:tc>
          <w:tcPr>
            <w:tcW w:w="3146" w:type="dxa"/>
            <w:tcBorders>
              <w:top w:val="nil"/>
              <w:left w:val="nil"/>
              <w:bottom w:val="nil"/>
              <w:right w:val="single" w:sz="4" w:space="0" w:color="auto"/>
            </w:tcBorders>
            <w:shd w:val="clear" w:color="auto" w:fill="auto"/>
            <w:noWrap/>
            <w:vAlign w:val="bottom"/>
            <w:hideMark/>
          </w:tcPr>
          <w:p w14:paraId="74A693EA" w14:textId="77777777" w:rsidR="00B57837" w:rsidRPr="00B57837" w:rsidRDefault="00B57837" w:rsidP="00B57837">
            <w:pPr>
              <w:spacing w:after="0" w:line="240" w:lineRule="auto"/>
              <w:jc w:val="center"/>
              <w:rPr>
                <w:rFonts w:ascii="Times New Roman" w:eastAsia="Times New Roman" w:hAnsi="Times New Roman" w:cs="Times New Roman"/>
                <w:b/>
                <w:bCs/>
                <w:color w:val="000000"/>
                <w:sz w:val="24"/>
                <w:szCs w:val="24"/>
                <w:lang w:eastAsia="en-GB"/>
              </w:rPr>
            </w:pPr>
            <w:r w:rsidRPr="00B57837">
              <w:rPr>
                <w:rFonts w:ascii="Times New Roman" w:eastAsia="Times New Roman" w:hAnsi="Times New Roman" w:cs="Times New Roman"/>
                <w:b/>
                <w:bCs/>
                <w:color w:val="000000"/>
                <w:sz w:val="24"/>
                <w:szCs w:val="24"/>
                <w:lang w:eastAsia="en-GB"/>
              </w:rPr>
              <w:t>0.096</w:t>
            </w:r>
          </w:p>
        </w:tc>
      </w:tr>
      <w:tr w:rsidR="00B57837" w:rsidRPr="00B57837" w14:paraId="53A1893C"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5A509929"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5</w:t>
            </w:r>
          </w:p>
        </w:tc>
        <w:tc>
          <w:tcPr>
            <w:tcW w:w="3146" w:type="dxa"/>
            <w:tcBorders>
              <w:top w:val="nil"/>
              <w:left w:val="nil"/>
              <w:bottom w:val="nil"/>
              <w:right w:val="single" w:sz="4" w:space="0" w:color="auto"/>
            </w:tcBorders>
            <w:shd w:val="clear" w:color="auto" w:fill="auto"/>
            <w:noWrap/>
            <w:vAlign w:val="bottom"/>
            <w:hideMark/>
          </w:tcPr>
          <w:p w14:paraId="61109142"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0.073</w:t>
            </w:r>
          </w:p>
        </w:tc>
      </w:tr>
      <w:tr w:rsidR="00B57837" w:rsidRPr="00B57837" w14:paraId="2511CC15"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771AB117"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6</w:t>
            </w:r>
          </w:p>
        </w:tc>
        <w:tc>
          <w:tcPr>
            <w:tcW w:w="3146" w:type="dxa"/>
            <w:tcBorders>
              <w:top w:val="nil"/>
              <w:left w:val="nil"/>
              <w:bottom w:val="nil"/>
              <w:right w:val="single" w:sz="4" w:space="0" w:color="auto"/>
            </w:tcBorders>
            <w:shd w:val="clear" w:color="auto" w:fill="auto"/>
            <w:noWrap/>
            <w:vAlign w:val="bottom"/>
            <w:hideMark/>
          </w:tcPr>
          <w:p w14:paraId="5608A794"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0.065</w:t>
            </w:r>
          </w:p>
        </w:tc>
      </w:tr>
      <w:tr w:rsidR="00B57837" w:rsidRPr="00B57837" w14:paraId="3E2A5592"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36CF0A03"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7</w:t>
            </w:r>
          </w:p>
        </w:tc>
        <w:tc>
          <w:tcPr>
            <w:tcW w:w="3146" w:type="dxa"/>
            <w:tcBorders>
              <w:top w:val="nil"/>
              <w:left w:val="nil"/>
              <w:bottom w:val="nil"/>
              <w:right w:val="single" w:sz="4" w:space="0" w:color="auto"/>
            </w:tcBorders>
            <w:shd w:val="clear" w:color="auto" w:fill="auto"/>
            <w:noWrap/>
            <w:vAlign w:val="bottom"/>
            <w:hideMark/>
          </w:tcPr>
          <w:p w14:paraId="3FBFDA66"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0.070</w:t>
            </w:r>
          </w:p>
        </w:tc>
      </w:tr>
      <w:tr w:rsidR="00B57837" w:rsidRPr="00B57837" w14:paraId="71C19E0B"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792185B2"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8</w:t>
            </w:r>
          </w:p>
        </w:tc>
        <w:tc>
          <w:tcPr>
            <w:tcW w:w="3146" w:type="dxa"/>
            <w:tcBorders>
              <w:top w:val="nil"/>
              <w:left w:val="nil"/>
              <w:bottom w:val="nil"/>
              <w:right w:val="single" w:sz="4" w:space="0" w:color="auto"/>
            </w:tcBorders>
            <w:shd w:val="clear" w:color="auto" w:fill="auto"/>
            <w:noWrap/>
            <w:vAlign w:val="bottom"/>
            <w:hideMark/>
          </w:tcPr>
          <w:p w14:paraId="1612FEB2"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0.065</w:t>
            </w:r>
          </w:p>
        </w:tc>
      </w:tr>
      <w:tr w:rsidR="00B57837" w:rsidRPr="00B57837" w14:paraId="14418426" w14:textId="77777777" w:rsidTr="00B57837">
        <w:trPr>
          <w:trHeight w:val="315"/>
        </w:trPr>
        <w:tc>
          <w:tcPr>
            <w:tcW w:w="960" w:type="dxa"/>
            <w:tcBorders>
              <w:top w:val="nil"/>
              <w:left w:val="single" w:sz="4" w:space="0" w:color="auto"/>
              <w:bottom w:val="nil"/>
              <w:right w:val="nil"/>
            </w:tcBorders>
            <w:shd w:val="clear" w:color="auto" w:fill="auto"/>
            <w:noWrap/>
            <w:vAlign w:val="bottom"/>
            <w:hideMark/>
          </w:tcPr>
          <w:p w14:paraId="2BD912B8"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9</w:t>
            </w:r>
          </w:p>
        </w:tc>
        <w:tc>
          <w:tcPr>
            <w:tcW w:w="3146" w:type="dxa"/>
            <w:tcBorders>
              <w:top w:val="nil"/>
              <w:left w:val="nil"/>
              <w:bottom w:val="nil"/>
              <w:right w:val="single" w:sz="4" w:space="0" w:color="auto"/>
            </w:tcBorders>
            <w:shd w:val="clear" w:color="auto" w:fill="auto"/>
            <w:noWrap/>
            <w:vAlign w:val="bottom"/>
            <w:hideMark/>
          </w:tcPr>
          <w:p w14:paraId="41AFE719"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0.054</w:t>
            </w:r>
          </w:p>
        </w:tc>
      </w:tr>
      <w:tr w:rsidR="00B57837" w:rsidRPr="00B57837" w14:paraId="3FEE1FD1" w14:textId="77777777" w:rsidTr="00B57837">
        <w:trPr>
          <w:trHeight w:val="315"/>
        </w:trPr>
        <w:tc>
          <w:tcPr>
            <w:tcW w:w="960" w:type="dxa"/>
            <w:tcBorders>
              <w:top w:val="nil"/>
              <w:left w:val="single" w:sz="4" w:space="0" w:color="auto"/>
              <w:bottom w:val="single" w:sz="4" w:space="0" w:color="auto"/>
              <w:right w:val="nil"/>
            </w:tcBorders>
            <w:shd w:val="clear" w:color="auto" w:fill="auto"/>
            <w:noWrap/>
            <w:vAlign w:val="bottom"/>
            <w:hideMark/>
          </w:tcPr>
          <w:p w14:paraId="30776605"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10</w:t>
            </w:r>
          </w:p>
        </w:tc>
        <w:tc>
          <w:tcPr>
            <w:tcW w:w="3146" w:type="dxa"/>
            <w:tcBorders>
              <w:top w:val="nil"/>
              <w:left w:val="nil"/>
              <w:bottom w:val="single" w:sz="4" w:space="0" w:color="auto"/>
              <w:right w:val="single" w:sz="4" w:space="0" w:color="auto"/>
            </w:tcBorders>
            <w:shd w:val="clear" w:color="auto" w:fill="auto"/>
            <w:noWrap/>
            <w:vAlign w:val="bottom"/>
            <w:hideMark/>
          </w:tcPr>
          <w:p w14:paraId="6F919AD7" w14:textId="77777777" w:rsidR="00B57837" w:rsidRPr="00B57837" w:rsidRDefault="00B57837" w:rsidP="00B57837">
            <w:pPr>
              <w:spacing w:after="0" w:line="240" w:lineRule="auto"/>
              <w:jc w:val="center"/>
              <w:rPr>
                <w:rFonts w:ascii="Times New Roman" w:eastAsia="Times New Roman" w:hAnsi="Times New Roman" w:cs="Times New Roman"/>
                <w:color w:val="000000"/>
                <w:sz w:val="24"/>
                <w:szCs w:val="24"/>
                <w:lang w:eastAsia="en-GB"/>
              </w:rPr>
            </w:pPr>
            <w:r w:rsidRPr="00B57837">
              <w:rPr>
                <w:rFonts w:ascii="Times New Roman" w:eastAsia="Times New Roman" w:hAnsi="Times New Roman" w:cs="Times New Roman"/>
                <w:color w:val="000000"/>
                <w:sz w:val="24"/>
                <w:szCs w:val="24"/>
                <w:lang w:eastAsia="en-GB"/>
              </w:rPr>
              <w:t>0.055</w:t>
            </w:r>
          </w:p>
        </w:tc>
      </w:tr>
    </w:tbl>
    <w:p w14:paraId="2D477C8E" w14:textId="77777777" w:rsidR="00B57837" w:rsidRDefault="00B57837" w:rsidP="000C396D">
      <w:pPr>
        <w:rPr>
          <w:rFonts w:ascii="Times New Roman" w:hAnsi="Times New Roman" w:cs="Times New Roman"/>
          <w:sz w:val="24"/>
        </w:rPr>
      </w:pPr>
    </w:p>
    <w:p w14:paraId="2A820F15" w14:textId="77777777" w:rsidR="00B57837" w:rsidRPr="002D5368" w:rsidRDefault="00B57837" w:rsidP="000C396D">
      <w:pPr>
        <w:rPr>
          <w:rFonts w:ascii="Times New Roman" w:hAnsi="Times New Roman" w:cs="Times New Roman"/>
          <w:sz w:val="24"/>
        </w:rPr>
      </w:pPr>
    </w:p>
    <w:p w14:paraId="5A8954A5" w14:textId="77777777" w:rsidR="00337A16" w:rsidRDefault="00337A16" w:rsidP="000C396D">
      <w:pPr>
        <w:rPr>
          <w:rFonts w:ascii="Times New Roman" w:hAnsi="Times New Roman" w:cs="Times New Roman"/>
          <w:sz w:val="24"/>
        </w:rPr>
      </w:pPr>
    </w:p>
    <w:p w14:paraId="61812ABC" w14:textId="77777777" w:rsidR="00B57837" w:rsidRDefault="00B57837" w:rsidP="000C396D">
      <w:pPr>
        <w:rPr>
          <w:rFonts w:ascii="Times New Roman" w:hAnsi="Times New Roman" w:cs="Times New Roman"/>
          <w:sz w:val="24"/>
        </w:rPr>
      </w:pPr>
    </w:p>
    <w:p w14:paraId="3351649C" w14:textId="77777777" w:rsidR="00B57837" w:rsidRDefault="00B57837" w:rsidP="000C396D">
      <w:pPr>
        <w:rPr>
          <w:rFonts w:ascii="Times New Roman" w:hAnsi="Times New Roman" w:cs="Times New Roman"/>
          <w:sz w:val="24"/>
        </w:rPr>
      </w:pPr>
    </w:p>
    <w:p w14:paraId="548D873E" w14:textId="77777777" w:rsidR="00B57837" w:rsidRDefault="00B57837" w:rsidP="000C396D">
      <w:pPr>
        <w:rPr>
          <w:rFonts w:ascii="Times New Roman" w:hAnsi="Times New Roman" w:cs="Times New Roman"/>
          <w:sz w:val="24"/>
        </w:rPr>
      </w:pPr>
    </w:p>
    <w:p w14:paraId="548A35CE" w14:textId="77777777" w:rsidR="00F175B3" w:rsidRDefault="00F175B3" w:rsidP="000C396D">
      <w:pPr>
        <w:rPr>
          <w:rFonts w:ascii="Times New Roman" w:hAnsi="Times New Roman" w:cs="Times New Roman"/>
          <w:sz w:val="24"/>
        </w:rPr>
      </w:pPr>
    </w:p>
    <w:p w14:paraId="553F0956" w14:textId="77777777" w:rsidR="00B57837" w:rsidRDefault="00F175B3" w:rsidP="000C396D">
      <w:pPr>
        <w:rPr>
          <w:rFonts w:ascii="Times New Roman" w:hAnsi="Times New Roman" w:cs="Times New Roman"/>
          <w:sz w:val="24"/>
        </w:rPr>
      </w:pPr>
      <w:r w:rsidRPr="00EB6C0D">
        <w:rPr>
          <w:rFonts w:ascii="Gill Sans MT" w:hAnsi="Gill Sans MT"/>
          <w:noProof/>
          <w:lang w:eastAsia="en-GB"/>
        </w:rPr>
        <w:drawing>
          <wp:anchor distT="0" distB="0" distL="114300" distR="114300" simplePos="0" relativeHeight="251660288" behindDoc="0" locked="0" layoutInCell="1" allowOverlap="1" wp14:anchorId="79A9BAA4" wp14:editId="7F6A28C6">
            <wp:simplePos x="0" y="0"/>
            <wp:positionH relativeFrom="margin">
              <wp:posOffset>123825</wp:posOffset>
            </wp:positionH>
            <wp:positionV relativeFrom="page">
              <wp:posOffset>3647440</wp:posOffset>
            </wp:positionV>
            <wp:extent cx="5610225" cy="5187315"/>
            <wp:effectExtent l="0" t="0" r="9525"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0225" cy="5187315"/>
                    </a:xfrm>
                    <a:prstGeom prst="rect">
                      <a:avLst/>
                    </a:prstGeom>
                  </pic:spPr>
                </pic:pic>
              </a:graphicData>
            </a:graphic>
            <wp14:sizeRelH relativeFrom="page">
              <wp14:pctWidth>0</wp14:pctWidth>
            </wp14:sizeRelH>
            <wp14:sizeRelV relativeFrom="page">
              <wp14:pctHeight>0</wp14:pctHeight>
            </wp14:sizeRelV>
          </wp:anchor>
        </w:drawing>
      </w:r>
    </w:p>
    <w:p w14:paraId="6E55F87D" w14:textId="77777777" w:rsidR="00F175B3" w:rsidRDefault="00F175B3" w:rsidP="00D652CA">
      <w:pPr>
        <w:jc w:val="center"/>
        <w:rPr>
          <w:rFonts w:ascii="Times New Roman" w:hAnsi="Times New Roman" w:cs="Times New Roman"/>
          <w:b/>
          <w:sz w:val="24"/>
        </w:rPr>
      </w:pPr>
    </w:p>
    <w:p w14:paraId="732AC1DA" w14:textId="77777777" w:rsidR="00B57837" w:rsidRPr="00D652CA" w:rsidRDefault="00D652CA" w:rsidP="00D652CA">
      <w:pPr>
        <w:jc w:val="center"/>
        <w:rPr>
          <w:rFonts w:ascii="Times New Roman" w:hAnsi="Times New Roman" w:cs="Times New Roman"/>
          <w:sz w:val="24"/>
        </w:rPr>
      </w:pPr>
      <w:r w:rsidRPr="00D652CA">
        <w:rPr>
          <w:rFonts w:ascii="Times New Roman" w:hAnsi="Times New Roman" w:cs="Times New Roman"/>
          <w:b/>
          <w:sz w:val="24"/>
        </w:rPr>
        <w:t>Figure 2.</w:t>
      </w:r>
      <w:r>
        <w:rPr>
          <w:rFonts w:ascii="Times New Roman" w:hAnsi="Times New Roman" w:cs="Times New Roman"/>
          <w:sz w:val="24"/>
        </w:rPr>
        <w:t xml:space="preserve"> Determination of optimal </w:t>
      </w:r>
      <w:r>
        <w:rPr>
          <w:rFonts w:ascii="Times New Roman" w:hAnsi="Times New Roman" w:cs="Times New Roman"/>
          <w:i/>
          <w:sz w:val="24"/>
        </w:rPr>
        <w:t xml:space="preserve">k </w:t>
      </w:r>
      <w:r>
        <w:rPr>
          <w:rFonts w:ascii="Times New Roman" w:hAnsi="Times New Roman" w:cs="Times New Roman"/>
          <w:sz w:val="24"/>
        </w:rPr>
        <w:t>value for Supergroups</w:t>
      </w:r>
    </w:p>
    <w:p w14:paraId="4A5BBE82" w14:textId="77777777" w:rsidR="00796176" w:rsidRDefault="00796176" w:rsidP="000C396D">
      <w:pPr>
        <w:rPr>
          <w:rFonts w:ascii="Times New Roman" w:hAnsi="Times New Roman" w:cs="Times New Roman"/>
          <w:sz w:val="24"/>
        </w:rPr>
      </w:pPr>
    </w:p>
    <w:p w14:paraId="3CA853DF" w14:textId="77777777" w:rsidR="004B2B96" w:rsidRDefault="004B2B96" w:rsidP="000C396D">
      <w:pPr>
        <w:rPr>
          <w:rFonts w:ascii="Times New Roman" w:hAnsi="Times New Roman" w:cs="Times New Roman"/>
          <w:b/>
          <w:sz w:val="28"/>
        </w:rPr>
      </w:pPr>
      <w:r w:rsidRPr="003774FC">
        <w:rPr>
          <w:rFonts w:ascii="Times New Roman" w:hAnsi="Times New Roman" w:cs="Times New Roman"/>
          <w:b/>
          <w:sz w:val="28"/>
        </w:rPr>
        <w:t>3. Retail Centre Typology</w:t>
      </w:r>
    </w:p>
    <w:p w14:paraId="20A67944" w14:textId="77777777" w:rsidR="00FC25B4" w:rsidRPr="00F90476" w:rsidRDefault="00FC25B4" w:rsidP="00D56685">
      <w:pPr>
        <w:jc w:val="both"/>
        <w:rPr>
          <w:rFonts w:ascii="Times New Roman" w:hAnsi="Times New Roman" w:cs="Times New Roman"/>
          <w:sz w:val="24"/>
        </w:rPr>
      </w:pPr>
      <w:r w:rsidRPr="00F90476">
        <w:rPr>
          <w:rFonts w:ascii="Times New Roman" w:hAnsi="Times New Roman" w:cs="Times New Roman"/>
          <w:sz w:val="24"/>
        </w:rPr>
        <w:t>As above, the Retail Centre Typology consisted of four Supe</w:t>
      </w:r>
      <w:r w:rsidR="00F90476">
        <w:rPr>
          <w:rFonts w:ascii="Times New Roman" w:hAnsi="Times New Roman" w:cs="Times New Roman"/>
          <w:sz w:val="24"/>
        </w:rPr>
        <w:t xml:space="preserve">rgroups and eight nested Groups. Examination of variable values within each of the ‘clusters’ or Supergroups/Groups resulted in the creation of Supergroup/Group labels and associated pen portraits summarising their key characteristics. A breakdown </w:t>
      </w:r>
      <w:r w:rsidR="00EF464A">
        <w:rPr>
          <w:rFonts w:ascii="Times New Roman" w:hAnsi="Times New Roman" w:cs="Times New Roman"/>
          <w:sz w:val="24"/>
        </w:rPr>
        <w:t xml:space="preserve">of the Retail Centre Typology can be seen below in Table 3. </w:t>
      </w:r>
    </w:p>
    <w:p w14:paraId="2D86E4B8" w14:textId="77777777" w:rsidR="00FC25B4" w:rsidRPr="003774FC" w:rsidRDefault="00FC25B4" w:rsidP="000C396D">
      <w:pPr>
        <w:rPr>
          <w:rFonts w:ascii="Times New Roman" w:hAnsi="Times New Roman" w:cs="Times New Roman"/>
          <w:b/>
          <w:sz w:val="28"/>
        </w:rPr>
      </w:pPr>
    </w:p>
    <w:p w14:paraId="2B013778" w14:textId="77777777" w:rsidR="00F1620C" w:rsidRPr="00FC25B4" w:rsidRDefault="00FC25B4" w:rsidP="00FC25B4">
      <w:pPr>
        <w:jc w:val="center"/>
        <w:rPr>
          <w:rFonts w:ascii="Times New Roman" w:hAnsi="Times New Roman" w:cs="Times New Roman"/>
          <w:sz w:val="24"/>
        </w:rPr>
      </w:pPr>
      <w:r w:rsidRPr="00EF464A">
        <w:rPr>
          <w:rFonts w:ascii="Times New Roman" w:hAnsi="Times New Roman" w:cs="Times New Roman"/>
          <w:b/>
          <w:sz w:val="24"/>
        </w:rPr>
        <w:t>Table 3.</w:t>
      </w:r>
      <w:r w:rsidRPr="00FC25B4">
        <w:rPr>
          <w:rFonts w:ascii="Times New Roman" w:hAnsi="Times New Roman" w:cs="Times New Roman"/>
          <w:sz w:val="24"/>
        </w:rPr>
        <w:t xml:space="preserve"> Retail Centre Typology</w:t>
      </w:r>
    </w:p>
    <w:tbl>
      <w:tblPr>
        <w:tblW w:w="9634" w:type="dxa"/>
        <w:tblLook w:val="04A0" w:firstRow="1" w:lastRow="0" w:firstColumn="1" w:lastColumn="0" w:noHBand="0" w:noVBand="1"/>
      </w:tblPr>
      <w:tblGrid>
        <w:gridCol w:w="2122"/>
        <w:gridCol w:w="2409"/>
        <w:gridCol w:w="1560"/>
        <w:gridCol w:w="3543"/>
      </w:tblGrid>
      <w:tr w:rsidR="00FC25B4" w:rsidRPr="00FC25B4" w14:paraId="35D53586" w14:textId="77777777" w:rsidTr="00FC25B4">
        <w:trPr>
          <w:trHeight w:val="504"/>
        </w:trPr>
        <w:tc>
          <w:tcPr>
            <w:tcW w:w="2122" w:type="dxa"/>
            <w:tcBorders>
              <w:top w:val="single" w:sz="4" w:space="0" w:color="auto"/>
              <w:left w:val="single" w:sz="4" w:space="0" w:color="auto"/>
              <w:bottom w:val="single" w:sz="4" w:space="0" w:color="auto"/>
              <w:right w:val="nil"/>
            </w:tcBorders>
            <w:shd w:val="clear" w:color="auto" w:fill="auto"/>
            <w:noWrap/>
            <w:vAlign w:val="center"/>
            <w:hideMark/>
          </w:tcPr>
          <w:p w14:paraId="68B9BB27" w14:textId="77777777" w:rsidR="00FC25B4" w:rsidRPr="00FC25B4" w:rsidRDefault="00FC25B4" w:rsidP="00FC25B4">
            <w:pPr>
              <w:spacing w:after="0" w:line="240" w:lineRule="auto"/>
              <w:jc w:val="center"/>
              <w:rPr>
                <w:rFonts w:ascii="Times New Roman" w:eastAsia="Times New Roman" w:hAnsi="Times New Roman" w:cs="Times New Roman"/>
                <w:b/>
                <w:bCs/>
                <w:color w:val="000000"/>
                <w:sz w:val="24"/>
                <w:szCs w:val="24"/>
                <w:lang w:eastAsia="en-GB"/>
              </w:rPr>
            </w:pPr>
            <w:r w:rsidRPr="00FC25B4">
              <w:rPr>
                <w:rFonts w:ascii="Times New Roman" w:eastAsia="Times New Roman" w:hAnsi="Times New Roman" w:cs="Times New Roman"/>
                <w:b/>
                <w:bCs/>
                <w:color w:val="000000"/>
                <w:sz w:val="24"/>
                <w:szCs w:val="24"/>
                <w:lang w:eastAsia="en-GB"/>
              </w:rPr>
              <w:t>Supergroup Code</w:t>
            </w:r>
          </w:p>
        </w:tc>
        <w:tc>
          <w:tcPr>
            <w:tcW w:w="2409" w:type="dxa"/>
            <w:tcBorders>
              <w:top w:val="single" w:sz="4" w:space="0" w:color="auto"/>
              <w:left w:val="nil"/>
              <w:bottom w:val="single" w:sz="4" w:space="0" w:color="auto"/>
              <w:right w:val="nil"/>
            </w:tcBorders>
            <w:shd w:val="clear" w:color="auto" w:fill="auto"/>
            <w:noWrap/>
            <w:vAlign w:val="center"/>
            <w:hideMark/>
          </w:tcPr>
          <w:p w14:paraId="384DA8BA" w14:textId="77777777" w:rsidR="00FC25B4" w:rsidRPr="00FC25B4" w:rsidRDefault="00FC25B4" w:rsidP="00FC25B4">
            <w:pPr>
              <w:spacing w:after="0" w:line="240" w:lineRule="auto"/>
              <w:jc w:val="center"/>
              <w:rPr>
                <w:rFonts w:ascii="Times New Roman" w:eastAsia="Times New Roman" w:hAnsi="Times New Roman" w:cs="Times New Roman"/>
                <w:b/>
                <w:bCs/>
                <w:color w:val="000000"/>
                <w:sz w:val="24"/>
                <w:szCs w:val="24"/>
                <w:lang w:eastAsia="en-GB"/>
              </w:rPr>
            </w:pPr>
            <w:r w:rsidRPr="00FC25B4">
              <w:rPr>
                <w:rFonts w:ascii="Times New Roman" w:eastAsia="Times New Roman" w:hAnsi="Times New Roman" w:cs="Times New Roman"/>
                <w:b/>
                <w:bCs/>
                <w:color w:val="000000"/>
                <w:sz w:val="24"/>
                <w:szCs w:val="24"/>
                <w:lang w:eastAsia="en-GB"/>
              </w:rPr>
              <w:t>Supergroup Name</w:t>
            </w:r>
          </w:p>
        </w:tc>
        <w:tc>
          <w:tcPr>
            <w:tcW w:w="1560" w:type="dxa"/>
            <w:tcBorders>
              <w:top w:val="single" w:sz="4" w:space="0" w:color="auto"/>
              <w:left w:val="nil"/>
              <w:bottom w:val="single" w:sz="4" w:space="0" w:color="auto"/>
              <w:right w:val="nil"/>
            </w:tcBorders>
            <w:shd w:val="clear" w:color="auto" w:fill="auto"/>
            <w:noWrap/>
            <w:vAlign w:val="center"/>
            <w:hideMark/>
          </w:tcPr>
          <w:p w14:paraId="164EAE15" w14:textId="77777777" w:rsidR="00FC25B4" w:rsidRPr="00FC25B4" w:rsidRDefault="00FC25B4" w:rsidP="00FC25B4">
            <w:pPr>
              <w:spacing w:after="0" w:line="240" w:lineRule="auto"/>
              <w:jc w:val="center"/>
              <w:rPr>
                <w:rFonts w:ascii="Times New Roman" w:eastAsia="Times New Roman" w:hAnsi="Times New Roman" w:cs="Times New Roman"/>
                <w:b/>
                <w:bCs/>
                <w:color w:val="000000"/>
                <w:sz w:val="24"/>
                <w:szCs w:val="24"/>
                <w:lang w:eastAsia="en-GB"/>
              </w:rPr>
            </w:pPr>
            <w:r w:rsidRPr="00FC25B4">
              <w:rPr>
                <w:rFonts w:ascii="Times New Roman" w:eastAsia="Times New Roman" w:hAnsi="Times New Roman" w:cs="Times New Roman"/>
                <w:b/>
                <w:bCs/>
                <w:color w:val="000000"/>
                <w:sz w:val="24"/>
                <w:szCs w:val="24"/>
                <w:lang w:eastAsia="en-GB"/>
              </w:rPr>
              <w:t>Group Code</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63790C2E" w14:textId="77777777" w:rsidR="00FC25B4" w:rsidRPr="00FC25B4" w:rsidRDefault="00FC25B4" w:rsidP="00FC25B4">
            <w:pPr>
              <w:spacing w:after="0" w:line="240" w:lineRule="auto"/>
              <w:jc w:val="center"/>
              <w:rPr>
                <w:rFonts w:ascii="Times New Roman" w:eastAsia="Times New Roman" w:hAnsi="Times New Roman" w:cs="Times New Roman"/>
                <w:b/>
                <w:bCs/>
                <w:color w:val="000000"/>
                <w:sz w:val="24"/>
                <w:szCs w:val="24"/>
                <w:lang w:eastAsia="en-GB"/>
              </w:rPr>
            </w:pPr>
            <w:r w:rsidRPr="00FC25B4">
              <w:rPr>
                <w:rFonts w:ascii="Times New Roman" w:eastAsia="Times New Roman" w:hAnsi="Times New Roman" w:cs="Times New Roman"/>
                <w:b/>
                <w:bCs/>
                <w:color w:val="000000"/>
                <w:sz w:val="24"/>
                <w:szCs w:val="24"/>
                <w:lang w:eastAsia="en-GB"/>
              </w:rPr>
              <w:t>Group Name</w:t>
            </w:r>
          </w:p>
        </w:tc>
      </w:tr>
      <w:tr w:rsidR="00FC25B4" w:rsidRPr="00FC25B4" w14:paraId="5BC92BDC" w14:textId="77777777" w:rsidTr="00FC25B4">
        <w:trPr>
          <w:trHeight w:val="600"/>
        </w:trPr>
        <w:tc>
          <w:tcPr>
            <w:tcW w:w="2122" w:type="dxa"/>
            <w:vMerge w:val="restart"/>
            <w:tcBorders>
              <w:top w:val="nil"/>
              <w:left w:val="single" w:sz="4" w:space="0" w:color="auto"/>
              <w:bottom w:val="single" w:sz="4" w:space="0" w:color="000000"/>
              <w:right w:val="nil"/>
            </w:tcBorders>
            <w:shd w:val="clear" w:color="auto" w:fill="auto"/>
            <w:noWrap/>
            <w:vAlign w:val="center"/>
            <w:hideMark/>
          </w:tcPr>
          <w:p w14:paraId="4F733656"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1.</w:t>
            </w:r>
          </w:p>
        </w:tc>
        <w:tc>
          <w:tcPr>
            <w:tcW w:w="2409" w:type="dxa"/>
            <w:vMerge w:val="restart"/>
            <w:tcBorders>
              <w:top w:val="nil"/>
              <w:left w:val="nil"/>
              <w:bottom w:val="single" w:sz="4" w:space="0" w:color="000000"/>
              <w:right w:val="nil"/>
            </w:tcBorders>
            <w:shd w:val="clear" w:color="auto" w:fill="auto"/>
            <w:vAlign w:val="center"/>
            <w:hideMark/>
          </w:tcPr>
          <w:p w14:paraId="11F86739"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 xml:space="preserve">Local </w:t>
            </w:r>
            <w:r w:rsidRPr="00FC25B4">
              <w:rPr>
                <w:rFonts w:ascii="Times New Roman" w:eastAsia="Times New Roman" w:hAnsi="Times New Roman" w:cs="Times New Roman"/>
                <w:iCs/>
                <w:color w:val="000000"/>
                <w:sz w:val="24"/>
                <w:szCs w:val="24"/>
                <w:lang w:eastAsia="en-GB"/>
              </w:rPr>
              <w:t>'everyday'</w:t>
            </w:r>
            <w:r w:rsidRPr="00FC25B4">
              <w:rPr>
                <w:rFonts w:ascii="Times New Roman" w:eastAsia="Times New Roman" w:hAnsi="Times New Roman" w:cs="Times New Roman"/>
                <w:color w:val="000000"/>
                <w:sz w:val="24"/>
                <w:szCs w:val="24"/>
                <w:lang w:eastAsia="en-GB"/>
              </w:rPr>
              <w:t xml:space="preserve"> goods and service centres</w:t>
            </w:r>
          </w:p>
        </w:tc>
        <w:tc>
          <w:tcPr>
            <w:tcW w:w="1560" w:type="dxa"/>
            <w:tcBorders>
              <w:top w:val="nil"/>
              <w:left w:val="nil"/>
              <w:bottom w:val="nil"/>
              <w:right w:val="nil"/>
            </w:tcBorders>
            <w:shd w:val="clear" w:color="auto" w:fill="auto"/>
            <w:noWrap/>
            <w:vAlign w:val="center"/>
            <w:hideMark/>
          </w:tcPr>
          <w:p w14:paraId="019CB15B"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1.1.</w:t>
            </w:r>
          </w:p>
        </w:tc>
        <w:tc>
          <w:tcPr>
            <w:tcW w:w="3543" w:type="dxa"/>
            <w:tcBorders>
              <w:top w:val="nil"/>
              <w:left w:val="nil"/>
              <w:bottom w:val="nil"/>
              <w:right w:val="single" w:sz="4" w:space="0" w:color="auto"/>
            </w:tcBorders>
            <w:shd w:val="clear" w:color="auto" w:fill="auto"/>
            <w:vAlign w:val="center"/>
            <w:hideMark/>
          </w:tcPr>
          <w:p w14:paraId="734C93A6"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Local urban convenience centres</w:t>
            </w:r>
          </w:p>
        </w:tc>
      </w:tr>
      <w:tr w:rsidR="00FC25B4" w:rsidRPr="00FC25B4" w14:paraId="64F09EA6" w14:textId="77777777" w:rsidTr="00FC25B4">
        <w:trPr>
          <w:trHeight w:val="600"/>
        </w:trPr>
        <w:tc>
          <w:tcPr>
            <w:tcW w:w="2122" w:type="dxa"/>
            <w:vMerge/>
            <w:tcBorders>
              <w:top w:val="nil"/>
              <w:left w:val="single" w:sz="4" w:space="0" w:color="auto"/>
              <w:bottom w:val="single" w:sz="4" w:space="0" w:color="000000"/>
              <w:right w:val="nil"/>
            </w:tcBorders>
            <w:vAlign w:val="center"/>
            <w:hideMark/>
          </w:tcPr>
          <w:p w14:paraId="4FA47328"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p>
        </w:tc>
        <w:tc>
          <w:tcPr>
            <w:tcW w:w="2409" w:type="dxa"/>
            <w:vMerge/>
            <w:tcBorders>
              <w:top w:val="nil"/>
              <w:left w:val="nil"/>
              <w:bottom w:val="single" w:sz="4" w:space="0" w:color="000000"/>
              <w:right w:val="nil"/>
            </w:tcBorders>
            <w:vAlign w:val="center"/>
            <w:hideMark/>
          </w:tcPr>
          <w:p w14:paraId="72E2B65F"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p>
        </w:tc>
        <w:tc>
          <w:tcPr>
            <w:tcW w:w="1560" w:type="dxa"/>
            <w:tcBorders>
              <w:top w:val="nil"/>
              <w:left w:val="nil"/>
              <w:bottom w:val="single" w:sz="4" w:space="0" w:color="auto"/>
              <w:right w:val="nil"/>
            </w:tcBorders>
            <w:shd w:val="clear" w:color="auto" w:fill="auto"/>
            <w:noWrap/>
            <w:vAlign w:val="center"/>
            <w:hideMark/>
          </w:tcPr>
          <w:p w14:paraId="7E7B497A"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1.2.</w:t>
            </w:r>
          </w:p>
        </w:tc>
        <w:tc>
          <w:tcPr>
            <w:tcW w:w="3543" w:type="dxa"/>
            <w:tcBorders>
              <w:top w:val="nil"/>
              <w:left w:val="nil"/>
              <w:bottom w:val="single" w:sz="4" w:space="0" w:color="auto"/>
              <w:right w:val="single" w:sz="4" w:space="0" w:color="auto"/>
            </w:tcBorders>
            <w:shd w:val="clear" w:color="auto" w:fill="auto"/>
            <w:vAlign w:val="center"/>
            <w:hideMark/>
          </w:tcPr>
          <w:p w14:paraId="5ABECDF9" w14:textId="5BA39281"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District</w:t>
            </w:r>
            <w:r w:rsidR="00090D56">
              <w:rPr>
                <w:rFonts w:ascii="Times New Roman" w:eastAsia="Times New Roman" w:hAnsi="Times New Roman" w:cs="Times New Roman"/>
                <w:color w:val="000000"/>
                <w:sz w:val="24"/>
                <w:szCs w:val="24"/>
                <w:lang w:eastAsia="en-GB"/>
              </w:rPr>
              <w:t xml:space="preserve"> and</w:t>
            </w:r>
            <w:r w:rsidRPr="00FC25B4">
              <w:rPr>
                <w:rFonts w:ascii="Times New Roman" w:eastAsia="Times New Roman" w:hAnsi="Times New Roman" w:cs="Times New Roman"/>
                <w:color w:val="000000"/>
                <w:sz w:val="24"/>
                <w:szCs w:val="24"/>
                <w:lang w:eastAsia="en-GB"/>
              </w:rPr>
              <w:t xml:space="preserve"> urban service centres</w:t>
            </w:r>
          </w:p>
        </w:tc>
      </w:tr>
      <w:tr w:rsidR="00FC25B4" w:rsidRPr="00FC25B4" w14:paraId="3739280E" w14:textId="77777777" w:rsidTr="00FC25B4">
        <w:trPr>
          <w:trHeight w:val="900"/>
        </w:trPr>
        <w:tc>
          <w:tcPr>
            <w:tcW w:w="2122" w:type="dxa"/>
            <w:vMerge w:val="restart"/>
            <w:tcBorders>
              <w:top w:val="nil"/>
              <w:left w:val="single" w:sz="4" w:space="0" w:color="auto"/>
              <w:bottom w:val="single" w:sz="4" w:space="0" w:color="000000"/>
              <w:right w:val="nil"/>
            </w:tcBorders>
            <w:shd w:val="clear" w:color="auto" w:fill="auto"/>
            <w:noWrap/>
            <w:vAlign w:val="center"/>
            <w:hideMark/>
          </w:tcPr>
          <w:p w14:paraId="7E03344C"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2.</w:t>
            </w:r>
          </w:p>
        </w:tc>
        <w:tc>
          <w:tcPr>
            <w:tcW w:w="2409" w:type="dxa"/>
            <w:vMerge w:val="restart"/>
            <w:tcBorders>
              <w:top w:val="nil"/>
              <w:left w:val="nil"/>
              <w:bottom w:val="single" w:sz="4" w:space="0" w:color="000000"/>
              <w:right w:val="nil"/>
            </w:tcBorders>
            <w:shd w:val="clear" w:color="auto" w:fill="auto"/>
            <w:vAlign w:val="center"/>
            <w:hideMark/>
          </w:tcPr>
          <w:p w14:paraId="5BFA3A53"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Retail and shopping parks</w:t>
            </w:r>
          </w:p>
        </w:tc>
        <w:tc>
          <w:tcPr>
            <w:tcW w:w="1560" w:type="dxa"/>
            <w:tcBorders>
              <w:top w:val="nil"/>
              <w:left w:val="nil"/>
              <w:bottom w:val="nil"/>
              <w:right w:val="nil"/>
            </w:tcBorders>
            <w:shd w:val="clear" w:color="auto" w:fill="auto"/>
            <w:noWrap/>
            <w:vAlign w:val="center"/>
            <w:hideMark/>
          </w:tcPr>
          <w:p w14:paraId="299C5F97"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2.1.</w:t>
            </w:r>
          </w:p>
        </w:tc>
        <w:tc>
          <w:tcPr>
            <w:tcW w:w="3543" w:type="dxa"/>
            <w:tcBorders>
              <w:top w:val="nil"/>
              <w:left w:val="nil"/>
              <w:bottom w:val="nil"/>
              <w:right w:val="single" w:sz="4" w:space="0" w:color="auto"/>
            </w:tcBorders>
            <w:shd w:val="clear" w:color="auto" w:fill="auto"/>
            <w:vAlign w:val="center"/>
            <w:hideMark/>
          </w:tcPr>
          <w:p w14:paraId="6F0BEABC"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Primary shopping centres and premium destinations</w:t>
            </w:r>
          </w:p>
        </w:tc>
      </w:tr>
      <w:tr w:rsidR="00FC25B4" w:rsidRPr="00FC25B4" w14:paraId="4AB85EEB" w14:textId="77777777" w:rsidTr="00FC25B4">
        <w:trPr>
          <w:trHeight w:val="600"/>
        </w:trPr>
        <w:tc>
          <w:tcPr>
            <w:tcW w:w="2122" w:type="dxa"/>
            <w:vMerge/>
            <w:tcBorders>
              <w:top w:val="nil"/>
              <w:left w:val="single" w:sz="4" w:space="0" w:color="auto"/>
              <w:bottom w:val="single" w:sz="4" w:space="0" w:color="000000"/>
              <w:right w:val="nil"/>
            </w:tcBorders>
            <w:vAlign w:val="center"/>
            <w:hideMark/>
          </w:tcPr>
          <w:p w14:paraId="26C2815F"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p>
        </w:tc>
        <w:tc>
          <w:tcPr>
            <w:tcW w:w="2409" w:type="dxa"/>
            <w:vMerge/>
            <w:tcBorders>
              <w:top w:val="nil"/>
              <w:left w:val="nil"/>
              <w:bottom w:val="single" w:sz="4" w:space="0" w:color="000000"/>
              <w:right w:val="nil"/>
            </w:tcBorders>
            <w:vAlign w:val="center"/>
            <w:hideMark/>
          </w:tcPr>
          <w:p w14:paraId="0EE9DCA7"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p>
        </w:tc>
        <w:tc>
          <w:tcPr>
            <w:tcW w:w="1560" w:type="dxa"/>
            <w:tcBorders>
              <w:top w:val="nil"/>
              <w:left w:val="nil"/>
              <w:bottom w:val="single" w:sz="4" w:space="0" w:color="auto"/>
              <w:right w:val="nil"/>
            </w:tcBorders>
            <w:shd w:val="clear" w:color="auto" w:fill="auto"/>
            <w:noWrap/>
            <w:vAlign w:val="center"/>
            <w:hideMark/>
          </w:tcPr>
          <w:p w14:paraId="3CC29C8E"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2.2.</w:t>
            </w:r>
          </w:p>
        </w:tc>
        <w:tc>
          <w:tcPr>
            <w:tcW w:w="3543" w:type="dxa"/>
            <w:tcBorders>
              <w:top w:val="nil"/>
              <w:left w:val="nil"/>
              <w:bottom w:val="single" w:sz="4" w:space="0" w:color="auto"/>
              <w:right w:val="single" w:sz="4" w:space="0" w:color="auto"/>
            </w:tcBorders>
            <w:shd w:val="clear" w:color="auto" w:fill="auto"/>
            <w:vAlign w:val="center"/>
            <w:hideMark/>
          </w:tcPr>
          <w:p w14:paraId="10FCBBAC"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Secondary retail parks and shopping centres</w:t>
            </w:r>
          </w:p>
        </w:tc>
      </w:tr>
      <w:tr w:rsidR="00FC25B4" w:rsidRPr="00FC25B4" w14:paraId="5ED6C348" w14:textId="77777777" w:rsidTr="00FC25B4">
        <w:trPr>
          <w:trHeight w:val="600"/>
        </w:trPr>
        <w:tc>
          <w:tcPr>
            <w:tcW w:w="2122" w:type="dxa"/>
            <w:vMerge w:val="restart"/>
            <w:tcBorders>
              <w:top w:val="nil"/>
              <w:left w:val="single" w:sz="4" w:space="0" w:color="auto"/>
              <w:bottom w:val="single" w:sz="4" w:space="0" w:color="000000"/>
              <w:right w:val="nil"/>
            </w:tcBorders>
            <w:shd w:val="clear" w:color="auto" w:fill="auto"/>
            <w:noWrap/>
            <w:vAlign w:val="center"/>
            <w:hideMark/>
          </w:tcPr>
          <w:p w14:paraId="1E1E485F"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3.</w:t>
            </w:r>
          </w:p>
        </w:tc>
        <w:tc>
          <w:tcPr>
            <w:tcW w:w="2409" w:type="dxa"/>
            <w:vMerge w:val="restart"/>
            <w:tcBorders>
              <w:top w:val="nil"/>
              <w:left w:val="nil"/>
              <w:bottom w:val="single" w:sz="4" w:space="0" w:color="000000"/>
              <w:right w:val="nil"/>
            </w:tcBorders>
            <w:shd w:val="clear" w:color="auto" w:fill="auto"/>
            <w:vAlign w:val="center"/>
            <w:hideMark/>
          </w:tcPr>
          <w:p w14:paraId="0ACB26AD"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Leading comparison and leisure destinations</w:t>
            </w:r>
          </w:p>
        </w:tc>
        <w:tc>
          <w:tcPr>
            <w:tcW w:w="1560" w:type="dxa"/>
            <w:tcBorders>
              <w:top w:val="nil"/>
              <w:left w:val="nil"/>
              <w:bottom w:val="nil"/>
              <w:right w:val="nil"/>
            </w:tcBorders>
            <w:shd w:val="clear" w:color="auto" w:fill="auto"/>
            <w:noWrap/>
            <w:vAlign w:val="center"/>
            <w:hideMark/>
          </w:tcPr>
          <w:p w14:paraId="2E977D3C"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3.1.</w:t>
            </w:r>
          </w:p>
        </w:tc>
        <w:tc>
          <w:tcPr>
            <w:tcW w:w="3543" w:type="dxa"/>
            <w:tcBorders>
              <w:top w:val="nil"/>
              <w:left w:val="nil"/>
              <w:bottom w:val="nil"/>
              <w:right w:val="single" w:sz="4" w:space="0" w:color="auto"/>
            </w:tcBorders>
            <w:shd w:val="clear" w:color="auto" w:fill="auto"/>
            <w:vAlign w:val="center"/>
            <w:hideMark/>
          </w:tcPr>
          <w:p w14:paraId="04AC3E18"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Large regional retail and leisure destinations</w:t>
            </w:r>
          </w:p>
        </w:tc>
      </w:tr>
      <w:tr w:rsidR="00FC25B4" w:rsidRPr="00FC25B4" w14:paraId="11A6F691" w14:textId="77777777" w:rsidTr="00FC25B4">
        <w:trPr>
          <w:trHeight w:val="600"/>
        </w:trPr>
        <w:tc>
          <w:tcPr>
            <w:tcW w:w="2122" w:type="dxa"/>
            <w:vMerge/>
            <w:tcBorders>
              <w:top w:val="nil"/>
              <w:left w:val="single" w:sz="4" w:space="0" w:color="auto"/>
              <w:bottom w:val="single" w:sz="4" w:space="0" w:color="000000"/>
              <w:right w:val="nil"/>
            </w:tcBorders>
            <w:vAlign w:val="center"/>
            <w:hideMark/>
          </w:tcPr>
          <w:p w14:paraId="700E9392"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p>
        </w:tc>
        <w:tc>
          <w:tcPr>
            <w:tcW w:w="2409" w:type="dxa"/>
            <w:vMerge/>
            <w:tcBorders>
              <w:top w:val="nil"/>
              <w:left w:val="nil"/>
              <w:bottom w:val="single" w:sz="4" w:space="0" w:color="000000"/>
              <w:right w:val="nil"/>
            </w:tcBorders>
            <w:vAlign w:val="center"/>
            <w:hideMark/>
          </w:tcPr>
          <w:p w14:paraId="7A402FE3"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p>
        </w:tc>
        <w:tc>
          <w:tcPr>
            <w:tcW w:w="1560" w:type="dxa"/>
            <w:tcBorders>
              <w:top w:val="nil"/>
              <w:left w:val="nil"/>
              <w:bottom w:val="single" w:sz="4" w:space="0" w:color="auto"/>
              <w:right w:val="nil"/>
            </w:tcBorders>
            <w:shd w:val="clear" w:color="auto" w:fill="auto"/>
            <w:noWrap/>
            <w:vAlign w:val="center"/>
            <w:hideMark/>
          </w:tcPr>
          <w:p w14:paraId="0B7A0E61"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3.2.</w:t>
            </w:r>
          </w:p>
        </w:tc>
        <w:tc>
          <w:tcPr>
            <w:tcW w:w="3543" w:type="dxa"/>
            <w:tcBorders>
              <w:top w:val="nil"/>
              <w:left w:val="nil"/>
              <w:bottom w:val="single" w:sz="4" w:space="0" w:color="auto"/>
              <w:right w:val="single" w:sz="4" w:space="0" w:color="auto"/>
            </w:tcBorders>
            <w:shd w:val="clear" w:color="auto" w:fill="auto"/>
            <w:vAlign w:val="center"/>
            <w:hideMark/>
          </w:tcPr>
          <w:p w14:paraId="64865CE7"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Sub-regional retail and leisure destinations</w:t>
            </w:r>
          </w:p>
        </w:tc>
      </w:tr>
      <w:tr w:rsidR="00FC25B4" w:rsidRPr="00FC25B4" w14:paraId="503EE11F" w14:textId="77777777" w:rsidTr="00FC25B4">
        <w:trPr>
          <w:trHeight w:val="600"/>
        </w:trPr>
        <w:tc>
          <w:tcPr>
            <w:tcW w:w="2122" w:type="dxa"/>
            <w:vMerge w:val="restart"/>
            <w:tcBorders>
              <w:top w:val="nil"/>
              <w:left w:val="single" w:sz="4" w:space="0" w:color="auto"/>
              <w:bottom w:val="single" w:sz="4" w:space="0" w:color="000000"/>
              <w:right w:val="nil"/>
            </w:tcBorders>
            <w:shd w:val="clear" w:color="auto" w:fill="auto"/>
            <w:noWrap/>
            <w:vAlign w:val="center"/>
            <w:hideMark/>
          </w:tcPr>
          <w:p w14:paraId="4D4DDAB0"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4.</w:t>
            </w:r>
          </w:p>
        </w:tc>
        <w:tc>
          <w:tcPr>
            <w:tcW w:w="2409" w:type="dxa"/>
            <w:vMerge w:val="restart"/>
            <w:tcBorders>
              <w:top w:val="nil"/>
              <w:left w:val="nil"/>
              <w:bottom w:val="single" w:sz="4" w:space="0" w:color="000000"/>
              <w:right w:val="nil"/>
            </w:tcBorders>
            <w:shd w:val="clear" w:color="auto" w:fill="auto"/>
            <w:vAlign w:val="center"/>
            <w:hideMark/>
          </w:tcPr>
          <w:p w14:paraId="3ECB6CC0" w14:textId="77777777"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Traditional high streets and market towns</w:t>
            </w:r>
          </w:p>
        </w:tc>
        <w:tc>
          <w:tcPr>
            <w:tcW w:w="1560" w:type="dxa"/>
            <w:tcBorders>
              <w:top w:val="nil"/>
              <w:left w:val="nil"/>
              <w:bottom w:val="nil"/>
              <w:right w:val="nil"/>
            </w:tcBorders>
            <w:shd w:val="clear" w:color="auto" w:fill="auto"/>
            <w:noWrap/>
            <w:vAlign w:val="center"/>
            <w:hideMark/>
          </w:tcPr>
          <w:p w14:paraId="1D17E149"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4.1.</w:t>
            </w:r>
          </w:p>
        </w:tc>
        <w:tc>
          <w:tcPr>
            <w:tcW w:w="3543" w:type="dxa"/>
            <w:tcBorders>
              <w:top w:val="nil"/>
              <w:left w:val="nil"/>
              <w:bottom w:val="nil"/>
              <w:right w:val="single" w:sz="4" w:space="0" w:color="auto"/>
            </w:tcBorders>
            <w:shd w:val="clear" w:color="auto" w:fill="auto"/>
            <w:vAlign w:val="center"/>
            <w:hideMark/>
          </w:tcPr>
          <w:p w14:paraId="382A77B3" w14:textId="6F2CCAAB"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 xml:space="preserve">Mass and value </w:t>
            </w:r>
            <w:r w:rsidR="00090D56">
              <w:rPr>
                <w:rFonts w:ascii="Times New Roman" w:eastAsia="Times New Roman" w:hAnsi="Times New Roman" w:cs="Times New Roman"/>
                <w:color w:val="000000"/>
                <w:sz w:val="24"/>
                <w:szCs w:val="24"/>
                <w:lang w:eastAsia="en-GB"/>
              </w:rPr>
              <w:t xml:space="preserve">traditional </w:t>
            </w:r>
            <w:r w:rsidRPr="00FC25B4">
              <w:rPr>
                <w:rFonts w:ascii="Times New Roman" w:eastAsia="Times New Roman" w:hAnsi="Times New Roman" w:cs="Times New Roman"/>
                <w:color w:val="000000"/>
                <w:sz w:val="24"/>
                <w:szCs w:val="24"/>
                <w:lang w:eastAsia="en-GB"/>
              </w:rPr>
              <w:t>high streets</w:t>
            </w:r>
          </w:p>
        </w:tc>
      </w:tr>
      <w:tr w:rsidR="00FC25B4" w:rsidRPr="00FC25B4" w14:paraId="5CD01FF2" w14:textId="77777777" w:rsidTr="00FC25B4">
        <w:trPr>
          <w:trHeight w:val="300"/>
        </w:trPr>
        <w:tc>
          <w:tcPr>
            <w:tcW w:w="2122" w:type="dxa"/>
            <w:vMerge/>
            <w:tcBorders>
              <w:top w:val="nil"/>
              <w:left w:val="single" w:sz="4" w:space="0" w:color="auto"/>
              <w:bottom w:val="single" w:sz="4" w:space="0" w:color="000000"/>
              <w:right w:val="nil"/>
            </w:tcBorders>
            <w:vAlign w:val="center"/>
            <w:hideMark/>
          </w:tcPr>
          <w:p w14:paraId="174F4CF6"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p>
        </w:tc>
        <w:tc>
          <w:tcPr>
            <w:tcW w:w="2409" w:type="dxa"/>
            <w:vMerge/>
            <w:tcBorders>
              <w:top w:val="nil"/>
              <w:left w:val="nil"/>
              <w:bottom w:val="single" w:sz="4" w:space="0" w:color="000000"/>
              <w:right w:val="nil"/>
            </w:tcBorders>
            <w:vAlign w:val="center"/>
            <w:hideMark/>
          </w:tcPr>
          <w:p w14:paraId="58484605"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p>
        </w:tc>
        <w:tc>
          <w:tcPr>
            <w:tcW w:w="1560" w:type="dxa"/>
            <w:tcBorders>
              <w:top w:val="nil"/>
              <w:left w:val="nil"/>
              <w:bottom w:val="single" w:sz="4" w:space="0" w:color="auto"/>
              <w:right w:val="nil"/>
            </w:tcBorders>
            <w:shd w:val="clear" w:color="auto" w:fill="auto"/>
            <w:noWrap/>
            <w:vAlign w:val="center"/>
            <w:hideMark/>
          </w:tcPr>
          <w:p w14:paraId="67B300AF" w14:textId="77777777" w:rsidR="00FC25B4" w:rsidRPr="00FC25B4" w:rsidRDefault="00FC25B4" w:rsidP="00FC25B4">
            <w:pPr>
              <w:spacing w:after="0" w:line="240" w:lineRule="auto"/>
              <w:jc w:val="center"/>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4.2.</w:t>
            </w:r>
          </w:p>
        </w:tc>
        <w:tc>
          <w:tcPr>
            <w:tcW w:w="3543" w:type="dxa"/>
            <w:tcBorders>
              <w:top w:val="nil"/>
              <w:left w:val="nil"/>
              <w:bottom w:val="single" w:sz="4" w:space="0" w:color="auto"/>
              <w:right w:val="single" w:sz="4" w:space="0" w:color="auto"/>
            </w:tcBorders>
            <w:shd w:val="clear" w:color="auto" w:fill="auto"/>
            <w:vAlign w:val="center"/>
            <w:hideMark/>
          </w:tcPr>
          <w:p w14:paraId="592E35BB" w14:textId="21DBFE4E" w:rsidR="00FC25B4" w:rsidRPr="00FC25B4" w:rsidRDefault="00FC25B4" w:rsidP="00FC25B4">
            <w:pPr>
              <w:spacing w:after="0" w:line="240" w:lineRule="auto"/>
              <w:rPr>
                <w:rFonts w:ascii="Times New Roman" w:eastAsia="Times New Roman" w:hAnsi="Times New Roman" w:cs="Times New Roman"/>
                <w:color w:val="000000"/>
                <w:sz w:val="24"/>
                <w:szCs w:val="24"/>
                <w:lang w:eastAsia="en-GB"/>
              </w:rPr>
            </w:pPr>
            <w:r w:rsidRPr="00FC25B4">
              <w:rPr>
                <w:rFonts w:ascii="Times New Roman" w:eastAsia="Times New Roman" w:hAnsi="Times New Roman" w:cs="Times New Roman"/>
                <w:color w:val="000000"/>
                <w:sz w:val="24"/>
                <w:szCs w:val="24"/>
                <w:lang w:eastAsia="en-GB"/>
              </w:rPr>
              <w:t>'</w:t>
            </w:r>
            <w:r w:rsidRPr="00FC25B4">
              <w:rPr>
                <w:rFonts w:ascii="Times New Roman" w:eastAsia="Times New Roman" w:hAnsi="Times New Roman" w:cs="Times New Roman"/>
                <w:iCs/>
                <w:color w:val="000000"/>
                <w:sz w:val="24"/>
                <w:szCs w:val="24"/>
                <w:lang w:eastAsia="en-GB"/>
              </w:rPr>
              <w:t>Indie'</w:t>
            </w:r>
            <w:r w:rsidR="00090D56">
              <w:rPr>
                <w:rFonts w:ascii="Times New Roman" w:eastAsia="Times New Roman" w:hAnsi="Times New Roman" w:cs="Times New Roman"/>
                <w:iCs/>
                <w:color w:val="000000"/>
                <w:sz w:val="24"/>
                <w:szCs w:val="24"/>
                <w:lang w:eastAsia="en-GB"/>
              </w:rPr>
              <w:t xml:space="preserve"> traditional</w:t>
            </w:r>
            <w:r w:rsidRPr="00FC25B4">
              <w:rPr>
                <w:rFonts w:ascii="Times New Roman" w:eastAsia="Times New Roman" w:hAnsi="Times New Roman" w:cs="Times New Roman"/>
                <w:i/>
                <w:iCs/>
                <w:color w:val="000000"/>
                <w:sz w:val="24"/>
                <w:szCs w:val="24"/>
                <w:lang w:eastAsia="en-GB"/>
              </w:rPr>
              <w:t xml:space="preserve"> </w:t>
            </w:r>
            <w:r w:rsidRPr="00FC25B4">
              <w:rPr>
                <w:rFonts w:ascii="Times New Roman" w:eastAsia="Times New Roman" w:hAnsi="Times New Roman" w:cs="Times New Roman"/>
                <w:color w:val="000000"/>
                <w:sz w:val="24"/>
                <w:szCs w:val="24"/>
                <w:lang w:eastAsia="en-GB"/>
              </w:rPr>
              <w:t>high streets</w:t>
            </w:r>
          </w:p>
        </w:tc>
      </w:tr>
    </w:tbl>
    <w:p w14:paraId="37667F06" w14:textId="77777777" w:rsidR="00F1620C" w:rsidRDefault="00F1620C" w:rsidP="000F236E">
      <w:pPr>
        <w:rPr>
          <w:rFonts w:ascii="Times New Roman" w:hAnsi="Times New Roman" w:cs="Times New Roman"/>
          <w:b/>
          <w:sz w:val="28"/>
        </w:rPr>
      </w:pPr>
    </w:p>
    <w:p w14:paraId="7223E989" w14:textId="77777777" w:rsidR="00F1620C" w:rsidRDefault="00F1620C" w:rsidP="000F236E">
      <w:pPr>
        <w:rPr>
          <w:rFonts w:ascii="Times New Roman" w:hAnsi="Times New Roman" w:cs="Times New Roman"/>
          <w:b/>
          <w:sz w:val="28"/>
        </w:rPr>
      </w:pPr>
    </w:p>
    <w:p w14:paraId="66C31D3C" w14:textId="77777777" w:rsidR="00F1620C" w:rsidRDefault="00D56685" w:rsidP="000F236E">
      <w:pPr>
        <w:rPr>
          <w:rFonts w:ascii="Times New Roman" w:hAnsi="Times New Roman" w:cs="Times New Roman"/>
          <w:sz w:val="24"/>
          <w:szCs w:val="24"/>
        </w:rPr>
      </w:pPr>
      <w:r w:rsidRPr="00D56685">
        <w:rPr>
          <w:rFonts w:ascii="Times New Roman" w:hAnsi="Times New Roman" w:cs="Times New Roman"/>
          <w:b/>
          <w:sz w:val="24"/>
          <w:szCs w:val="24"/>
        </w:rPr>
        <w:t xml:space="preserve">3.1 Supergroup 1 – </w:t>
      </w:r>
      <w:r w:rsidRPr="00D56685">
        <w:rPr>
          <w:rFonts w:ascii="Times New Roman" w:hAnsi="Times New Roman" w:cs="Times New Roman"/>
          <w:sz w:val="24"/>
          <w:szCs w:val="24"/>
        </w:rPr>
        <w:t xml:space="preserve">Local </w:t>
      </w:r>
      <w:r w:rsidRPr="00D56685">
        <w:rPr>
          <w:rFonts w:ascii="Times New Roman" w:hAnsi="Times New Roman" w:cs="Times New Roman"/>
          <w:i/>
          <w:sz w:val="24"/>
          <w:szCs w:val="24"/>
        </w:rPr>
        <w:t>‘</w:t>
      </w:r>
      <w:r w:rsidRPr="00D56685">
        <w:rPr>
          <w:rFonts w:ascii="Times New Roman" w:hAnsi="Times New Roman" w:cs="Times New Roman"/>
          <w:sz w:val="24"/>
          <w:szCs w:val="24"/>
        </w:rPr>
        <w:t>everyday</w:t>
      </w:r>
      <w:r w:rsidRPr="00D56685">
        <w:rPr>
          <w:rFonts w:ascii="Times New Roman" w:hAnsi="Times New Roman" w:cs="Times New Roman"/>
          <w:i/>
          <w:sz w:val="24"/>
          <w:szCs w:val="24"/>
        </w:rPr>
        <w:t xml:space="preserve">’ </w:t>
      </w:r>
      <w:r w:rsidRPr="00D56685">
        <w:rPr>
          <w:rFonts w:ascii="Times New Roman" w:hAnsi="Times New Roman" w:cs="Times New Roman"/>
          <w:sz w:val="24"/>
          <w:szCs w:val="24"/>
        </w:rPr>
        <w:t>goods and service centres</w:t>
      </w:r>
      <w:r w:rsidRPr="00D56685">
        <w:rPr>
          <w:rFonts w:ascii="Times New Roman" w:hAnsi="Times New Roman" w:cs="Times New Roman"/>
          <w:i/>
          <w:sz w:val="24"/>
          <w:szCs w:val="24"/>
        </w:rPr>
        <w:t xml:space="preserve"> </w:t>
      </w:r>
      <w:r w:rsidRPr="00D56685">
        <w:rPr>
          <w:rFonts w:ascii="Times New Roman" w:hAnsi="Times New Roman" w:cs="Times New Roman"/>
          <w:sz w:val="24"/>
          <w:szCs w:val="24"/>
        </w:rPr>
        <w:t>(n = 314)</w:t>
      </w:r>
    </w:p>
    <w:p w14:paraId="6645795C" w14:textId="77777777" w:rsidR="00D56685" w:rsidRPr="00D56685" w:rsidRDefault="00D56685" w:rsidP="009135B1">
      <w:pPr>
        <w:jc w:val="both"/>
        <w:rPr>
          <w:rFonts w:ascii="Times New Roman" w:hAnsi="Times New Roman" w:cs="Times New Roman"/>
          <w:b/>
          <w:sz w:val="24"/>
          <w:szCs w:val="24"/>
        </w:rPr>
      </w:pPr>
      <w:r>
        <w:rPr>
          <w:rFonts w:ascii="Times New Roman" w:hAnsi="Times New Roman" w:cs="Times New Roman"/>
          <w:sz w:val="24"/>
          <w:szCs w:val="24"/>
        </w:rPr>
        <w:t>Predominantly local and retail service centres, just under half of which are located in Greater London. They are often linear and provide a generally high independent offer, focusing on ‘everyday’ goods</w:t>
      </w:r>
      <w:r w:rsidR="009135B1">
        <w:rPr>
          <w:rFonts w:ascii="Times New Roman" w:hAnsi="Times New Roman" w:cs="Times New Roman"/>
          <w:sz w:val="24"/>
          <w:szCs w:val="24"/>
        </w:rPr>
        <w:t xml:space="preserve"> (e.g. groceries, confectionary), and offering a diverse range of services, with limited provision of comparison retail. They are typically characterised by higher proportions of convenience retail, business services, have seen recent increases and relatively high vacancy rates, and are typically comprised of higher average numbers of pawnbrokers, betting shops and fast food/takeaway outlets.</w:t>
      </w:r>
    </w:p>
    <w:p w14:paraId="124DB436" w14:textId="77777777" w:rsidR="00D56685" w:rsidRPr="00C16A61" w:rsidRDefault="00C16A61" w:rsidP="000F236E">
      <w:pPr>
        <w:rPr>
          <w:rFonts w:ascii="Times New Roman" w:hAnsi="Times New Roman" w:cs="Times New Roman"/>
          <w:i/>
          <w:sz w:val="24"/>
        </w:rPr>
      </w:pPr>
      <w:r w:rsidRPr="00161300">
        <w:rPr>
          <w:rFonts w:ascii="Times New Roman" w:hAnsi="Times New Roman" w:cs="Times New Roman"/>
          <w:b/>
          <w:sz w:val="24"/>
        </w:rPr>
        <w:t>Examples:</w:t>
      </w:r>
      <w:r>
        <w:rPr>
          <w:rFonts w:ascii="Times New Roman" w:hAnsi="Times New Roman" w:cs="Times New Roman"/>
          <w:sz w:val="24"/>
        </w:rPr>
        <w:t xml:space="preserve"> </w:t>
      </w:r>
      <w:r>
        <w:rPr>
          <w:rFonts w:ascii="Times New Roman" w:hAnsi="Times New Roman" w:cs="Times New Roman"/>
          <w:i/>
          <w:sz w:val="24"/>
        </w:rPr>
        <w:t xml:space="preserve">Smithdown Road (Liverpool), Dunstable Road, Bury Park (Luton), Caledonian Road, Islington (London), Whitby Road (Ellesmere Port). </w:t>
      </w:r>
    </w:p>
    <w:p w14:paraId="4A0743C6" w14:textId="77777777" w:rsidR="00D56685" w:rsidRPr="00D56685" w:rsidRDefault="00D56685" w:rsidP="000F236E">
      <w:pPr>
        <w:rPr>
          <w:rFonts w:ascii="Times New Roman" w:hAnsi="Times New Roman" w:cs="Times New Roman"/>
          <w:b/>
          <w:sz w:val="24"/>
        </w:rPr>
      </w:pPr>
    </w:p>
    <w:p w14:paraId="13BFD9B3" w14:textId="77777777" w:rsidR="00F1620C" w:rsidRDefault="00F1620C" w:rsidP="000F236E">
      <w:pPr>
        <w:rPr>
          <w:rFonts w:ascii="Times New Roman" w:hAnsi="Times New Roman" w:cs="Times New Roman"/>
          <w:b/>
          <w:sz w:val="28"/>
        </w:rPr>
      </w:pPr>
    </w:p>
    <w:p w14:paraId="420F688A" w14:textId="77777777" w:rsidR="00C16A61" w:rsidRDefault="00C16A61" w:rsidP="00C16A61">
      <w:pPr>
        <w:jc w:val="center"/>
        <w:rPr>
          <w:rFonts w:ascii="Times New Roman" w:hAnsi="Times New Roman" w:cs="Times New Roman"/>
          <w:b/>
          <w:sz w:val="28"/>
        </w:rPr>
      </w:pPr>
    </w:p>
    <w:p w14:paraId="642A5F08" w14:textId="77777777" w:rsidR="00210EF1" w:rsidRPr="001B589A" w:rsidRDefault="00C16A61" w:rsidP="001B589A">
      <w:pPr>
        <w:jc w:val="center"/>
        <w:rPr>
          <w:rFonts w:ascii="Times New Roman" w:hAnsi="Times New Roman" w:cs="Times New Roman"/>
          <w:sz w:val="24"/>
        </w:rPr>
      </w:pPr>
      <w:r w:rsidRPr="00C16A61">
        <w:rPr>
          <w:rFonts w:ascii="Times New Roman" w:hAnsi="Times New Roman" w:cs="Times New Roman"/>
          <w:b/>
          <w:sz w:val="24"/>
        </w:rPr>
        <w:t>F</w:t>
      </w:r>
      <w:r w:rsidRPr="00C16A61">
        <w:rPr>
          <w:rFonts w:ascii="Gill Sans MT" w:hAnsi="Gill Sans MT"/>
          <w:b/>
          <w:noProof/>
          <w:sz w:val="18"/>
          <w:szCs w:val="20"/>
          <w:lang w:eastAsia="en-GB"/>
        </w:rPr>
        <w:drawing>
          <wp:anchor distT="0" distB="0" distL="114300" distR="114300" simplePos="0" relativeHeight="251662336" behindDoc="0" locked="0" layoutInCell="1" allowOverlap="1" wp14:anchorId="6D53A189" wp14:editId="3C69007A">
            <wp:simplePos x="0" y="0"/>
            <wp:positionH relativeFrom="margin">
              <wp:align>left</wp:align>
            </wp:positionH>
            <wp:positionV relativeFrom="page">
              <wp:posOffset>676275</wp:posOffset>
            </wp:positionV>
            <wp:extent cx="5669280" cy="4269105"/>
            <wp:effectExtent l="0" t="0" r="762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69280" cy="4269105"/>
                    </a:xfrm>
                    <a:prstGeom prst="rect">
                      <a:avLst/>
                    </a:prstGeom>
                  </pic:spPr>
                </pic:pic>
              </a:graphicData>
            </a:graphic>
            <wp14:sizeRelH relativeFrom="page">
              <wp14:pctWidth>0</wp14:pctWidth>
            </wp14:sizeRelH>
            <wp14:sizeRelV relativeFrom="page">
              <wp14:pctHeight>0</wp14:pctHeight>
            </wp14:sizeRelV>
          </wp:anchor>
        </w:drawing>
      </w:r>
      <w:r w:rsidRPr="00C16A61">
        <w:rPr>
          <w:rFonts w:ascii="Times New Roman" w:hAnsi="Times New Roman" w:cs="Times New Roman"/>
          <w:b/>
          <w:sz w:val="24"/>
        </w:rPr>
        <w:t>igure 3.</w:t>
      </w:r>
      <w:r w:rsidRPr="00C16A61">
        <w:rPr>
          <w:rFonts w:ascii="Times New Roman" w:hAnsi="Times New Roman" w:cs="Times New Roman"/>
          <w:sz w:val="24"/>
        </w:rPr>
        <w:t xml:space="preserve"> </w:t>
      </w:r>
      <w:r>
        <w:rPr>
          <w:rFonts w:ascii="Times New Roman" w:hAnsi="Times New Roman" w:cs="Times New Roman"/>
          <w:sz w:val="24"/>
        </w:rPr>
        <w:t>Characteristics of retail centres in the first supergroup</w:t>
      </w:r>
    </w:p>
    <w:p w14:paraId="488C9B22" w14:textId="77777777" w:rsidR="00210EF1" w:rsidRDefault="00210EF1" w:rsidP="00210EF1">
      <w:pPr>
        <w:jc w:val="center"/>
        <w:rPr>
          <w:rFonts w:ascii="Times New Roman" w:hAnsi="Times New Roman" w:cs="Times New Roman"/>
          <w:sz w:val="24"/>
        </w:rPr>
      </w:pPr>
      <w:r w:rsidRPr="00210EF1">
        <w:rPr>
          <w:rFonts w:ascii="Times New Roman" w:hAnsi="Times New Roman" w:cs="Times New Roman"/>
          <w:b/>
          <w:sz w:val="24"/>
        </w:rPr>
        <w:t>Table 3.</w:t>
      </w:r>
      <w:r w:rsidRPr="00210EF1">
        <w:rPr>
          <w:rFonts w:ascii="Times New Roman" w:hAnsi="Times New Roman" w:cs="Times New Roman"/>
          <w:sz w:val="24"/>
        </w:rPr>
        <w:t xml:space="preserve"> Characteristics of groups nested within the first supergroup</w:t>
      </w:r>
    </w:p>
    <w:p w14:paraId="55285066" w14:textId="77777777" w:rsidR="001B589A" w:rsidRDefault="001B589A" w:rsidP="00210EF1">
      <w:pPr>
        <w:jc w:val="center"/>
        <w:rPr>
          <w:rFonts w:ascii="Times New Roman" w:hAnsi="Times New Roman" w:cs="Times New Roman"/>
          <w:sz w:val="24"/>
        </w:rPr>
      </w:pPr>
      <w:r w:rsidRPr="001B589A">
        <w:rPr>
          <w:noProof/>
          <w:lang w:eastAsia="en-GB"/>
        </w:rPr>
        <w:drawing>
          <wp:anchor distT="0" distB="0" distL="114300" distR="114300" simplePos="0" relativeHeight="251670528" behindDoc="0" locked="0" layoutInCell="1" allowOverlap="1" wp14:anchorId="7BCE5BD9" wp14:editId="36A68D37">
            <wp:simplePos x="0" y="0"/>
            <wp:positionH relativeFrom="margin">
              <wp:align>center</wp:align>
            </wp:positionH>
            <wp:positionV relativeFrom="page">
              <wp:posOffset>6019800</wp:posOffset>
            </wp:positionV>
            <wp:extent cx="5029200" cy="34480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A14C39" w14:textId="77777777" w:rsidR="001B589A" w:rsidRDefault="001B589A" w:rsidP="00210EF1">
      <w:pPr>
        <w:jc w:val="center"/>
        <w:rPr>
          <w:rFonts w:ascii="Times New Roman" w:hAnsi="Times New Roman" w:cs="Times New Roman"/>
          <w:sz w:val="24"/>
        </w:rPr>
      </w:pPr>
    </w:p>
    <w:p w14:paraId="74F5E126" w14:textId="77777777" w:rsidR="001B589A" w:rsidRDefault="001B589A" w:rsidP="00210EF1">
      <w:pPr>
        <w:jc w:val="center"/>
        <w:rPr>
          <w:rFonts w:ascii="Times New Roman" w:hAnsi="Times New Roman" w:cs="Times New Roman"/>
          <w:sz w:val="24"/>
        </w:rPr>
      </w:pPr>
    </w:p>
    <w:p w14:paraId="17CB62B9" w14:textId="77777777" w:rsidR="001B589A" w:rsidRDefault="001B589A" w:rsidP="00210EF1">
      <w:pPr>
        <w:jc w:val="center"/>
        <w:rPr>
          <w:rFonts w:ascii="Times New Roman" w:hAnsi="Times New Roman" w:cs="Times New Roman"/>
          <w:sz w:val="24"/>
        </w:rPr>
      </w:pPr>
    </w:p>
    <w:p w14:paraId="709706AE" w14:textId="77777777" w:rsidR="001B589A" w:rsidRDefault="001B589A" w:rsidP="00210EF1">
      <w:pPr>
        <w:jc w:val="center"/>
        <w:rPr>
          <w:rFonts w:ascii="Times New Roman" w:hAnsi="Times New Roman" w:cs="Times New Roman"/>
          <w:sz w:val="24"/>
        </w:rPr>
      </w:pPr>
    </w:p>
    <w:p w14:paraId="6CE8393E" w14:textId="77777777" w:rsidR="001B589A" w:rsidRDefault="001B589A" w:rsidP="00210EF1">
      <w:pPr>
        <w:jc w:val="center"/>
        <w:rPr>
          <w:rFonts w:ascii="Times New Roman" w:hAnsi="Times New Roman" w:cs="Times New Roman"/>
          <w:sz w:val="24"/>
        </w:rPr>
      </w:pPr>
    </w:p>
    <w:p w14:paraId="23E8FF6E" w14:textId="77777777" w:rsidR="001B589A" w:rsidRDefault="001B589A" w:rsidP="00210EF1">
      <w:pPr>
        <w:jc w:val="center"/>
        <w:rPr>
          <w:rFonts w:ascii="Times New Roman" w:hAnsi="Times New Roman" w:cs="Times New Roman"/>
          <w:sz w:val="24"/>
        </w:rPr>
      </w:pPr>
    </w:p>
    <w:p w14:paraId="3C9BD4D6" w14:textId="77777777" w:rsidR="001B589A" w:rsidRDefault="001B589A" w:rsidP="00210EF1">
      <w:pPr>
        <w:jc w:val="center"/>
        <w:rPr>
          <w:rFonts w:ascii="Times New Roman" w:hAnsi="Times New Roman" w:cs="Times New Roman"/>
          <w:sz w:val="24"/>
        </w:rPr>
      </w:pPr>
    </w:p>
    <w:p w14:paraId="4140E039" w14:textId="77777777" w:rsidR="001B589A" w:rsidRDefault="001B589A" w:rsidP="00210EF1">
      <w:pPr>
        <w:jc w:val="center"/>
        <w:rPr>
          <w:rFonts w:ascii="Times New Roman" w:hAnsi="Times New Roman" w:cs="Times New Roman"/>
          <w:sz w:val="24"/>
        </w:rPr>
      </w:pPr>
    </w:p>
    <w:p w14:paraId="70E6B34F" w14:textId="77777777" w:rsidR="001B589A" w:rsidRDefault="001B589A" w:rsidP="00210EF1">
      <w:pPr>
        <w:jc w:val="center"/>
        <w:rPr>
          <w:rFonts w:ascii="Times New Roman" w:hAnsi="Times New Roman" w:cs="Times New Roman"/>
          <w:sz w:val="24"/>
        </w:rPr>
      </w:pPr>
    </w:p>
    <w:p w14:paraId="5D79DE46" w14:textId="77777777" w:rsidR="001B589A" w:rsidRDefault="001B589A" w:rsidP="00210EF1">
      <w:pPr>
        <w:jc w:val="center"/>
        <w:rPr>
          <w:rFonts w:ascii="Times New Roman" w:hAnsi="Times New Roman" w:cs="Times New Roman"/>
          <w:sz w:val="24"/>
        </w:rPr>
      </w:pPr>
    </w:p>
    <w:p w14:paraId="275117F2" w14:textId="77777777" w:rsidR="001B589A" w:rsidRDefault="001B589A" w:rsidP="00210EF1">
      <w:pPr>
        <w:jc w:val="center"/>
        <w:rPr>
          <w:rFonts w:ascii="Times New Roman" w:hAnsi="Times New Roman" w:cs="Times New Roman"/>
          <w:sz w:val="24"/>
        </w:rPr>
      </w:pPr>
    </w:p>
    <w:p w14:paraId="6D1063B2" w14:textId="77777777" w:rsidR="001B589A" w:rsidRPr="00210EF1" w:rsidRDefault="001B589A" w:rsidP="00210EF1">
      <w:pPr>
        <w:jc w:val="center"/>
        <w:rPr>
          <w:rFonts w:ascii="Times New Roman" w:hAnsi="Times New Roman" w:cs="Times New Roman"/>
          <w:sz w:val="24"/>
        </w:rPr>
      </w:pPr>
    </w:p>
    <w:p w14:paraId="28CD9A21" w14:textId="77777777" w:rsidR="00F1620C" w:rsidRPr="009206AE" w:rsidRDefault="009206AE" w:rsidP="000F236E">
      <w:pPr>
        <w:rPr>
          <w:rFonts w:ascii="Times New Roman" w:hAnsi="Times New Roman" w:cs="Times New Roman"/>
          <w:b/>
          <w:sz w:val="24"/>
        </w:rPr>
      </w:pPr>
      <w:r w:rsidRPr="009206AE">
        <w:rPr>
          <w:rFonts w:ascii="Times New Roman" w:hAnsi="Times New Roman" w:cs="Times New Roman"/>
          <w:b/>
          <w:sz w:val="24"/>
        </w:rPr>
        <w:lastRenderedPageBreak/>
        <w:t xml:space="preserve">3.2 Supergroup 2 – </w:t>
      </w:r>
      <w:r w:rsidRPr="009206AE">
        <w:rPr>
          <w:rFonts w:ascii="Times New Roman" w:hAnsi="Times New Roman" w:cs="Times New Roman"/>
          <w:sz w:val="24"/>
        </w:rPr>
        <w:t>Retai</w:t>
      </w:r>
      <w:bookmarkStart w:id="0" w:name="_GoBack"/>
      <w:bookmarkEnd w:id="0"/>
      <w:r w:rsidRPr="009206AE">
        <w:rPr>
          <w:rFonts w:ascii="Times New Roman" w:hAnsi="Times New Roman" w:cs="Times New Roman"/>
          <w:sz w:val="24"/>
        </w:rPr>
        <w:t>l and shopping parks (n = 105)</w:t>
      </w:r>
    </w:p>
    <w:p w14:paraId="729E9E34" w14:textId="77777777" w:rsidR="00F1620C" w:rsidRPr="006704F8" w:rsidRDefault="006704F8" w:rsidP="006704F8">
      <w:pPr>
        <w:jc w:val="both"/>
        <w:rPr>
          <w:rFonts w:ascii="Times New Roman" w:hAnsi="Times New Roman" w:cs="Times New Roman"/>
          <w:sz w:val="24"/>
        </w:rPr>
      </w:pPr>
      <w:r w:rsidRPr="006704F8">
        <w:rPr>
          <w:rFonts w:ascii="Times New Roman" w:hAnsi="Times New Roman" w:cs="Times New Roman"/>
          <w:sz w:val="24"/>
        </w:rPr>
        <w:t>A very distinctive cluster of typically out-of-town</w:t>
      </w:r>
      <w:r>
        <w:rPr>
          <w:rFonts w:ascii="Times New Roman" w:hAnsi="Times New Roman" w:cs="Times New Roman"/>
          <w:sz w:val="24"/>
        </w:rPr>
        <w:t xml:space="preserve"> retail developments, occupied by high proportions of ‘clone’ retailers and anchor stores. These centres specialise in mass comparison retail goods, offer very limited business and consumer services, convenience retail and generally have a low vacancy rate. They are more attractive than most other retail centres, providing free car parking, and attracting typically car borne consumers from a much wider area.</w:t>
      </w:r>
    </w:p>
    <w:p w14:paraId="4A283643" w14:textId="77777777" w:rsidR="00F1620C" w:rsidRPr="006704F8" w:rsidRDefault="00E65717" w:rsidP="000F236E">
      <w:pPr>
        <w:rPr>
          <w:rFonts w:ascii="Times New Roman" w:hAnsi="Times New Roman" w:cs="Times New Roman"/>
          <w:b/>
          <w:sz w:val="24"/>
        </w:rPr>
      </w:pPr>
      <w:r w:rsidRPr="00717191">
        <w:rPr>
          <w:rFonts w:ascii="Gill Sans MT" w:hAnsi="Gill Sans MT"/>
          <w:noProof/>
          <w:lang w:eastAsia="en-GB"/>
        </w:rPr>
        <w:drawing>
          <wp:anchor distT="0" distB="0" distL="114300" distR="114300" simplePos="0" relativeHeight="251664384" behindDoc="0" locked="0" layoutInCell="1" allowOverlap="1" wp14:anchorId="6AB08465" wp14:editId="10D3FEEB">
            <wp:simplePos x="0" y="0"/>
            <wp:positionH relativeFrom="margin">
              <wp:align>right</wp:align>
            </wp:positionH>
            <wp:positionV relativeFrom="page">
              <wp:posOffset>3314700</wp:posOffset>
            </wp:positionV>
            <wp:extent cx="5728335" cy="4314825"/>
            <wp:effectExtent l="0" t="0" r="5715" b="952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8335" cy="4314825"/>
                    </a:xfrm>
                    <a:prstGeom prst="rect">
                      <a:avLst/>
                    </a:prstGeom>
                  </pic:spPr>
                </pic:pic>
              </a:graphicData>
            </a:graphic>
            <wp14:sizeRelH relativeFrom="page">
              <wp14:pctWidth>0</wp14:pctWidth>
            </wp14:sizeRelH>
            <wp14:sizeRelV relativeFrom="page">
              <wp14:pctHeight>0</wp14:pctHeight>
            </wp14:sizeRelV>
          </wp:anchor>
        </w:drawing>
      </w:r>
      <w:r w:rsidR="006704F8" w:rsidRPr="006704F8">
        <w:rPr>
          <w:rFonts w:ascii="Times New Roman" w:hAnsi="Times New Roman" w:cs="Times New Roman"/>
          <w:b/>
          <w:sz w:val="24"/>
        </w:rPr>
        <w:t xml:space="preserve">Examples: </w:t>
      </w:r>
      <w:r w:rsidR="006704F8" w:rsidRPr="006704F8">
        <w:rPr>
          <w:rFonts w:ascii="Times New Roman" w:hAnsi="Times New Roman" w:cs="Times New Roman"/>
          <w:sz w:val="24"/>
        </w:rPr>
        <w:t>Cheshire Oaks Designer Outlet (Ellesmere Port),</w:t>
      </w:r>
      <w:r w:rsidR="006704F8" w:rsidRPr="006704F8">
        <w:rPr>
          <w:rFonts w:ascii="Times New Roman" w:hAnsi="Times New Roman" w:cs="Times New Roman"/>
          <w:b/>
          <w:sz w:val="24"/>
        </w:rPr>
        <w:t xml:space="preserve"> </w:t>
      </w:r>
      <w:r w:rsidR="006704F8" w:rsidRPr="006704F8">
        <w:rPr>
          <w:rFonts w:ascii="Times New Roman" w:hAnsi="Times New Roman" w:cs="Times New Roman"/>
          <w:sz w:val="24"/>
        </w:rPr>
        <w:t>Bluewater</w:t>
      </w:r>
      <w:r w:rsidR="00DF3998">
        <w:rPr>
          <w:rFonts w:ascii="Times New Roman" w:hAnsi="Times New Roman" w:cs="Times New Roman"/>
          <w:sz w:val="24"/>
        </w:rPr>
        <w:t xml:space="preserve"> Shopping Centre (Dartford)</w:t>
      </w:r>
      <w:r w:rsidR="006704F8" w:rsidRPr="006704F8">
        <w:rPr>
          <w:rFonts w:ascii="Times New Roman" w:hAnsi="Times New Roman" w:cs="Times New Roman"/>
          <w:sz w:val="24"/>
        </w:rPr>
        <w:t>, Lakeside</w:t>
      </w:r>
      <w:r w:rsidR="00DF3998">
        <w:rPr>
          <w:rFonts w:ascii="Times New Roman" w:hAnsi="Times New Roman" w:cs="Times New Roman"/>
          <w:sz w:val="24"/>
        </w:rPr>
        <w:t xml:space="preserve"> Shopping Centre (</w:t>
      </w:r>
      <w:proofErr w:type="spellStart"/>
      <w:r w:rsidR="00DF3998">
        <w:rPr>
          <w:rFonts w:ascii="Times New Roman" w:hAnsi="Times New Roman" w:cs="Times New Roman"/>
          <w:sz w:val="24"/>
        </w:rPr>
        <w:t>Grays</w:t>
      </w:r>
      <w:proofErr w:type="spellEnd"/>
      <w:r w:rsidR="00DF3998">
        <w:rPr>
          <w:rFonts w:ascii="Times New Roman" w:hAnsi="Times New Roman" w:cs="Times New Roman"/>
          <w:sz w:val="24"/>
        </w:rPr>
        <w:t>)</w:t>
      </w:r>
      <w:r w:rsidR="006704F8" w:rsidRPr="00DF3998">
        <w:rPr>
          <w:rFonts w:ascii="Times New Roman" w:hAnsi="Times New Roman" w:cs="Times New Roman"/>
          <w:sz w:val="24"/>
        </w:rPr>
        <w:t>, Trafford Centre (</w:t>
      </w:r>
      <w:r w:rsidR="00DF3998" w:rsidRPr="00DF3998">
        <w:rPr>
          <w:rFonts w:ascii="Times New Roman" w:hAnsi="Times New Roman" w:cs="Times New Roman"/>
          <w:sz w:val="24"/>
        </w:rPr>
        <w:t>Manchester), York Designer Outlet (York).</w:t>
      </w:r>
      <w:r w:rsidR="00DF3998">
        <w:rPr>
          <w:rFonts w:ascii="Times New Roman" w:hAnsi="Times New Roman" w:cs="Times New Roman"/>
          <w:b/>
          <w:sz w:val="24"/>
        </w:rPr>
        <w:t xml:space="preserve"> </w:t>
      </w:r>
    </w:p>
    <w:p w14:paraId="03B68E79" w14:textId="77777777" w:rsidR="00F1620C" w:rsidRDefault="00F1620C" w:rsidP="000F236E">
      <w:pPr>
        <w:rPr>
          <w:rFonts w:ascii="Times New Roman" w:hAnsi="Times New Roman" w:cs="Times New Roman"/>
          <w:b/>
          <w:sz w:val="28"/>
        </w:rPr>
      </w:pPr>
    </w:p>
    <w:p w14:paraId="0D845B2D" w14:textId="77777777" w:rsidR="00F1620C" w:rsidRPr="00E65717" w:rsidRDefault="00E65717" w:rsidP="00E65717">
      <w:pPr>
        <w:jc w:val="center"/>
        <w:rPr>
          <w:rFonts w:ascii="Times New Roman" w:hAnsi="Times New Roman" w:cs="Times New Roman"/>
          <w:b/>
          <w:sz w:val="24"/>
        </w:rPr>
      </w:pPr>
      <w:r>
        <w:rPr>
          <w:rFonts w:ascii="Times New Roman" w:hAnsi="Times New Roman" w:cs="Times New Roman"/>
          <w:b/>
          <w:sz w:val="24"/>
        </w:rPr>
        <w:t>Figure 4</w:t>
      </w:r>
      <w:r w:rsidRPr="00E65717">
        <w:rPr>
          <w:rFonts w:ascii="Times New Roman" w:hAnsi="Times New Roman" w:cs="Times New Roman"/>
          <w:b/>
          <w:sz w:val="24"/>
        </w:rPr>
        <w:t xml:space="preserve">. </w:t>
      </w:r>
      <w:r w:rsidRPr="00E65717">
        <w:rPr>
          <w:rFonts w:ascii="Times New Roman" w:hAnsi="Times New Roman" w:cs="Times New Roman"/>
          <w:sz w:val="24"/>
        </w:rPr>
        <w:t>Characteristic of retail centres in the second supergroup</w:t>
      </w:r>
    </w:p>
    <w:p w14:paraId="29AA8F10" w14:textId="77777777" w:rsidR="00F1620C" w:rsidRDefault="00F1620C" w:rsidP="000F236E">
      <w:pPr>
        <w:rPr>
          <w:rFonts w:ascii="Times New Roman" w:hAnsi="Times New Roman" w:cs="Times New Roman"/>
          <w:b/>
          <w:sz w:val="28"/>
        </w:rPr>
      </w:pPr>
    </w:p>
    <w:p w14:paraId="0F3F17C1" w14:textId="77777777" w:rsidR="00F1620C" w:rsidRDefault="00F1620C" w:rsidP="000F236E">
      <w:pPr>
        <w:rPr>
          <w:rFonts w:ascii="Times New Roman" w:hAnsi="Times New Roman" w:cs="Times New Roman"/>
          <w:b/>
          <w:sz w:val="28"/>
        </w:rPr>
      </w:pPr>
    </w:p>
    <w:p w14:paraId="027F10C6" w14:textId="77777777" w:rsidR="00F1620C" w:rsidRDefault="00F1620C" w:rsidP="000F236E">
      <w:pPr>
        <w:rPr>
          <w:rFonts w:ascii="Times New Roman" w:hAnsi="Times New Roman" w:cs="Times New Roman"/>
          <w:b/>
          <w:sz w:val="28"/>
        </w:rPr>
      </w:pPr>
    </w:p>
    <w:p w14:paraId="5FB31E3F" w14:textId="77777777" w:rsidR="00F1620C" w:rsidRDefault="00F1620C" w:rsidP="000F236E">
      <w:pPr>
        <w:rPr>
          <w:rFonts w:ascii="Times New Roman" w:hAnsi="Times New Roman" w:cs="Times New Roman"/>
          <w:b/>
          <w:sz w:val="28"/>
        </w:rPr>
      </w:pPr>
    </w:p>
    <w:p w14:paraId="759C3811" w14:textId="77777777" w:rsidR="00F1620C" w:rsidRDefault="00F1620C" w:rsidP="000F236E">
      <w:pPr>
        <w:rPr>
          <w:rFonts w:ascii="Times New Roman" w:hAnsi="Times New Roman" w:cs="Times New Roman"/>
          <w:b/>
          <w:sz w:val="28"/>
        </w:rPr>
      </w:pPr>
    </w:p>
    <w:p w14:paraId="051FEB93" w14:textId="77777777" w:rsidR="00E65717" w:rsidRPr="00E65717" w:rsidRDefault="00E65717" w:rsidP="00E65717">
      <w:pPr>
        <w:jc w:val="center"/>
        <w:rPr>
          <w:rFonts w:ascii="Times New Roman" w:hAnsi="Times New Roman" w:cs="Times New Roman"/>
          <w:b/>
          <w:sz w:val="24"/>
        </w:rPr>
      </w:pPr>
      <w:r w:rsidRPr="00E65717">
        <w:rPr>
          <w:rFonts w:ascii="Times New Roman" w:hAnsi="Times New Roman" w:cs="Times New Roman"/>
          <w:b/>
          <w:sz w:val="24"/>
        </w:rPr>
        <w:lastRenderedPageBreak/>
        <w:t xml:space="preserve">Table 5. </w:t>
      </w:r>
      <w:r w:rsidRPr="00E65717">
        <w:rPr>
          <w:rFonts w:ascii="Times New Roman" w:hAnsi="Times New Roman" w:cs="Times New Roman"/>
          <w:sz w:val="24"/>
        </w:rPr>
        <w:t>Characteristics of groups nested within the second supergroup</w:t>
      </w:r>
    </w:p>
    <w:p w14:paraId="349D2292" w14:textId="77777777" w:rsidR="00F1620C" w:rsidRDefault="00D65960" w:rsidP="000F236E">
      <w:pPr>
        <w:rPr>
          <w:rFonts w:ascii="Times New Roman" w:hAnsi="Times New Roman" w:cs="Times New Roman"/>
          <w:b/>
          <w:sz w:val="28"/>
        </w:rPr>
      </w:pPr>
      <w:r w:rsidRPr="00D65960">
        <w:rPr>
          <w:noProof/>
          <w:lang w:eastAsia="en-GB"/>
        </w:rPr>
        <w:drawing>
          <wp:anchor distT="0" distB="0" distL="114300" distR="114300" simplePos="0" relativeHeight="251668480" behindDoc="0" locked="0" layoutInCell="1" allowOverlap="1" wp14:anchorId="2E845AB6" wp14:editId="2698C8E4">
            <wp:simplePos x="0" y="0"/>
            <wp:positionH relativeFrom="column">
              <wp:posOffset>390525</wp:posOffset>
            </wp:positionH>
            <wp:positionV relativeFrom="page">
              <wp:posOffset>1294765</wp:posOffset>
            </wp:positionV>
            <wp:extent cx="4895850" cy="3638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40F69" w14:textId="77777777" w:rsidR="00F1620C" w:rsidRDefault="00F1620C" w:rsidP="000F236E">
      <w:pPr>
        <w:rPr>
          <w:rFonts w:ascii="Times New Roman" w:hAnsi="Times New Roman" w:cs="Times New Roman"/>
          <w:b/>
          <w:sz w:val="28"/>
        </w:rPr>
      </w:pPr>
    </w:p>
    <w:p w14:paraId="4D0FF6DA" w14:textId="77777777" w:rsidR="00F1620C" w:rsidRDefault="00F1620C" w:rsidP="000F236E">
      <w:pPr>
        <w:rPr>
          <w:rFonts w:ascii="Times New Roman" w:hAnsi="Times New Roman" w:cs="Times New Roman"/>
          <w:b/>
          <w:sz w:val="28"/>
        </w:rPr>
      </w:pPr>
    </w:p>
    <w:p w14:paraId="787DDC83" w14:textId="77777777" w:rsidR="00F1620C" w:rsidRDefault="00F1620C" w:rsidP="000F236E">
      <w:pPr>
        <w:rPr>
          <w:rFonts w:ascii="Times New Roman" w:hAnsi="Times New Roman" w:cs="Times New Roman"/>
          <w:b/>
          <w:sz w:val="28"/>
        </w:rPr>
      </w:pPr>
    </w:p>
    <w:p w14:paraId="0F818D32" w14:textId="77777777" w:rsidR="00F1620C" w:rsidRDefault="00F1620C" w:rsidP="000F236E">
      <w:pPr>
        <w:rPr>
          <w:rFonts w:ascii="Times New Roman" w:hAnsi="Times New Roman" w:cs="Times New Roman"/>
          <w:b/>
          <w:sz w:val="28"/>
        </w:rPr>
      </w:pPr>
    </w:p>
    <w:p w14:paraId="78127786" w14:textId="77777777" w:rsidR="00F1620C" w:rsidRDefault="00F1620C" w:rsidP="000F236E">
      <w:pPr>
        <w:rPr>
          <w:rFonts w:ascii="Times New Roman" w:hAnsi="Times New Roman" w:cs="Times New Roman"/>
          <w:b/>
          <w:sz w:val="28"/>
        </w:rPr>
      </w:pPr>
    </w:p>
    <w:p w14:paraId="77805101" w14:textId="77777777" w:rsidR="00F1620C" w:rsidRDefault="00F1620C" w:rsidP="000F236E">
      <w:pPr>
        <w:rPr>
          <w:rFonts w:ascii="Times New Roman" w:hAnsi="Times New Roman" w:cs="Times New Roman"/>
          <w:b/>
          <w:sz w:val="28"/>
        </w:rPr>
      </w:pPr>
    </w:p>
    <w:p w14:paraId="10B080FD" w14:textId="77777777" w:rsidR="00F1620C" w:rsidRDefault="00F1620C" w:rsidP="000F236E">
      <w:pPr>
        <w:rPr>
          <w:rFonts w:ascii="Times New Roman" w:hAnsi="Times New Roman" w:cs="Times New Roman"/>
          <w:b/>
          <w:sz w:val="28"/>
        </w:rPr>
      </w:pPr>
    </w:p>
    <w:p w14:paraId="5E51137E" w14:textId="77777777" w:rsidR="00E65717" w:rsidRDefault="00E65717" w:rsidP="000F236E">
      <w:pPr>
        <w:rPr>
          <w:rFonts w:ascii="Times New Roman" w:hAnsi="Times New Roman" w:cs="Times New Roman"/>
          <w:b/>
          <w:sz w:val="28"/>
        </w:rPr>
      </w:pPr>
    </w:p>
    <w:p w14:paraId="6765C1B5" w14:textId="77777777" w:rsidR="00E65717" w:rsidRDefault="00E65717" w:rsidP="000F236E">
      <w:pPr>
        <w:rPr>
          <w:rFonts w:ascii="Times New Roman" w:hAnsi="Times New Roman" w:cs="Times New Roman"/>
          <w:b/>
          <w:sz w:val="28"/>
        </w:rPr>
      </w:pPr>
    </w:p>
    <w:p w14:paraId="45C51D09" w14:textId="77777777" w:rsidR="00E65717" w:rsidRDefault="00E65717" w:rsidP="000F236E">
      <w:pPr>
        <w:rPr>
          <w:rFonts w:ascii="Times New Roman" w:hAnsi="Times New Roman" w:cs="Times New Roman"/>
          <w:b/>
          <w:sz w:val="28"/>
        </w:rPr>
      </w:pPr>
    </w:p>
    <w:p w14:paraId="35F7CBC5" w14:textId="77777777" w:rsidR="00E65717" w:rsidRDefault="00E65717" w:rsidP="000F236E">
      <w:pPr>
        <w:rPr>
          <w:rFonts w:ascii="Times New Roman" w:hAnsi="Times New Roman" w:cs="Times New Roman"/>
          <w:b/>
          <w:sz w:val="28"/>
        </w:rPr>
      </w:pPr>
    </w:p>
    <w:p w14:paraId="7E5114D0" w14:textId="77777777" w:rsidR="00D65960" w:rsidRDefault="00D65960" w:rsidP="000F236E">
      <w:pPr>
        <w:rPr>
          <w:rFonts w:ascii="Times New Roman" w:hAnsi="Times New Roman" w:cs="Times New Roman"/>
          <w:b/>
          <w:sz w:val="28"/>
        </w:rPr>
      </w:pPr>
    </w:p>
    <w:p w14:paraId="07985E03" w14:textId="77777777" w:rsidR="00E65717" w:rsidRDefault="00017C91" w:rsidP="000F236E">
      <w:pPr>
        <w:rPr>
          <w:rFonts w:ascii="Times New Roman" w:hAnsi="Times New Roman" w:cs="Times New Roman"/>
          <w:sz w:val="24"/>
        </w:rPr>
      </w:pPr>
      <w:r>
        <w:rPr>
          <w:rFonts w:ascii="Times New Roman" w:hAnsi="Times New Roman" w:cs="Times New Roman"/>
          <w:b/>
          <w:sz w:val="24"/>
        </w:rPr>
        <w:t xml:space="preserve">3.3 Supergroup 3 </w:t>
      </w:r>
      <w:r w:rsidR="00694C55">
        <w:rPr>
          <w:rFonts w:ascii="Times New Roman" w:hAnsi="Times New Roman" w:cs="Times New Roman"/>
          <w:b/>
          <w:sz w:val="24"/>
        </w:rPr>
        <w:t>–</w:t>
      </w:r>
      <w:r>
        <w:rPr>
          <w:rFonts w:ascii="Times New Roman" w:hAnsi="Times New Roman" w:cs="Times New Roman"/>
          <w:b/>
          <w:sz w:val="24"/>
        </w:rPr>
        <w:t xml:space="preserve"> </w:t>
      </w:r>
      <w:r w:rsidR="00694C55">
        <w:rPr>
          <w:rFonts w:ascii="Times New Roman" w:hAnsi="Times New Roman" w:cs="Times New Roman"/>
          <w:sz w:val="24"/>
        </w:rPr>
        <w:t>Leading comparison and leisure destinations (n = 215)</w:t>
      </w:r>
    </w:p>
    <w:p w14:paraId="7B5B42AC" w14:textId="024F2C01" w:rsidR="00694C55" w:rsidRDefault="004B7C7A" w:rsidP="000F236E">
      <w:pPr>
        <w:rPr>
          <w:rFonts w:ascii="Times New Roman" w:hAnsi="Times New Roman" w:cs="Times New Roman"/>
          <w:sz w:val="24"/>
        </w:rPr>
      </w:pPr>
      <w:r>
        <w:rPr>
          <w:rFonts w:ascii="Times New Roman" w:hAnsi="Times New Roman" w:cs="Times New Roman"/>
          <w:sz w:val="24"/>
        </w:rPr>
        <w:t xml:space="preserve">These are the main retail destinations of regional and sub-regional importance, and also generally including the larger market towns. These large, expansive and highly attractive centres have large catchment areas and have diverse and comprehensive retail, leisure and hospitality offers, comprising large numbers of national chains. They have smaller proportions of independent retailers, less spatial competition than other centres, but </w:t>
      </w:r>
      <w:r w:rsidR="00650D9C">
        <w:rPr>
          <w:rFonts w:ascii="Times New Roman" w:hAnsi="Times New Roman" w:cs="Times New Roman"/>
          <w:sz w:val="24"/>
        </w:rPr>
        <w:t xml:space="preserve">have </w:t>
      </w:r>
      <w:r>
        <w:rPr>
          <w:rFonts w:ascii="Times New Roman" w:hAnsi="Times New Roman" w:cs="Times New Roman"/>
          <w:sz w:val="24"/>
        </w:rPr>
        <w:t>experience</w:t>
      </w:r>
      <w:r w:rsidR="00650D9C">
        <w:rPr>
          <w:rFonts w:ascii="Times New Roman" w:hAnsi="Times New Roman" w:cs="Times New Roman"/>
          <w:sz w:val="24"/>
        </w:rPr>
        <w:t>d</w:t>
      </w:r>
      <w:r>
        <w:rPr>
          <w:rFonts w:ascii="Times New Roman" w:hAnsi="Times New Roman" w:cs="Times New Roman"/>
          <w:sz w:val="24"/>
        </w:rPr>
        <w:t xml:space="preserve"> relatively high </w:t>
      </w:r>
      <w:r w:rsidR="00650D9C">
        <w:rPr>
          <w:rFonts w:ascii="Times New Roman" w:hAnsi="Times New Roman" w:cs="Times New Roman"/>
          <w:sz w:val="24"/>
        </w:rPr>
        <w:t>increases</w:t>
      </w:r>
      <w:r>
        <w:rPr>
          <w:rFonts w:ascii="Times New Roman" w:hAnsi="Times New Roman" w:cs="Times New Roman"/>
          <w:sz w:val="24"/>
        </w:rPr>
        <w:t xml:space="preserve"> in </w:t>
      </w:r>
      <w:r w:rsidR="00650D9C">
        <w:rPr>
          <w:rFonts w:ascii="Times New Roman" w:hAnsi="Times New Roman" w:cs="Times New Roman"/>
          <w:sz w:val="24"/>
        </w:rPr>
        <w:t xml:space="preserve">vacancy </w:t>
      </w:r>
      <w:r>
        <w:rPr>
          <w:rFonts w:ascii="Times New Roman" w:hAnsi="Times New Roman" w:cs="Times New Roman"/>
          <w:sz w:val="24"/>
        </w:rPr>
        <w:t>rates.</w:t>
      </w:r>
    </w:p>
    <w:p w14:paraId="7719B96A" w14:textId="77777777" w:rsidR="004B7C7A" w:rsidRDefault="004B7C7A" w:rsidP="000F236E">
      <w:pPr>
        <w:rPr>
          <w:rFonts w:ascii="Times New Roman" w:hAnsi="Times New Roman" w:cs="Times New Roman"/>
          <w:sz w:val="24"/>
        </w:rPr>
      </w:pPr>
      <w:r>
        <w:rPr>
          <w:rFonts w:ascii="Times New Roman" w:hAnsi="Times New Roman" w:cs="Times New Roman"/>
          <w:b/>
          <w:sz w:val="24"/>
        </w:rPr>
        <w:t xml:space="preserve">Examples: </w:t>
      </w:r>
      <w:r>
        <w:rPr>
          <w:rFonts w:ascii="Times New Roman" w:hAnsi="Times New Roman" w:cs="Times New Roman"/>
          <w:sz w:val="24"/>
        </w:rPr>
        <w:t xml:space="preserve">Liverpool City, City of London, Chester City, Manchester City, Sheffield City, Cardiff City, Blackpool City. </w:t>
      </w:r>
    </w:p>
    <w:p w14:paraId="30EB1E4E" w14:textId="77777777" w:rsidR="004B7C7A" w:rsidRDefault="004B7C7A" w:rsidP="000F236E">
      <w:pPr>
        <w:rPr>
          <w:rFonts w:ascii="Times New Roman" w:hAnsi="Times New Roman" w:cs="Times New Roman"/>
          <w:sz w:val="24"/>
        </w:rPr>
      </w:pPr>
    </w:p>
    <w:p w14:paraId="46F6677C" w14:textId="77777777" w:rsidR="00D65960" w:rsidRPr="004B7C7A" w:rsidRDefault="00D65960" w:rsidP="000F236E">
      <w:pPr>
        <w:rPr>
          <w:rFonts w:ascii="Times New Roman" w:hAnsi="Times New Roman" w:cs="Times New Roman"/>
          <w:sz w:val="24"/>
        </w:rPr>
      </w:pPr>
      <w:r w:rsidRPr="00D052E7">
        <w:rPr>
          <w:rFonts w:ascii="Gill Sans MT" w:hAnsi="Gill Sans MT"/>
          <w:b/>
          <w:bCs/>
          <w:noProof/>
          <w:lang w:eastAsia="en-GB"/>
        </w:rPr>
        <w:lastRenderedPageBreak/>
        <w:drawing>
          <wp:anchor distT="0" distB="0" distL="114300" distR="114300" simplePos="0" relativeHeight="251666432" behindDoc="0" locked="0" layoutInCell="1" allowOverlap="1" wp14:anchorId="70529968" wp14:editId="2BD41E79">
            <wp:simplePos x="0" y="0"/>
            <wp:positionH relativeFrom="margin">
              <wp:posOffset>-97790</wp:posOffset>
            </wp:positionH>
            <wp:positionV relativeFrom="page">
              <wp:posOffset>419100</wp:posOffset>
            </wp:positionV>
            <wp:extent cx="5728970" cy="4314825"/>
            <wp:effectExtent l="0" t="0" r="5080" b="952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8970" cy="4314825"/>
                    </a:xfrm>
                    <a:prstGeom prst="rect">
                      <a:avLst/>
                    </a:prstGeom>
                  </pic:spPr>
                </pic:pic>
              </a:graphicData>
            </a:graphic>
            <wp14:sizeRelH relativeFrom="page">
              <wp14:pctWidth>0</wp14:pctWidth>
            </wp14:sizeRelH>
            <wp14:sizeRelV relativeFrom="page">
              <wp14:pctHeight>0</wp14:pctHeight>
            </wp14:sizeRelV>
          </wp:anchor>
        </w:drawing>
      </w:r>
    </w:p>
    <w:p w14:paraId="75ECCF05" w14:textId="77777777" w:rsidR="00E65717" w:rsidRDefault="00D65960" w:rsidP="00D65960">
      <w:pPr>
        <w:jc w:val="center"/>
        <w:rPr>
          <w:rFonts w:ascii="Times New Roman" w:hAnsi="Times New Roman" w:cs="Times New Roman"/>
          <w:sz w:val="24"/>
        </w:rPr>
      </w:pPr>
      <w:r>
        <w:rPr>
          <w:rFonts w:ascii="Times New Roman" w:hAnsi="Times New Roman" w:cs="Times New Roman"/>
          <w:b/>
          <w:sz w:val="24"/>
        </w:rPr>
        <w:t>Figure 5</w:t>
      </w:r>
      <w:r w:rsidRPr="00D65960">
        <w:rPr>
          <w:rFonts w:ascii="Times New Roman" w:hAnsi="Times New Roman" w:cs="Times New Roman"/>
          <w:b/>
          <w:sz w:val="24"/>
        </w:rPr>
        <w:t xml:space="preserve">. </w:t>
      </w:r>
      <w:r w:rsidRPr="00D65960">
        <w:rPr>
          <w:rFonts w:ascii="Times New Roman" w:hAnsi="Times New Roman" w:cs="Times New Roman"/>
          <w:sz w:val="24"/>
        </w:rPr>
        <w:t>Characteristics of centres in the third supergroup</w:t>
      </w:r>
    </w:p>
    <w:p w14:paraId="18CEDDE4" w14:textId="77777777" w:rsidR="00D65960" w:rsidRPr="00D65960" w:rsidRDefault="00D65960" w:rsidP="00D65960">
      <w:pPr>
        <w:jc w:val="center"/>
        <w:rPr>
          <w:rFonts w:ascii="Times New Roman" w:hAnsi="Times New Roman" w:cs="Times New Roman"/>
          <w:b/>
          <w:sz w:val="24"/>
        </w:rPr>
      </w:pPr>
      <w:r w:rsidRPr="00D65960">
        <w:rPr>
          <w:noProof/>
          <w:lang w:eastAsia="en-GB"/>
        </w:rPr>
        <w:drawing>
          <wp:anchor distT="0" distB="0" distL="114300" distR="114300" simplePos="0" relativeHeight="251669504" behindDoc="0" locked="0" layoutInCell="1" allowOverlap="1" wp14:anchorId="4E5FA553" wp14:editId="46563A78">
            <wp:simplePos x="0" y="0"/>
            <wp:positionH relativeFrom="column">
              <wp:posOffset>85725</wp:posOffset>
            </wp:positionH>
            <wp:positionV relativeFrom="page">
              <wp:posOffset>5723890</wp:posOffset>
            </wp:positionV>
            <wp:extent cx="5731510" cy="3312160"/>
            <wp:effectExtent l="0" t="0" r="254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960">
        <w:rPr>
          <w:rFonts w:ascii="Times New Roman" w:hAnsi="Times New Roman" w:cs="Times New Roman"/>
          <w:b/>
          <w:sz w:val="24"/>
        </w:rPr>
        <w:t>Table 6.</w:t>
      </w:r>
      <w:r>
        <w:rPr>
          <w:rFonts w:ascii="Times New Roman" w:hAnsi="Times New Roman" w:cs="Times New Roman"/>
          <w:sz w:val="24"/>
        </w:rPr>
        <w:t xml:space="preserve"> Characteristics of groups nested within the third supergroup</w:t>
      </w:r>
    </w:p>
    <w:p w14:paraId="53233D08" w14:textId="77777777" w:rsidR="00E65717" w:rsidRDefault="00E65717" w:rsidP="000F236E">
      <w:pPr>
        <w:rPr>
          <w:rFonts w:ascii="Times New Roman" w:hAnsi="Times New Roman" w:cs="Times New Roman"/>
          <w:b/>
          <w:sz w:val="28"/>
        </w:rPr>
      </w:pPr>
    </w:p>
    <w:p w14:paraId="09E94782" w14:textId="77777777" w:rsidR="00D65960" w:rsidRDefault="00D65960" w:rsidP="000F236E">
      <w:pPr>
        <w:rPr>
          <w:rFonts w:ascii="Times New Roman" w:hAnsi="Times New Roman" w:cs="Times New Roman"/>
          <w:b/>
          <w:sz w:val="28"/>
        </w:rPr>
      </w:pPr>
    </w:p>
    <w:p w14:paraId="5568F368" w14:textId="77777777" w:rsidR="001B589A" w:rsidRDefault="001B589A" w:rsidP="000F236E">
      <w:pPr>
        <w:rPr>
          <w:rFonts w:ascii="Times New Roman" w:hAnsi="Times New Roman" w:cs="Times New Roman"/>
          <w:sz w:val="24"/>
        </w:rPr>
      </w:pPr>
      <w:r>
        <w:rPr>
          <w:rFonts w:ascii="Times New Roman" w:hAnsi="Times New Roman" w:cs="Times New Roman"/>
          <w:b/>
          <w:sz w:val="24"/>
        </w:rPr>
        <w:lastRenderedPageBreak/>
        <w:t>3.4 Supergroup 4 –</w:t>
      </w:r>
      <w:r>
        <w:rPr>
          <w:rFonts w:ascii="Times New Roman" w:hAnsi="Times New Roman" w:cs="Times New Roman"/>
          <w:sz w:val="24"/>
        </w:rPr>
        <w:t xml:space="preserve"> Traditional high streets and market towns (n = 611)</w:t>
      </w:r>
    </w:p>
    <w:p w14:paraId="364ECAED" w14:textId="77777777" w:rsidR="0023053C" w:rsidRDefault="0023053C" w:rsidP="0023053C">
      <w:pPr>
        <w:jc w:val="both"/>
        <w:rPr>
          <w:rFonts w:ascii="Times New Roman" w:hAnsi="Times New Roman" w:cs="Times New Roman"/>
          <w:sz w:val="24"/>
        </w:rPr>
      </w:pPr>
      <w:r w:rsidRPr="0023053C">
        <w:rPr>
          <w:rFonts w:ascii="Times New Roman" w:hAnsi="Times New Roman" w:cs="Times New Roman"/>
          <w:sz w:val="24"/>
        </w:rPr>
        <w:t xml:space="preserve">These are highly diverse but traditional high streets and market towns, which focus on hospitality, services, convenience goods and non-fashion comparison goods. These centres are characterised by high proportion of independent retailers, low vacancy rates, with typically low levels of premium, mass </w:t>
      </w:r>
      <w:r>
        <w:rPr>
          <w:rFonts w:ascii="Times New Roman" w:hAnsi="Times New Roman" w:cs="Times New Roman"/>
          <w:sz w:val="24"/>
        </w:rPr>
        <w:t>and</w:t>
      </w:r>
      <w:r w:rsidRPr="0023053C">
        <w:rPr>
          <w:rFonts w:ascii="Times New Roman" w:hAnsi="Times New Roman" w:cs="Times New Roman"/>
          <w:sz w:val="24"/>
        </w:rPr>
        <w:t xml:space="preserve"> value retailers. The spatial competition is relatively low and their catchments are characterised by low levels of deprivation.</w:t>
      </w:r>
    </w:p>
    <w:p w14:paraId="07CBC064" w14:textId="77777777" w:rsidR="0023053C" w:rsidRDefault="0023053C" w:rsidP="0023053C">
      <w:pPr>
        <w:jc w:val="both"/>
        <w:rPr>
          <w:rFonts w:ascii="Times New Roman" w:hAnsi="Times New Roman" w:cs="Times New Roman"/>
          <w:b/>
          <w:sz w:val="24"/>
        </w:rPr>
      </w:pPr>
      <w:r>
        <w:rPr>
          <w:rFonts w:ascii="Times New Roman" w:hAnsi="Times New Roman" w:cs="Times New Roman"/>
          <w:b/>
          <w:sz w:val="24"/>
        </w:rPr>
        <w:t xml:space="preserve">Examples: </w:t>
      </w:r>
      <w:r w:rsidRPr="0023053C">
        <w:rPr>
          <w:rFonts w:ascii="Times New Roman" w:hAnsi="Times New Roman" w:cs="Times New Roman"/>
          <w:sz w:val="24"/>
        </w:rPr>
        <w:t>Liverpool Road, Great Crosby (Liverpool), Wilmslow (Cheshire), Sandbach (Cheshire), High Street (Harpenden) Kings Road (Chelsea).</w:t>
      </w:r>
      <w:r>
        <w:rPr>
          <w:rFonts w:ascii="Times New Roman" w:hAnsi="Times New Roman" w:cs="Times New Roman"/>
          <w:b/>
          <w:sz w:val="24"/>
        </w:rPr>
        <w:t xml:space="preserve"> </w:t>
      </w:r>
    </w:p>
    <w:p w14:paraId="2EA06B16" w14:textId="77777777" w:rsidR="008C12FB" w:rsidRDefault="00D27983" w:rsidP="0023053C">
      <w:pPr>
        <w:jc w:val="both"/>
        <w:rPr>
          <w:rFonts w:ascii="Times New Roman" w:hAnsi="Times New Roman" w:cs="Times New Roman"/>
          <w:b/>
          <w:sz w:val="24"/>
        </w:rPr>
      </w:pPr>
      <w:r w:rsidRPr="00472F4A">
        <w:rPr>
          <w:rFonts w:ascii="Gill Sans MT" w:hAnsi="Gill Sans MT"/>
          <w:noProof/>
          <w:lang w:eastAsia="en-GB"/>
        </w:rPr>
        <w:drawing>
          <wp:anchor distT="0" distB="0" distL="114300" distR="114300" simplePos="0" relativeHeight="251672576" behindDoc="0" locked="0" layoutInCell="1" allowOverlap="1" wp14:anchorId="30D1D280" wp14:editId="7C853650">
            <wp:simplePos x="0" y="0"/>
            <wp:positionH relativeFrom="margin">
              <wp:posOffset>-78740</wp:posOffset>
            </wp:positionH>
            <wp:positionV relativeFrom="paragraph">
              <wp:posOffset>458470</wp:posOffset>
            </wp:positionV>
            <wp:extent cx="5734050" cy="39751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4050" cy="3975100"/>
                    </a:xfrm>
                    <a:prstGeom prst="rect">
                      <a:avLst/>
                    </a:prstGeom>
                  </pic:spPr>
                </pic:pic>
              </a:graphicData>
            </a:graphic>
            <wp14:sizeRelH relativeFrom="page">
              <wp14:pctWidth>0</wp14:pctWidth>
            </wp14:sizeRelH>
            <wp14:sizeRelV relativeFrom="page">
              <wp14:pctHeight>0</wp14:pctHeight>
            </wp14:sizeRelV>
          </wp:anchor>
        </w:drawing>
      </w:r>
    </w:p>
    <w:p w14:paraId="5B38EBA7" w14:textId="77777777" w:rsidR="008C12FB" w:rsidRPr="0023053C" w:rsidRDefault="008C12FB" w:rsidP="0023053C">
      <w:pPr>
        <w:jc w:val="both"/>
        <w:rPr>
          <w:rFonts w:ascii="Times New Roman" w:hAnsi="Times New Roman" w:cs="Times New Roman"/>
          <w:b/>
          <w:sz w:val="24"/>
        </w:rPr>
      </w:pPr>
    </w:p>
    <w:p w14:paraId="31B55C81" w14:textId="77777777" w:rsidR="001B589A" w:rsidRPr="001B589A" w:rsidRDefault="008C12FB" w:rsidP="008C12FB">
      <w:pPr>
        <w:jc w:val="center"/>
        <w:rPr>
          <w:rFonts w:ascii="Times New Roman" w:hAnsi="Times New Roman" w:cs="Times New Roman"/>
          <w:sz w:val="24"/>
        </w:rPr>
      </w:pPr>
      <w:r w:rsidRPr="008C12FB">
        <w:rPr>
          <w:rFonts w:ascii="Times New Roman" w:hAnsi="Times New Roman" w:cs="Times New Roman"/>
          <w:b/>
          <w:sz w:val="24"/>
        </w:rPr>
        <w:t>Figure 6.</w:t>
      </w:r>
      <w:r>
        <w:rPr>
          <w:rFonts w:ascii="Times New Roman" w:hAnsi="Times New Roman" w:cs="Times New Roman"/>
          <w:sz w:val="24"/>
        </w:rPr>
        <w:t xml:space="preserve"> Characteristics of centres in the fourth supergroup</w:t>
      </w:r>
    </w:p>
    <w:p w14:paraId="15AA9DDA" w14:textId="77777777" w:rsidR="001B589A" w:rsidRDefault="001B589A" w:rsidP="000F236E">
      <w:pPr>
        <w:rPr>
          <w:rFonts w:ascii="Times New Roman" w:hAnsi="Times New Roman" w:cs="Times New Roman"/>
          <w:b/>
          <w:sz w:val="28"/>
        </w:rPr>
      </w:pPr>
    </w:p>
    <w:p w14:paraId="4D7677A1" w14:textId="77777777" w:rsidR="00F51F22" w:rsidRDefault="00F51F22" w:rsidP="000F236E">
      <w:pPr>
        <w:rPr>
          <w:rFonts w:ascii="Times New Roman" w:hAnsi="Times New Roman" w:cs="Times New Roman"/>
          <w:b/>
          <w:sz w:val="28"/>
        </w:rPr>
      </w:pPr>
    </w:p>
    <w:p w14:paraId="54D8479C" w14:textId="77777777" w:rsidR="00F51F22" w:rsidRDefault="00F51F22" w:rsidP="000F236E">
      <w:pPr>
        <w:rPr>
          <w:rFonts w:ascii="Times New Roman" w:hAnsi="Times New Roman" w:cs="Times New Roman"/>
          <w:b/>
          <w:sz w:val="28"/>
        </w:rPr>
      </w:pPr>
    </w:p>
    <w:p w14:paraId="084009A3" w14:textId="77777777" w:rsidR="00F51F22" w:rsidRDefault="00F51F22" w:rsidP="000F236E">
      <w:pPr>
        <w:rPr>
          <w:rFonts w:ascii="Times New Roman" w:hAnsi="Times New Roman" w:cs="Times New Roman"/>
          <w:b/>
          <w:sz w:val="28"/>
        </w:rPr>
      </w:pPr>
    </w:p>
    <w:p w14:paraId="1BBE5D27" w14:textId="77777777" w:rsidR="00F51F22" w:rsidRDefault="00F51F22" w:rsidP="000F236E">
      <w:pPr>
        <w:rPr>
          <w:rFonts w:ascii="Times New Roman" w:hAnsi="Times New Roman" w:cs="Times New Roman"/>
          <w:b/>
          <w:sz w:val="28"/>
        </w:rPr>
      </w:pPr>
    </w:p>
    <w:p w14:paraId="710857B7" w14:textId="77777777" w:rsidR="00F51F22" w:rsidRDefault="00F51F22" w:rsidP="000F236E">
      <w:pPr>
        <w:rPr>
          <w:rFonts w:ascii="Times New Roman" w:hAnsi="Times New Roman" w:cs="Times New Roman"/>
          <w:b/>
          <w:sz w:val="28"/>
        </w:rPr>
      </w:pPr>
    </w:p>
    <w:p w14:paraId="6819EA4F" w14:textId="77777777" w:rsidR="00F51F22" w:rsidRPr="006D0981" w:rsidRDefault="00F51F22" w:rsidP="00F51F22">
      <w:pPr>
        <w:jc w:val="center"/>
        <w:rPr>
          <w:rFonts w:ascii="Times New Roman" w:hAnsi="Times New Roman" w:cs="Times New Roman"/>
          <w:b/>
          <w:sz w:val="24"/>
        </w:rPr>
      </w:pPr>
      <w:r w:rsidRPr="006D0981">
        <w:rPr>
          <w:rFonts w:ascii="Times New Roman" w:hAnsi="Times New Roman" w:cs="Times New Roman"/>
          <w:b/>
          <w:sz w:val="24"/>
        </w:rPr>
        <w:lastRenderedPageBreak/>
        <w:t>Table</w:t>
      </w:r>
      <w:r w:rsidR="006D0981" w:rsidRPr="006D0981">
        <w:rPr>
          <w:rFonts w:ascii="Times New Roman" w:hAnsi="Times New Roman" w:cs="Times New Roman"/>
          <w:b/>
          <w:sz w:val="24"/>
        </w:rPr>
        <w:t xml:space="preserve"> 7. </w:t>
      </w:r>
      <w:r w:rsidR="006D0981" w:rsidRPr="006D0981">
        <w:rPr>
          <w:rFonts w:ascii="Times New Roman" w:hAnsi="Times New Roman" w:cs="Times New Roman"/>
          <w:sz w:val="24"/>
        </w:rPr>
        <w:t>Characteristics of groups nested within the fourth supergroup</w:t>
      </w:r>
    </w:p>
    <w:p w14:paraId="453EC904" w14:textId="77777777" w:rsidR="00D27983" w:rsidRDefault="00854A10" w:rsidP="000F236E">
      <w:pPr>
        <w:rPr>
          <w:rFonts w:ascii="Times New Roman" w:hAnsi="Times New Roman" w:cs="Times New Roman"/>
          <w:b/>
          <w:sz w:val="28"/>
        </w:rPr>
      </w:pPr>
      <w:r w:rsidRPr="00D27983">
        <w:rPr>
          <w:noProof/>
          <w:lang w:eastAsia="en-GB"/>
        </w:rPr>
        <w:drawing>
          <wp:anchor distT="0" distB="0" distL="114300" distR="114300" simplePos="0" relativeHeight="251673600" behindDoc="0" locked="0" layoutInCell="1" allowOverlap="1" wp14:anchorId="750DD4D9" wp14:editId="2EAB7F12">
            <wp:simplePos x="0" y="0"/>
            <wp:positionH relativeFrom="column">
              <wp:posOffset>342900</wp:posOffset>
            </wp:positionH>
            <wp:positionV relativeFrom="paragraph">
              <wp:posOffset>9525</wp:posOffset>
            </wp:positionV>
            <wp:extent cx="5143500" cy="36099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28303" w14:textId="77777777" w:rsidR="001B589A" w:rsidRDefault="001B589A" w:rsidP="000F236E">
      <w:pPr>
        <w:rPr>
          <w:rFonts w:ascii="Times New Roman" w:hAnsi="Times New Roman" w:cs="Times New Roman"/>
          <w:b/>
          <w:sz w:val="28"/>
        </w:rPr>
      </w:pPr>
    </w:p>
    <w:p w14:paraId="1F58B46D" w14:textId="77777777" w:rsidR="008D706B" w:rsidRDefault="008D706B" w:rsidP="000F236E">
      <w:pPr>
        <w:rPr>
          <w:rFonts w:ascii="Times New Roman" w:hAnsi="Times New Roman" w:cs="Times New Roman"/>
          <w:b/>
          <w:sz w:val="28"/>
        </w:rPr>
      </w:pPr>
    </w:p>
    <w:p w14:paraId="290E8521" w14:textId="77777777" w:rsidR="008D706B" w:rsidRDefault="008D706B" w:rsidP="000F236E">
      <w:pPr>
        <w:rPr>
          <w:rFonts w:ascii="Times New Roman" w:hAnsi="Times New Roman" w:cs="Times New Roman"/>
          <w:b/>
          <w:sz w:val="28"/>
        </w:rPr>
      </w:pPr>
    </w:p>
    <w:p w14:paraId="2D15FA10" w14:textId="77777777" w:rsidR="008D706B" w:rsidRDefault="008D706B" w:rsidP="000F236E">
      <w:pPr>
        <w:rPr>
          <w:rFonts w:ascii="Times New Roman" w:hAnsi="Times New Roman" w:cs="Times New Roman"/>
          <w:b/>
          <w:sz w:val="28"/>
        </w:rPr>
      </w:pPr>
    </w:p>
    <w:p w14:paraId="3F26FEB2" w14:textId="77777777" w:rsidR="008D706B" w:rsidRDefault="008D706B" w:rsidP="000F236E">
      <w:pPr>
        <w:rPr>
          <w:rFonts w:ascii="Times New Roman" w:hAnsi="Times New Roman" w:cs="Times New Roman"/>
          <w:b/>
          <w:sz w:val="28"/>
        </w:rPr>
      </w:pPr>
    </w:p>
    <w:p w14:paraId="5605C60F" w14:textId="77777777" w:rsidR="008D706B" w:rsidRDefault="008D706B" w:rsidP="000F236E">
      <w:pPr>
        <w:rPr>
          <w:rFonts w:ascii="Times New Roman" w:hAnsi="Times New Roman" w:cs="Times New Roman"/>
          <w:b/>
          <w:sz w:val="28"/>
        </w:rPr>
      </w:pPr>
    </w:p>
    <w:p w14:paraId="368C0DA8" w14:textId="77777777" w:rsidR="008D706B" w:rsidRDefault="008D706B" w:rsidP="000F236E">
      <w:pPr>
        <w:rPr>
          <w:rFonts w:ascii="Times New Roman" w:hAnsi="Times New Roman" w:cs="Times New Roman"/>
          <w:b/>
          <w:sz w:val="28"/>
        </w:rPr>
      </w:pPr>
    </w:p>
    <w:p w14:paraId="35F4C890" w14:textId="77777777" w:rsidR="008D706B" w:rsidRDefault="008D706B" w:rsidP="000F236E">
      <w:pPr>
        <w:rPr>
          <w:rFonts w:ascii="Times New Roman" w:hAnsi="Times New Roman" w:cs="Times New Roman"/>
          <w:b/>
          <w:sz w:val="28"/>
        </w:rPr>
      </w:pPr>
    </w:p>
    <w:p w14:paraId="0ABF10AF" w14:textId="77777777" w:rsidR="008D706B" w:rsidRDefault="008D706B" w:rsidP="000F236E">
      <w:pPr>
        <w:rPr>
          <w:rFonts w:ascii="Times New Roman" w:hAnsi="Times New Roman" w:cs="Times New Roman"/>
          <w:b/>
          <w:sz w:val="28"/>
        </w:rPr>
      </w:pPr>
    </w:p>
    <w:p w14:paraId="5EEFD147" w14:textId="77777777" w:rsidR="008D706B" w:rsidRDefault="008D706B" w:rsidP="000F236E">
      <w:pPr>
        <w:rPr>
          <w:rFonts w:ascii="Times New Roman" w:hAnsi="Times New Roman" w:cs="Times New Roman"/>
          <w:b/>
          <w:sz w:val="28"/>
        </w:rPr>
      </w:pPr>
    </w:p>
    <w:p w14:paraId="313C8A7A" w14:textId="77777777" w:rsidR="008D706B" w:rsidRDefault="008D706B" w:rsidP="000F236E">
      <w:pPr>
        <w:rPr>
          <w:rFonts w:ascii="Times New Roman" w:hAnsi="Times New Roman" w:cs="Times New Roman"/>
          <w:b/>
          <w:sz w:val="28"/>
        </w:rPr>
      </w:pPr>
    </w:p>
    <w:p w14:paraId="7A99438F" w14:textId="77777777" w:rsidR="008D706B" w:rsidRDefault="008D706B" w:rsidP="000F236E">
      <w:pPr>
        <w:rPr>
          <w:rFonts w:ascii="Times New Roman" w:hAnsi="Times New Roman" w:cs="Times New Roman"/>
          <w:b/>
          <w:sz w:val="28"/>
        </w:rPr>
      </w:pPr>
    </w:p>
    <w:p w14:paraId="64C1AB99" w14:textId="77777777" w:rsidR="00854A10" w:rsidRDefault="00854A10" w:rsidP="000F236E">
      <w:pPr>
        <w:rPr>
          <w:rFonts w:ascii="Times New Roman" w:hAnsi="Times New Roman" w:cs="Times New Roman"/>
          <w:b/>
          <w:sz w:val="28"/>
        </w:rPr>
      </w:pPr>
    </w:p>
    <w:p w14:paraId="74E10716" w14:textId="77777777" w:rsidR="00854A10" w:rsidRDefault="00854A10" w:rsidP="000F236E">
      <w:pPr>
        <w:rPr>
          <w:rFonts w:ascii="Times New Roman" w:hAnsi="Times New Roman" w:cs="Times New Roman"/>
          <w:b/>
          <w:sz w:val="28"/>
        </w:rPr>
      </w:pPr>
    </w:p>
    <w:p w14:paraId="77D9D684" w14:textId="77777777" w:rsidR="00854A10" w:rsidRDefault="00854A10" w:rsidP="000F236E">
      <w:pPr>
        <w:rPr>
          <w:rFonts w:ascii="Times New Roman" w:hAnsi="Times New Roman" w:cs="Times New Roman"/>
          <w:b/>
          <w:sz w:val="28"/>
        </w:rPr>
      </w:pPr>
    </w:p>
    <w:p w14:paraId="7B078C25" w14:textId="77777777" w:rsidR="00854A10" w:rsidRDefault="00854A10" w:rsidP="000F236E">
      <w:pPr>
        <w:rPr>
          <w:rFonts w:ascii="Times New Roman" w:hAnsi="Times New Roman" w:cs="Times New Roman"/>
          <w:b/>
          <w:sz w:val="28"/>
        </w:rPr>
      </w:pPr>
    </w:p>
    <w:p w14:paraId="6B9873EE" w14:textId="77777777" w:rsidR="00854A10" w:rsidRDefault="00854A10" w:rsidP="000F236E">
      <w:pPr>
        <w:rPr>
          <w:rFonts w:ascii="Times New Roman" w:hAnsi="Times New Roman" w:cs="Times New Roman"/>
          <w:b/>
          <w:sz w:val="28"/>
        </w:rPr>
      </w:pPr>
    </w:p>
    <w:p w14:paraId="52A4617A" w14:textId="77777777" w:rsidR="00854A10" w:rsidRDefault="00854A10" w:rsidP="000F236E">
      <w:pPr>
        <w:rPr>
          <w:rFonts w:ascii="Times New Roman" w:hAnsi="Times New Roman" w:cs="Times New Roman"/>
          <w:b/>
          <w:sz w:val="28"/>
        </w:rPr>
      </w:pPr>
    </w:p>
    <w:p w14:paraId="073C7471" w14:textId="77777777" w:rsidR="00854A10" w:rsidRDefault="00854A10" w:rsidP="000F236E">
      <w:pPr>
        <w:rPr>
          <w:rFonts w:ascii="Times New Roman" w:hAnsi="Times New Roman" w:cs="Times New Roman"/>
          <w:b/>
          <w:sz w:val="28"/>
        </w:rPr>
      </w:pPr>
    </w:p>
    <w:p w14:paraId="354BD4D7" w14:textId="77777777" w:rsidR="00854A10" w:rsidRDefault="00854A10" w:rsidP="000F236E">
      <w:pPr>
        <w:rPr>
          <w:rFonts w:ascii="Times New Roman" w:hAnsi="Times New Roman" w:cs="Times New Roman"/>
          <w:b/>
          <w:sz w:val="28"/>
        </w:rPr>
      </w:pPr>
    </w:p>
    <w:p w14:paraId="39310204" w14:textId="77777777" w:rsidR="00854A10" w:rsidRDefault="00854A10" w:rsidP="000F236E">
      <w:pPr>
        <w:rPr>
          <w:rFonts w:ascii="Times New Roman" w:hAnsi="Times New Roman" w:cs="Times New Roman"/>
          <w:b/>
          <w:sz w:val="28"/>
        </w:rPr>
      </w:pPr>
    </w:p>
    <w:p w14:paraId="282718FD" w14:textId="77777777" w:rsidR="00854A10" w:rsidRDefault="00854A10" w:rsidP="000F236E">
      <w:pPr>
        <w:rPr>
          <w:rFonts w:ascii="Times New Roman" w:hAnsi="Times New Roman" w:cs="Times New Roman"/>
          <w:b/>
          <w:sz w:val="28"/>
        </w:rPr>
      </w:pPr>
    </w:p>
    <w:p w14:paraId="7EF66AF6" w14:textId="77777777" w:rsidR="00854A10" w:rsidRDefault="00854A10" w:rsidP="000F236E">
      <w:pPr>
        <w:rPr>
          <w:rFonts w:ascii="Times New Roman" w:hAnsi="Times New Roman" w:cs="Times New Roman"/>
          <w:b/>
          <w:sz w:val="28"/>
        </w:rPr>
      </w:pPr>
    </w:p>
    <w:p w14:paraId="4E726364" w14:textId="77777777" w:rsidR="00854A10" w:rsidRDefault="00854A10" w:rsidP="000F236E">
      <w:pPr>
        <w:rPr>
          <w:rFonts w:ascii="Times New Roman" w:hAnsi="Times New Roman" w:cs="Times New Roman"/>
          <w:b/>
          <w:sz w:val="28"/>
        </w:rPr>
      </w:pPr>
    </w:p>
    <w:p w14:paraId="155BCF45" w14:textId="77777777" w:rsidR="00854A10" w:rsidRDefault="00854A10" w:rsidP="000F236E">
      <w:pPr>
        <w:rPr>
          <w:rFonts w:ascii="Times New Roman" w:hAnsi="Times New Roman" w:cs="Times New Roman"/>
          <w:b/>
          <w:sz w:val="28"/>
        </w:rPr>
      </w:pPr>
    </w:p>
    <w:p w14:paraId="7E2B38AB" w14:textId="77777777" w:rsidR="000F236E" w:rsidRDefault="008D3BA8" w:rsidP="000F236E">
      <w:pPr>
        <w:rPr>
          <w:rFonts w:ascii="Times New Roman" w:hAnsi="Times New Roman" w:cs="Times New Roman"/>
          <w:b/>
          <w:sz w:val="28"/>
        </w:rPr>
      </w:pPr>
      <w:r>
        <w:rPr>
          <w:rFonts w:ascii="Times New Roman" w:hAnsi="Times New Roman" w:cs="Times New Roman"/>
          <w:b/>
          <w:sz w:val="28"/>
        </w:rPr>
        <w:lastRenderedPageBreak/>
        <w:t xml:space="preserve">4. </w:t>
      </w:r>
      <w:r w:rsidR="000F236E" w:rsidRPr="00F1620C">
        <w:rPr>
          <w:rFonts w:ascii="Times New Roman" w:hAnsi="Times New Roman" w:cs="Times New Roman"/>
          <w:b/>
          <w:sz w:val="28"/>
        </w:rPr>
        <w:t>Appendix – Assembly of Variables</w:t>
      </w:r>
    </w:p>
    <w:p w14:paraId="5B29F793" w14:textId="77777777" w:rsidR="008D3BA8" w:rsidRDefault="008D3BA8" w:rsidP="000F236E">
      <w:pPr>
        <w:rPr>
          <w:rFonts w:ascii="Times New Roman" w:hAnsi="Times New Roman" w:cs="Times New Roman"/>
          <w:b/>
          <w:sz w:val="28"/>
        </w:rPr>
      </w:pPr>
    </w:p>
    <w:p w14:paraId="740B9B31" w14:textId="77777777" w:rsidR="008D3BA8" w:rsidRPr="008D3BA8" w:rsidRDefault="002558FD" w:rsidP="000F236E">
      <w:pPr>
        <w:rPr>
          <w:rFonts w:ascii="Times New Roman" w:hAnsi="Times New Roman" w:cs="Times New Roman"/>
          <w:b/>
          <w:sz w:val="24"/>
        </w:rPr>
      </w:pPr>
      <w:r>
        <w:rPr>
          <w:rFonts w:ascii="Times New Roman" w:hAnsi="Times New Roman" w:cs="Times New Roman"/>
          <w:b/>
          <w:sz w:val="24"/>
        </w:rPr>
        <w:t xml:space="preserve">4.1 Domain 1 </w:t>
      </w:r>
      <w:r w:rsidRPr="002B5B62">
        <w:rPr>
          <w:rFonts w:ascii="Times New Roman" w:hAnsi="Times New Roman" w:cs="Times New Roman"/>
          <w:b/>
          <w:sz w:val="24"/>
        </w:rPr>
        <w:t>-</w:t>
      </w:r>
      <w:r w:rsidR="008D3BA8" w:rsidRPr="002B5B62">
        <w:rPr>
          <w:rFonts w:ascii="Times New Roman" w:hAnsi="Times New Roman" w:cs="Times New Roman"/>
          <w:b/>
          <w:sz w:val="24"/>
        </w:rPr>
        <w:t xml:space="preserve"> Composition</w:t>
      </w:r>
      <w:r w:rsidR="008D3BA8" w:rsidRPr="002558FD">
        <w:rPr>
          <w:rFonts w:ascii="Times New Roman" w:hAnsi="Times New Roman" w:cs="Times New Roman"/>
          <w:sz w:val="24"/>
        </w:rPr>
        <w:t xml:space="preserve"> </w:t>
      </w:r>
    </w:p>
    <w:p w14:paraId="7C4D8A01"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sz w:val="24"/>
        </w:rPr>
        <w:t xml:space="preserve">A number of variables were used to capture differences in the overall </w:t>
      </w:r>
      <w:r w:rsidRPr="008D3BA8">
        <w:rPr>
          <w:rFonts w:ascii="Times New Roman" w:hAnsi="Times New Roman" w:cs="Times New Roman"/>
          <w:bCs/>
          <w:sz w:val="24"/>
        </w:rPr>
        <w:t>composition</w:t>
      </w:r>
      <w:r w:rsidRPr="008D3BA8">
        <w:rPr>
          <w:rFonts w:ascii="Times New Roman" w:hAnsi="Times New Roman" w:cs="Times New Roman"/>
          <w:sz w:val="24"/>
        </w:rPr>
        <w:t xml:space="preserve"> of retail centres, using the 2020 release of the Local Data Company dataset. </w:t>
      </w:r>
      <w:r w:rsidRPr="008D3BA8">
        <w:rPr>
          <w:rFonts w:ascii="Times New Roman" w:hAnsi="Times New Roman" w:cs="Times New Roman"/>
          <w:b/>
          <w:sz w:val="28"/>
        </w:rPr>
        <w:t xml:space="preserve"> </w:t>
      </w:r>
      <w:r w:rsidRPr="008D3BA8">
        <w:rPr>
          <w:rFonts w:ascii="Times New Roman" w:hAnsi="Times New Roman" w:cs="Times New Roman"/>
          <w:sz w:val="24"/>
        </w:rPr>
        <w:t xml:space="preserve">Each variable was calculated by extracting the total number of each type of retail (e.g. ClothingandFootwear, ConsumerServices) in each retail centre, before calculating the proportion of these relative to the total number of units in each retail centre. Only the active LDC units </w:t>
      </w:r>
      <w:r w:rsidRPr="008D3BA8">
        <w:rPr>
          <w:rFonts w:ascii="Times New Roman" w:hAnsi="Times New Roman" w:cs="Times New Roman"/>
          <w:sz w:val="24"/>
        </w:rPr>
        <w:br/>
        <w:t>(e.g. PremiseStatus == “Live”) were used to construct these different variables. The full list and provenance of these is listed below.</w:t>
      </w:r>
    </w:p>
    <w:p w14:paraId="45B43516"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 xml:space="preserve">propClothingandFootwear </w:t>
      </w:r>
      <w:r w:rsidRPr="008D3BA8">
        <w:rPr>
          <w:rFonts w:ascii="Times New Roman" w:hAnsi="Times New Roman" w:cs="Times New Roman"/>
          <w:sz w:val="24"/>
        </w:rPr>
        <w:t xml:space="preserve">– all LDC units pertaining to clothing and footwear retail goods, extracted by identifying all LDC units in the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 xml:space="preserve">“Fashion &amp; General Clothing”, “Clothes &amp; Fashion”, “Footwear”) categories. </w:t>
      </w:r>
    </w:p>
    <w:p w14:paraId="2D65560C"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 xml:space="preserve">propDIYandHousehold </w:t>
      </w:r>
      <w:r w:rsidRPr="008D3BA8">
        <w:rPr>
          <w:rFonts w:ascii="Times New Roman" w:hAnsi="Times New Roman" w:cs="Times New Roman"/>
          <w:sz w:val="24"/>
        </w:rPr>
        <w:t xml:space="preserve">– all LDC units in the following 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 xml:space="preserve">“DIY, Hardware, Builder’s Merchants &amp; Household Good”, “Furniture, Carpets, Textiles, Bathrooms &amp; Kitchens”, “Home &amp; Garden”, “Household &amp; Home). </w:t>
      </w:r>
    </w:p>
    <w:p w14:paraId="23A2E806" w14:textId="77777777" w:rsidR="008D3BA8" w:rsidRPr="008D3BA8" w:rsidRDefault="008D3BA8" w:rsidP="008D3BA8">
      <w:pPr>
        <w:jc w:val="both"/>
        <w:rPr>
          <w:rFonts w:ascii="Times New Roman" w:hAnsi="Times New Roman" w:cs="Times New Roman"/>
          <w:sz w:val="24"/>
        </w:rPr>
      </w:pPr>
      <w:proofErr w:type="spellStart"/>
      <w:r w:rsidRPr="008D3BA8">
        <w:rPr>
          <w:rFonts w:ascii="Times New Roman" w:hAnsi="Times New Roman" w:cs="Times New Roman"/>
          <w:i/>
          <w:sz w:val="24"/>
        </w:rPr>
        <w:t>propElectricalandHomeEntertainment</w:t>
      </w:r>
      <w:proofErr w:type="spellEnd"/>
      <w:r w:rsidRPr="008D3BA8">
        <w:rPr>
          <w:rFonts w:ascii="Times New Roman" w:hAnsi="Times New Roman" w:cs="Times New Roman"/>
          <w:sz w:val="24"/>
        </w:rPr>
        <w:t xml:space="preserve"> – all LDC units in the following 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“Electrical Goods &amp; Home Entertainment”), and some additional subcategories; c(“Audio Visual Rental”, “Computers”, “Electrical Goods”, “Home Entertainment”, “Mobile Phones”, “Printer Cartridges”, “Printers”, “Records, Tapes &amp; CD’s”, “Sewing Machines”, “Video Library”).</w:t>
      </w:r>
    </w:p>
    <w:p w14:paraId="3BABE39B"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 xml:space="preserve">propRecreational </w:t>
      </w:r>
      <w:r w:rsidRPr="008D3BA8">
        <w:rPr>
          <w:rFonts w:ascii="Times New Roman" w:hAnsi="Times New Roman" w:cs="Times New Roman"/>
          <w:b/>
          <w:sz w:val="24"/>
        </w:rPr>
        <w:t xml:space="preserve">– </w:t>
      </w:r>
      <w:r w:rsidRPr="008D3BA8">
        <w:rPr>
          <w:rFonts w:ascii="Times New Roman" w:hAnsi="Times New Roman" w:cs="Times New Roman"/>
          <w:sz w:val="24"/>
        </w:rPr>
        <w:t xml:space="preserve">all LDC units in the following 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 xml:space="preserve">“Books, Arts &amp; Crafts, Stationery, Printers”, “Sports, Toys, Cycle Shops &amp; Hobbies”), and a number of additional subcategories; c(“Camping Goods &amp; Outdoor Wear”, “Model Shops”, “Pianos &amp; Accessories”, “Potteries &amp; Ceramics”, “Skiing Equipment”, “Sports Goods Stores”). </w:t>
      </w:r>
    </w:p>
    <w:p w14:paraId="4C477857"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 xml:space="preserve">propFood </w:t>
      </w:r>
      <w:r w:rsidRPr="008D3BA8">
        <w:rPr>
          <w:rFonts w:ascii="Times New Roman" w:hAnsi="Times New Roman" w:cs="Times New Roman"/>
          <w:sz w:val="24"/>
        </w:rPr>
        <w:t xml:space="preserve">– All LDC units pertaining to non-service Food (e.g. excluding takeaways, restaurants etc.) in the following 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“Groceries, Supermarkets &amp; Food Shops”, “Food &amp; Drink”, “Butchers &amp; Fishmongers, “Bakers”), and a number of additional subcategories; c(“Convenience Stores”, “Grocers”).</w:t>
      </w:r>
    </w:p>
    <w:p w14:paraId="6CE082EF"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propCTNOffLicenceForecourt</w:t>
      </w:r>
      <w:r w:rsidRPr="008D3BA8">
        <w:rPr>
          <w:rFonts w:ascii="Times New Roman" w:hAnsi="Times New Roman" w:cs="Times New Roman"/>
          <w:b/>
          <w:sz w:val="24"/>
        </w:rPr>
        <w:t xml:space="preserve"> – </w:t>
      </w:r>
      <w:r w:rsidRPr="008D3BA8">
        <w:rPr>
          <w:rFonts w:ascii="Times New Roman" w:hAnsi="Times New Roman" w:cs="Times New Roman"/>
          <w:sz w:val="24"/>
        </w:rPr>
        <w:t xml:space="preserve">all LDC units in the following 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 xml:space="preserve">“Confectionary, Tobacco, Newsagents”, “Off Licences”, “Petrol Filling Stations”), with all Petrol Filling Stations attributed to a Supermarket retailer extracted by removing LDC units with the following </w:t>
      </w:r>
      <w:proofErr w:type="spellStart"/>
      <w:r w:rsidRPr="008D3BA8">
        <w:rPr>
          <w:rFonts w:ascii="Times New Roman" w:hAnsi="Times New Roman" w:cs="Times New Roman"/>
          <w:sz w:val="24"/>
        </w:rPr>
        <w:t>MultipleNames</w:t>
      </w:r>
      <w:proofErr w:type="spellEnd"/>
      <w:r w:rsidRPr="008D3BA8">
        <w:rPr>
          <w:rFonts w:ascii="Times New Roman" w:hAnsi="Times New Roman" w:cs="Times New Roman"/>
          <w:sz w:val="24"/>
        </w:rPr>
        <w:t xml:space="preserve">: c(“Tesco Petrol Station”, “Sainsbury’s Filling Stations”, “Asda Petrol Station”, Morrisons Petrol Filling Stations”) removed, to keep only Petrol forecourts. </w:t>
      </w:r>
    </w:p>
    <w:p w14:paraId="7C0C0926"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propChemist</w:t>
      </w:r>
      <w:r w:rsidRPr="008D3BA8">
        <w:rPr>
          <w:rFonts w:ascii="Times New Roman" w:hAnsi="Times New Roman" w:cs="Times New Roman"/>
          <w:sz w:val="24"/>
        </w:rPr>
        <w:t xml:space="preserve"> – all LDC units in the “Chemists / Toiletries” Subcategory.</w:t>
      </w:r>
    </w:p>
    <w:p w14:paraId="74C80098"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 xml:space="preserve">propRestaurantsandFastFood </w:t>
      </w:r>
      <w:r w:rsidRPr="008D3BA8">
        <w:rPr>
          <w:rFonts w:ascii="Times New Roman" w:hAnsi="Times New Roman" w:cs="Times New Roman"/>
          <w:sz w:val="24"/>
        </w:rPr>
        <w:t xml:space="preserve">– all LDC units in the “Restaurants” category and a number of </w:t>
      </w:r>
      <w:proofErr w:type="spellStart"/>
      <w:r w:rsidRPr="008D3BA8">
        <w:rPr>
          <w:rFonts w:ascii="Times New Roman" w:hAnsi="Times New Roman" w:cs="Times New Roman"/>
          <w:sz w:val="24"/>
        </w:rPr>
        <w:t>cubcategories</w:t>
      </w:r>
      <w:proofErr w:type="spellEnd"/>
      <w:r w:rsidRPr="008D3BA8">
        <w:rPr>
          <w:rFonts w:ascii="Times New Roman" w:hAnsi="Times New Roman" w:cs="Times New Roman"/>
          <w:sz w:val="24"/>
        </w:rPr>
        <w:t xml:space="preserve"> containing Fast Food and Takeaway units; e.g. (“Fish &amp; Chips Shops”, “Pizza Takeaway”, “Indian Takeaway”). A </w:t>
      </w:r>
      <w:proofErr w:type="gramStart"/>
      <w:r w:rsidRPr="008D3BA8">
        <w:rPr>
          <w:rFonts w:ascii="Times New Roman" w:hAnsi="Times New Roman" w:cs="Times New Roman"/>
          <w:sz w:val="24"/>
        </w:rPr>
        <w:t>filter(</w:t>
      </w:r>
      <w:proofErr w:type="spellStart"/>
      <w:proofErr w:type="gramEnd"/>
      <w:r w:rsidRPr="008D3BA8">
        <w:rPr>
          <w:rFonts w:ascii="Times New Roman" w:hAnsi="Times New Roman" w:cs="Times New Roman"/>
          <w:sz w:val="24"/>
        </w:rPr>
        <w:t>grepl</w:t>
      </w:r>
      <w:proofErr w:type="spellEnd"/>
      <w:r w:rsidRPr="008D3BA8">
        <w:rPr>
          <w:rFonts w:ascii="Times New Roman" w:hAnsi="Times New Roman" w:cs="Times New Roman"/>
          <w:sz w:val="24"/>
        </w:rPr>
        <w:t>(“Fast Food”, Subcategory)) and filter(</w:t>
      </w:r>
      <w:proofErr w:type="spellStart"/>
      <w:r w:rsidRPr="008D3BA8">
        <w:rPr>
          <w:rFonts w:ascii="Times New Roman" w:hAnsi="Times New Roman" w:cs="Times New Roman"/>
          <w:sz w:val="24"/>
        </w:rPr>
        <w:t>grepl</w:t>
      </w:r>
      <w:proofErr w:type="spellEnd"/>
      <w:r w:rsidRPr="008D3BA8">
        <w:rPr>
          <w:rFonts w:ascii="Times New Roman" w:hAnsi="Times New Roman" w:cs="Times New Roman"/>
          <w:sz w:val="24"/>
        </w:rPr>
        <w:t>(“Takeaway”, Subcategory)) will pull most of these up.</w:t>
      </w:r>
    </w:p>
    <w:p w14:paraId="37CBC8EC" w14:textId="77777777" w:rsidR="008D3BA8" w:rsidRPr="008D3BA8" w:rsidRDefault="008D3BA8" w:rsidP="008D3BA8">
      <w:pPr>
        <w:jc w:val="both"/>
        <w:rPr>
          <w:rFonts w:ascii="Times New Roman" w:hAnsi="Times New Roman" w:cs="Times New Roman"/>
          <w:b/>
          <w:sz w:val="24"/>
        </w:rPr>
      </w:pPr>
      <w:r w:rsidRPr="008D3BA8">
        <w:rPr>
          <w:rFonts w:ascii="Times New Roman" w:hAnsi="Times New Roman" w:cs="Times New Roman"/>
          <w:i/>
          <w:sz w:val="24"/>
        </w:rPr>
        <w:lastRenderedPageBreak/>
        <w:t>propPubsBarsandClubs</w:t>
      </w:r>
      <w:r w:rsidRPr="008D3BA8">
        <w:rPr>
          <w:rFonts w:ascii="Times New Roman" w:hAnsi="Times New Roman" w:cs="Times New Roman"/>
          <w:b/>
          <w:sz w:val="24"/>
        </w:rPr>
        <w:t xml:space="preserve"> – </w:t>
      </w:r>
      <w:r w:rsidRPr="008D3BA8">
        <w:rPr>
          <w:rFonts w:ascii="Times New Roman" w:hAnsi="Times New Roman" w:cs="Times New Roman"/>
          <w:sz w:val="24"/>
        </w:rPr>
        <w:t xml:space="preserve">all LDC units in the “Pubs, Bars &amp; Clubs” and “Bars, Pubs &amp; Clubs” categories. </w:t>
      </w:r>
    </w:p>
    <w:p w14:paraId="1FE7C966"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propCafe</w:t>
      </w:r>
      <w:r w:rsidRPr="008D3BA8">
        <w:rPr>
          <w:rFonts w:ascii="Times New Roman" w:hAnsi="Times New Roman" w:cs="Times New Roman"/>
          <w:b/>
          <w:sz w:val="24"/>
        </w:rPr>
        <w:t xml:space="preserve"> – </w:t>
      </w:r>
      <w:r w:rsidRPr="008D3BA8">
        <w:rPr>
          <w:rFonts w:ascii="Times New Roman" w:hAnsi="Times New Roman" w:cs="Times New Roman"/>
          <w:sz w:val="24"/>
        </w:rPr>
        <w:t xml:space="preserve">all LDC units in the following subcategories;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“Café &amp; Tearoom”, “Coffee Shops”, “Internet Cafes”).</w:t>
      </w:r>
    </w:p>
    <w:p w14:paraId="1A26025B"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propEntertainmentandFitness</w:t>
      </w:r>
      <w:r w:rsidRPr="008D3BA8">
        <w:rPr>
          <w:rFonts w:ascii="Times New Roman" w:hAnsi="Times New Roman" w:cs="Times New Roman"/>
          <w:b/>
          <w:sz w:val="24"/>
        </w:rPr>
        <w:t xml:space="preserve"> </w:t>
      </w:r>
      <w:r w:rsidRPr="008D3BA8">
        <w:rPr>
          <w:rFonts w:ascii="Times New Roman" w:hAnsi="Times New Roman" w:cs="Times New Roman"/>
          <w:sz w:val="24"/>
        </w:rPr>
        <w:t xml:space="preserve">– all LDC units in the “Entertainment” and “Events &amp; Attractions” categories (e.g. Cinemas, Tourist Attractions), and all LDC units in the “Health Clubs” subcategory (e.g. gyms). </w:t>
      </w:r>
    </w:p>
    <w:p w14:paraId="3F352EA8" w14:textId="77777777" w:rsidR="008D3BA8" w:rsidRPr="008D3BA8" w:rsidRDefault="008D3BA8" w:rsidP="008D3BA8">
      <w:pPr>
        <w:jc w:val="both"/>
        <w:rPr>
          <w:rFonts w:ascii="Times New Roman" w:hAnsi="Times New Roman" w:cs="Times New Roman"/>
          <w:sz w:val="24"/>
        </w:rPr>
      </w:pPr>
      <w:proofErr w:type="spellStart"/>
      <w:r w:rsidRPr="008D3BA8">
        <w:rPr>
          <w:rFonts w:ascii="Times New Roman" w:hAnsi="Times New Roman" w:cs="Times New Roman"/>
          <w:i/>
          <w:sz w:val="24"/>
        </w:rPr>
        <w:t>propHealthandBeauty</w:t>
      </w:r>
      <w:proofErr w:type="spellEnd"/>
      <w:r w:rsidRPr="008D3BA8">
        <w:rPr>
          <w:rFonts w:ascii="Times New Roman" w:hAnsi="Times New Roman" w:cs="Times New Roman"/>
          <w:b/>
          <w:sz w:val="24"/>
        </w:rPr>
        <w:t xml:space="preserve"> </w:t>
      </w:r>
      <w:r w:rsidRPr="008D3BA8">
        <w:rPr>
          <w:rFonts w:ascii="Times New Roman" w:hAnsi="Times New Roman" w:cs="Times New Roman"/>
          <w:sz w:val="24"/>
        </w:rPr>
        <w:t xml:space="preserve">– all LDC units in the following Subcategories: </w:t>
      </w:r>
      <w:proofErr w:type="gramStart"/>
      <w:r w:rsidRPr="008D3BA8">
        <w:rPr>
          <w:rFonts w:ascii="Times New Roman" w:hAnsi="Times New Roman" w:cs="Times New Roman"/>
          <w:sz w:val="24"/>
        </w:rPr>
        <w:t>c(</w:t>
      </w:r>
      <w:proofErr w:type="gramEnd"/>
      <w:r w:rsidRPr="008D3BA8">
        <w:rPr>
          <w:rFonts w:ascii="Times New Roman" w:hAnsi="Times New Roman" w:cs="Times New Roman"/>
          <w:sz w:val="24"/>
        </w:rPr>
        <w:t xml:space="preserve">“Alternative &amp; Complementary Medicines”, “Barbers”, “Beauty Salons”, “Hair &amp; Beauty Salons”, “Hairdressers”, “Herbalists”, “Nail Salons”, “Tanning Shops”, “Tattooing &amp; Piercing”, “Beauty Products”, “Health &amp; Beauty Shops”, “Health Foods &amp; Products”). </w:t>
      </w:r>
    </w:p>
    <w:p w14:paraId="764BB573"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propConsumerServices</w:t>
      </w:r>
      <w:r w:rsidRPr="008D3BA8">
        <w:rPr>
          <w:rFonts w:ascii="Times New Roman" w:hAnsi="Times New Roman" w:cs="Times New Roman"/>
          <w:b/>
          <w:sz w:val="24"/>
        </w:rPr>
        <w:t xml:space="preserve"> </w:t>
      </w:r>
      <w:r w:rsidRPr="008D3BA8">
        <w:rPr>
          <w:rFonts w:ascii="Times New Roman" w:hAnsi="Times New Roman" w:cs="Times New Roman"/>
          <w:sz w:val="24"/>
        </w:rPr>
        <w:t xml:space="preserve">– all LDC units in the “Travel Agents”, “Banks &amp; Other Financial Institutions” and “Estate Agents” subcategories. </w:t>
      </w:r>
    </w:p>
    <w:p w14:paraId="517CF57C"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propHouseholdServices</w:t>
      </w:r>
      <w:r w:rsidRPr="008D3BA8">
        <w:rPr>
          <w:rFonts w:ascii="Times New Roman" w:hAnsi="Times New Roman" w:cs="Times New Roman"/>
          <w:b/>
          <w:sz w:val="24"/>
        </w:rPr>
        <w:t xml:space="preserve"> </w:t>
      </w:r>
      <w:r w:rsidRPr="008D3BA8">
        <w:rPr>
          <w:rFonts w:ascii="Times New Roman" w:hAnsi="Times New Roman" w:cs="Times New Roman"/>
          <w:sz w:val="24"/>
        </w:rPr>
        <w:t>– all LDC units in the “Laundries &amp; Laundrettes”, “Locksmiths” and “Car Dealers” subcategories.</w:t>
      </w:r>
    </w:p>
    <w:p w14:paraId="41E287DD" w14:textId="77777777" w:rsidR="008D3BA8" w:rsidRPr="008D3BA8" w:rsidRDefault="008D3BA8" w:rsidP="008D3BA8">
      <w:pPr>
        <w:jc w:val="both"/>
        <w:rPr>
          <w:rFonts w:ascii="Times New Roman" w:hAnsi="Times New Roman" w:cs="Times New Roman"/>
          <w:sz w:val="24"/>
        </w:rPr>
      </w:pPr>
      <w:r w:rsidRPr="008D3BA8">
        <w:rPr>
          <w:rFonts w:ascii="Times New Roman" w:hAnsi="Times New Roman" w:cs="Times New Roman"/>
          <w:i/>
          <w:sz w:val="24"/>
        </w:rPr>
        <w:t>propBusinessServices</w:t>
      </w:r>
      <w:r w:rsidRPr="008D3BA8">
        <w:rPr>
          <w:rFonts w:ascii="Times New Roman" w:hAnsi="Times New Roman" w:cs="Times New Roman"/>
          <w:b/>
          <w:sz w:val="24"/>
        </w:rPr>
        <w:t xml:space="preserve"> </w:t>
      </w:r>
      <w:r w:rsidRPr="008D3BA8">
        <w:rPr>
          <w:rFonts w:ascii="Times New Roman" w:hAnsi="Times New Roman" w:cs="Times New Roman"/>
          <w:sz w:val="24"/>
        </w:rPr>
        <w:t>– all LDC units in the “Recruitment Agencies”, “Wholesalers” and “Solicitors” subcategories.</w:t>
      </w:r>
    </w:p>
    <w:p w14:paraId="2A82FFC1" w14:textId="77777777" w:rsidR="008D3BA8" w:rsidRDefault="008D3BA8" w:rsidP="000F236E">
      <w:pPr>
        <w:rPr>
          <w:rFonts w:ascii="Times New Roman" w:hAnsi="Times New Roman" w:cs="Times New Roman"/>
          <w:b/>
          <w:sz w:val="24"/>
        </w:rPr>
      </w:pPr>
    </w:p>
    <w:p w14:paraId="7E9A5A1D" w14:textId="77777777" w:rsidR="00393B60" w:rsidRPr="002B5B62" w:rsidRDefault="002558FD" w:rsidP="000F236E">
      <w:pPr>
        <w:rPr>
          <w:rFonts w:ascii="Times New Roman" w:hAnsi="Times New Roman" w:cs="Times New Roman"/>
          <w:b/>
          <w:sz w:val="24"/>
        </w:rPr>
      </w:pPr>
      <w:r w:rsidRPr="002B5B62">
        <w:rPr>
          <w:rFonts w:ascii="Times New Roman" w:hAnsi="Times New Roman" w:cs="Times New Roman"/>
          <w:b/>
          <w:sz w:val="24"/>
        </w:rPr>
        <w:t>4.2 Domain 2 - Diversity</w:t>
      </w:r>
    </w:p>
    <w:p w14:paraId="028003EC" w14:textId="77777777" w:rsidR="006B407D" w:rsidRPr="002B5B62" w:rsidRDefault="006B407D" w:rsidP="006B407D">
      <w:pPr>
        <w:jc w:val="both"/>
        <w:rPr>
          <w:rFonts w:ascii="Times New Roman" w:hAnsi="Times New Roman" w:cs="Times New Roman"/>
          <w:sz w:val="24"/>
        </w:rPr>
      </w:pPr>
      <w:r w:rsidRPr="002B5B62">
        <w:rPr>
          <w:rFonts w:ascii="Times New Roman" w:hAnsi="Times New Roman" w:cs="Times New Roman"/>
          <w:sz w:val="24"/>
        </w:rPr>
        <w:t xml:space="preserve">A number of variables were used to capture the overall </w:t>
      </w:r>
      <w:r w:rsidRPr="002B5B62">
        <w:rPr>
          <w:rFonts w:ascii="Times New Roman" w:hAnsi="Times New Roman" w:cs="Times New Roman"/>
          <w:bCs/>
          <w:sz w:val="24"/>
        </w:rPr>
        <w:t>diversity</w:t>
      </w:r>
      <w:r w:rsidRPr="002B5B62">
        <w:rPr>
          <w:rFonts w:ascii="Times New Roman" w:hAnsi="Times New Roman" w:cs="Times New Roman"/>
          <w:b/>
          <w:bCs/>
          <w:sz w:val="24"/>
        </w:rPr>
        <w:t xml:space="preserve"> </w:t>
      </w:r>
      <w:r w:rsidRPr="002B5B62">
        <w:rPr>
          <w:rFonts w:ascii="Times New Roman" w:hAnsi="Times New Roman" w:cs="Times New Roman"/>
          <w:sz w:val="24"/>
        </w:rPr>
        <w:t>of retail centres. Many are based on the original variables used in the previous typology, however some are new additions from the recent ‘retail centre indicators’ data product. The full list and provenance of these can be seen below.</w:t>
      </w:r>
    </w:p>
    <w:p w14:paraId="0423321B" w14:textId="77777777" w:rsidR="006B407D" w:rsidRPr="002B5B62" w:rsidRDefault="006B407D" w:rsidP="006B407D">
      <w:pPr>
        <w:jc w:val="both"/>
        <w:rPr>
          <w:rFonts w:ascii="Times New Roman" w:hAnsi="Times New Roman" w:cs="Times New Roman"/>
          <w:sz w:val="24"/>
        </w:rPr>
      </w:pPr>
      <w:r w:rsidRPr="002B5B62">
        <w:rPr>
          <w:rFonts w:ascii="Times New Roman" w:hAnsi="Times New Roman" w:cs="Times New Roman"/>
          <w:i/>
          <w:sz w:val="24"/>
        </w:rPr>
        <w:t>propIndependent</w:t>
      </w:r>
      <w:r w:rsidRPr="002B5B62">
        <w:rPr>
          <w:rFonts w:ascii="Times New Roman" w:hAnsi="Times New Roman" w:cs="Times New Roman"/>
          <w:sz w:val="24"/>
        </w:rPr>
        <w:t xml:space="preserve"> – all independent retailers/service providers as defined by LDC (units containing an NA value in the </w:t>
      </w:r>
      <w:proofErr w:type="spellStart"/>
      <w:r w:rsidRPr="002B5B62">
        <w:rPr>
          <w:rFonts w:ascii="Times New Roman" w:hAnsi="Times New Roman" w:cs="Times New Roman"/>
          <w:sz w:val="24"/>
        </w:rPr>
        <w:t>MultipleID</w:t>
      </w:r>
      <w:proofErr w:type="spellEnd"/>
      <w:r w:rsidRPr="002B5B62">
        <w:rPr>
          <w:rFonts w:ascii="Times New Roman" w:hAnsi="Times New Roman" w:cs="Times New Roman"/>
          <w:sz w:val="24"/>
        </w:rPr>
        <w:t xml:space="preserve"> and </w:t>
      </w:r>
      <w:proofErr w:type="spellStart"/>
      <w:r w:rsidRPr="002B5B62">
        <w:rPr>
          <w:rFonts w:ascii="Times New Roman" w:hAnsi="Times New Roman" w:cs="Times New Roman"/>
          <w:sz w:val="24"/>
        </w:rPr>
        <w:t>MultipleName</w:t>
      </w:r>
      <w:proofErr w:type="spellEnd"/>
      <w:r w:rsidRPr="002B5B62">
        <w:rPr>
          <w:rFonts w:ascii="Times New Roman" w:hAnsi="Times New Roman" w:cs="Times New Roman"/>
          <w:sz w:val="24"/>
        </w:rPr>
        <w:t xml:space="preserve"> columns). </w:t>
      </w:r>
    </w:p>
    <w:p w14:paraId="5545E038" w14:textId="77777777" w:rsidR="006B407D" w:rsidRPr="002B5B62" w:rsidRDefault="006B407D" w:rsidP="006B407D">
      <w:pPr>
        <w:jc w:val="both"/>
        <w:rPr>
          <w:rFonts w:ascii="Times New Roman" w:hAnsi="Times New Roman" w:cs="Times New Roman"/>
          <w:sz w:val="24"/>
        </w:rPr>
      </w:pPr>
      <w:r w:rsidRPr="002B5B62">
        <w:rPr>
          <w:rFonts w:ascii="Times New Roman" w:hAnsi="Times New Roman" w:cs="Times New Roman"/>
          <w:i/>
          <w:sz w:val="24"/>
        </w:rPr>
        <w:t>propSmallMultiple</w:t>
      </w:r>
      <w:r w:rsidRPr="002B5B62">
        <w:rPr>
          <w:rFonts w:ascii="Times New Roman" w:hAnsi="Times New Roman" w:cs="Times New Roman"/>
          <w:sz w:val="24"/>
        </w:rPr>
        <w:t xml:space="preserve"> – all small </w:t>
      </w:r>
      <w:proofErr w:type="gramStart"/>
      <w:r w:rsidRPr="002B5B62">
        <w:rPr>
          <w:rFonts w:ascii="Times New Roman" w:hAnsi="Times New Roman" w:cs="Times New Roman"/>
          <w:sz w:val="24"/>
        </w:rPr>
        <w:t>multiples  comprising</w:t>
      </w:r>
      <w:proofErr w:type="gramEnd"/>
      <w:r w:rsidRPr="002B5B62">
        <w:rPr>
          <w:rFonts w:ascii="Times New Roman" w:hAnsi="Times New Roman" w:cs="Times New Roman"/>
          <w:sz w:val="24"/>
        </w:rPr>
        <w:t xml:space="preserve"> LDC defined multiple units (not containing an NA value in the </w:t>
      </w:r>
      <w:proofErr w:type="spellStart"/>
      <w:r w:rsidRPr="002B5B62">
        <w:rPr>
          <w:rFonts w:ascii="Times New Roman" w:hAnsi="Times New Roman" w:cs="Times New Roman"/>
          <w:sz w:val="24"/>
        </w:rPr>
        <w:t>MultipleID</w:t>
      </w:r>
      <w:proofErr w:type="spellEnd"/>
      <w:r w:rsidRPr="002B5B62">
        <w:rPr>
          <w:rFonts w:ascii="Times New Roman" w:hAnsi="Times New Roman" w:cs="Times New Roman"/>
          <w:sz w:val="24"/>
        </w:rPr>
        <w:t xml:space="preserve"> and </w:t>
      </w:r>
      <w:proofErr w:type="spellStart"/>
      <w:r w:rsidRPr="002B5B62">
        <w:rPr>
          <w:rFonts w:ascii="Times New Roman" w:hAnsi="Times New Roman" w:cs="Times New Roman"/>
          <w:sz w:val="24"/>
        </w:rPr>
        <w:t>MultipleName</w:t>
      </w:r>
      <w:proofErr w:type="spellEnd"/>
      <w:r w:rsidRPr="002B5B62">
        <w:rPr>
          <w:rFonts w:ascii="Times New Roman" w:hAnsi="Times New Roman" w:cs="Times New Roman"/>
          <w:sz w:val="24"/>
        </w:rPr>
        <w:t xml:space="preserve"> columns) and belonging to a ‘chain’ with 10 or less stores across the UK. </w:t>
      </w:r>
    </w:p>
    <w:p w14:paraId="74B7ADD5" w14:textId="77777777" w:rsidR="006B407D" w:rsidRPr="002B5B62" w:rsidRDefault="006B407D" w:rsidP="006B407D">
      <w:pPr>
        <w:jc w:val="both"/>
        <w:rPr>
          <w:rFonts w:ascii="Times New Roman" w:hAnsi="Times New Roman" w:cs="Times New Roman"/>
          <w:sz w:val="24"/>
        </w:rPr>
      </w:pPr>
      <w:proofErr w:type="spellStart"/>
      <w:r w:rsidRPr="002B5B62">
        <w:rPr>
          <w:rFonts w:ascii="Times New Roman" w:hAnsi="Times New Roman" w:cs="Times New Roman"/>
          <w:i/>
          <w:sz w:val="24"/>
        </w:rPr>
        <w:t>propLargeMultiple</w:t>
      </w:r>
      <w:proofErr w:type="spellEnd"/>
      <w:r w:rsidRPr="002B5B62">
        <w:rPr>
          <w:rFonts w:ascii="Times New Roman" w:hAnsi="Times New Roman" w:cs="Times New Roman"/>
          <w:sz w:val="24"/>
        </w:rPr>
        <w:t xml:space="preserve"> - all LDC units not containing an NA value in the </w:t>
      </w:r>
      <w:proofErr w:type="spellStart"/>
      <w:r w:rsidRPr="002B5B62">
        <w:rPr>
          <w:rFonts w:ascii="Times New Roman" w:hAnsi="Times New Roman" w:cs="Times New Roman"/>
          <w:sz w:val="24"/>
        </w:rPr>
        <w:t>MultipleID</w:t>
      </w:r>
      <w:proofErr w:type="spellEnd"/>
      <w:r w:rsidRPr="002B5B62">
        <w:rPr>
          <w:rFonts w:ascii="Times New Roman" w:hAnsi="Times New Roman" w:cs="Times New Roman"/>
          <w:sz w:val="24"/>
        </w:rPr>
        <w:t xml:space="preserve"> and </w:t>
      </w:r>
      <w:proofErr w:type="spellStart"/>
      <w:r w:rsidRPr="002B5B62">
        <w:rPr>
          <w:rFonts w:ascii="Times New Roman" w:hAnsi="Times New Roman" w:cs="Times New Roman"/>
          <w:sz w:val="24"/>
        </w:rPr>
        <w:t>MultipleName</w:t>
      </w:r>
      <w:proofErr w:type="spellEnd"/>
      <w:r w:rsidRPr="002B5B62">
        <w:rPr>
          <w:rFonts w:ascii="Times New Roman" w:hAnsi="Times New Roman" w:cs="Times New Roman"/>
          <w:sz w:val="24"/>
        </w:rPr>
        <w:t xml:space="preserve"> columns and belonging to a ‘chain’ with more than 10 stores across the UK.</w:t>
      </w:r>
    </w:p>
    <w:p w14:paraId="4594ABB4" w14:textId="77777777" w:rsidR="006B407D" w:rsidRPr="002B5B62" w:rsidRDefault="006B407D" w:rsidP="006B407D">
      <w:pPr>
        <w:jc w:val="both"/>
        <w:rPr>
          <w:rFonts w:ascii="Times New Roman" w:hAnsi="Times New Roman" w:cs="Times New Roman"/>
          <w:sz w:val="24"/>
        </w:rPr>
      </w:pPr>
      <w:proofErr w:type="spellStart"/>
      <w:r w:rsidRPr="002B5B62">
        <w:rPr>
          <w:rFonts w:ascii="Times New Roman" w:hAnsi="Times New Roman" w:cs="Times New Roman"/>
          <w:i/>
          <w:sz w:val="24"/>
        </w:rPr>
        <w:t>tenantMix</w:t>
      </w:r>
      <w:proofErr w:type="spellEnd"/>
      <w:r w:rsidRPr="002B5B62">
        <w:rPr>
          <w:rFonts w:ascii="Times New Roman" w:hAnsi="Times New Roman" w:cs="Times New Roman"/>
          <w:b/>
          <w:sz w:val="24"/>
        </w:rPr>
        <w:t xml:space="preserve"> – </w:t>
      </w:r>
      <w:r w:rsidRPr="002B5B62">
        <w:rPr>
          <w:rFonts w:ascii="Times New Roman" w:hAnsi="Times New Roman" w:cs="Times New Roman"/>
          <w:sz w:val="24"/>
        </w:rPr>
        <w:t xml:space="preserve">the proportion of unique brands (i.e. those not containing an NA value in </w:t>
      </w:r>
      <w:proofErr w:type="spellStart"/>
      <w:r w:rsidRPr="002B5B62">
        <w:rPr>
          <w:rFonts w:ascii="Times New Roman" w:hAnsi="Times New Roman" w:cs="Times New Roman"/>
          <w:sz w:val="24"/>
        </w:rPr>
        <w:t>MultipleID</w:t>
      </w:r>
      <w:proofErr w:type="spellEnd"/>
      <w:r w:rsidRPr="002B5B62">
        <w:rPr>
          <w:rFonts w:ascii="Times New Roman" w:hAnsi="Times New Roman" w:cs="Times New Roman"/>
          <w:sz w:val="24"/>
        </w:rPr>
        <w:t>/</w:t>
      </w:r>
      <w:proofErr w:type="spellStart"/>
      <w:r w:rsidRPr="002B5B62">
        <w:rPr>
          <w:rFonts w:ascii="Times New Roman" w:hAnsi="Times New Roman" w:cs="Times New Roman"/>
          <w:sz w:val="24"/>
        </w:rPr>
        <w:t>MultipleName</w:t>
      </w:r>
      <w:proofErr w:type="spellEnd"/>
      <w:r w:rsidRPr="002B5B62">
        <w:rPr>
          <w:rFonts w:ascii="Times New Roman" w:hAnsi="Times New Roman" w:cs="Times New Roman"/>
          <w:sz w:val="24"/>
        </w:rPr>
        <w:t>) in each retail centre, in relation to the total number of units. Higher values indicate a greater dominance and diversity of major brands in each retail centre.</w:t>
      </w:r>
    </w:p>
    <w:p w14:paraId="738C04CF" w14:textId="77777777" w:rsidR="006B407D" w:rsidRPr="002B5B62" w:rsidRDefault="006B407D" w:rsidP="006B407D">
      <w:pPr>
        <w:jc w:val="both"/>
        <w:rPr>
          <w:rFonts w:ascii="Times New Roman" w:hAnsi="Times New Roman" w:cs="Times New Roman"/>
          <w:sz w:val="24"/>
        </w:rPr>
      </w:pPr>
      <w:proofErr w:type="spellStart"/>
      <w:r w:rsidRPr="002B5B62">
        <w:rPr>
          <w:rFonts w:ascii="Times New Roman" w:hAnsi="Times New Roman" w:cs="Times New Roman"/>
          <w:i/>
          <w:sz w:val="24"/>
        </w:rPr>
        <w:t>comparisonDiversity</w:t>
      </w:r>
      <w:proofErr w:type="spellEnd"/>
      <w:r w:rsidRPr="002B5B62">
        <w:rPr>
          <w:rFonts w:ascii="Times New Roman" w:hAnsi="Times New Roman" w:cs="Times New Roman"/>
          <w:b/>
          <w:sz w:val="24"/>
        </w:rPr>
        <w:t xml:space="preserve"> </w:t>
      </w:r>
      <w:r w:rsidRPr="002B5B62">
        <w:rPr>
          <w:rFonts w:ascii="Times New Roman" w:hAnsi="Times New Roman" w:cs="Times New Roman"/>
          <w:sz w:val="24"/>
        </w:rPr>
        <w:t>– proportion of ‘comparison’ retail subcategories present in each retail centre, relative to the total number of ‘comparison’ retail subcategories nationally.</w:t>
      </w:r>
    </w:p>
    <w:p w14:paraId="5DA17308" w14:textId="77777777" w:rsidR="006B407D" w:rsidRPr="002B5B62" w:rsidRDefault="006B407D" w:rsidP="006B407D">
      <w:pPr>
        <w:jc w:val="both"/>
        <w:rPr>
          <w:rFonts w:ascii="Times New Roman" w:hAnsi="Times New Roman" w:cs="Times New Roman"/>
          <w:b/>
          <w:sz w:val="24"/>
        </w:rPr>
      </w:pPr>
      <w:proofErr w:type="spellStart"/>
      <w:r w:rsidRPr="002B5B62">
        <w:rPr>
          <w:rFonts w:ascii="Times New Roman" w:hAnsi="Times New Roman" w:cs="Times New Roman"/>
          <w:i/>
          <w:sz w:val="24"/>
        </w:rPr>
        <w:t>convenienceDiversity</w:t>
      </w:r>
      <w:proofErr w:type="spellEnd"/>
      <w:r w:rsidRPr="002B5B62">
        <w:rPr>
          <w:rFonts w:ascii="Times New Roman" w:hAnsi="Times New Roman" w:cs="Times New Roman"/>
          <w:b/>
          <w:sz w:val="24"/>
        </w:rPr>
        <w:t xml:space="preserve"> </w:t>
      </w:r>
      <w:r w:rsidRPr="002B5B62">
        <w:rPr>
          <w:rFonts w:ascii="Times New Roman" w:hAnsi="Times New Roman" w:cs="Times New Roman"/>
          <w:sz w:val="24"/>
        </w:rPr>
        <w:t>– proportion of ‘convenience’ retail subcategories present in each retail centre, relative to the total number of ‘convenience’ retail subcategories nationally.</w:t>
      </w:r>
    </w:p>
    <w:p w14:paraId="15C6E13C" w14:textId="77777777" w:rsidR="006B407D" w:rsidRPr="002B5B62" w:rsidRDefault="006B407D" w:rsidP="006B407D">
      <w:pPr>
        <w:jc w:val="both"/>
        <w:rPr>
          <w:rFonts w:ascii="Times New Roman" w:hAnsi="Times New Roman" w:cs="Times New Roman"/>
          <w:b/>
          <w:sz w:val="24"/>
        </w:rPr>
      </w:pPr>
      <w:proofErr w:type="spellStart"/>
      <w:r w:rsidRPr="002B5B62">
        <w:rPr>
          <w:rFonts w:ascii="Times New Roman" w:hAnsi="Times New Roman" w:cs="Times New Roman"/>
          <w:i/>
          <w:sz w:val="24"/>
        </w:rPr>
        <w:lastRenderedPageBreak/>
        <w:t>leisureDiversity</w:t>
      </w:r>
      <w:proofErr w:type="spellEnd"/>
      <w:r w:rsidRPr="002B5B62">
        <w:rPr>
          <w:rFonts w:ascii="Times New Roman" w:hAnsi="Times New Roman" w:cs="Times New Roman"/>
          <w:i/>
          <w:sz w:val="24"/>
        </w:rPr>
        <w:t xml:space="preserve"> </w:t>
      </w:r>
      <w:r w:rsidRPr="002B5B62">
        <w:rPr>
          <w:rFonts w:ascii="Times New Roman" w:hAnsi="Times New Roman" w:cs="Times New Roman"/>
          <w:sz w:val="24"/>
        </w:rPr>
        <w:t>– proportion of ‘leisure’ retail subcategories present in each retail centre, relative to the total number of ‘leisure’ retail subcategories nationally.</w:t>
      </w:r>
    </w:p>
    <w:p w14:paraId="09BB80C9" w14:textId="77777777" w:rsidR="006B407D" w:rsidRPr="002B5B62" w:rsidRDefault="006B407D" w:rsidP="006B407D">
      <w:pPr>
        <w:jc w:val="both"/>
        <w:rPr>
          <w:rFonts w:ascii="Times New Roman" w:hAnsi="Times New Roman" w:cs="Times New Roman"/>
          <w:b/>
          <w:sz w:val="24"/>
        </w:rPr>
      </w:pPr>
      <w:proofErr w:type="spellStart"/>
      <w:r w:rsidRPr="002B5B62">
        <w:rPr>
          <w:rFonts w:ascii="Times New Roman" w:hAnsi="Times New Roman" w:cs="Times New Roman"/>
          <w:i/>
          <w:sz w:val="24"/>
        </w:rPr>
        <w:t>serviceDiversity</w:t>
      </w:r>
      <w:proofErr w:type="spellEnd"/>
      <w:r w:rsidRPr="002B5B62">
        <w:rPr>
          <w:rFonts w:ascii="Times New Roman" w:hAnsi="Times New Roman" w:cs="Times New Roman"/>
          <w:b/>
          <w:sz w:val="24"/>
        </w:rPr>
        <w:t xml:space="preserve"> </w:t>
      </w:r>
      <w:r w:rsidRPr="002B5B62">
        <w:rPr>
          <w:rFonts w:ascii="Times New Roman" w:hAnsi="Times New Roman" w:cs="Times New Roman"/>
          <w:sz w:val="24"/>
        </w:rPr>
        <w:t>– proportion of ‘service’ retail subcategories present in each retail centre, relative to the total number of ‘service’ retail subcategories nationally.</w:t>
      </w:r>
    </w:p>
    <w:p w14:paraId="79484528" w14:textId="77777777" w:rsidR="006B407D" w:rsidRPr="002B5B62" w:rsidRDefault="006B407D" w:rsidP="006B407D">
      <w:pPr>
        <w:jc w:val="both"/>
        <w:rPr>
          <w:rFonts w:ascii="Times New Roman" w:hAnsi="Times New Roman" w:cs="Times New Roman"/>
          <w:sz w:val="24"/>
        </w:rPr>
      </w:pPr>
      <w:proofErr w:type="spellStart"/>
      <w:r w:rsidRPr="002B5B62">
        <w:rPr>
          <w:rFonts w:ascii="Times New Roman" w:hAnsi="Times New Roman" w:cs="Times New Roman"/>
          <w:i/>
          <w:sz w:val="24"/>
        </w:rPr>
        <w:t>propCloneRetailers</w:t>
      </w:r>
      <w:proofErr w:type="spellEnd"/>
      <w:r w:rsidRPr="002B5B62">
        <w:rPr>
          <w:rFonts w:ascii="Times New Roman" w:hAnsi="Times New Roman" w:cs="Times New Roman"/>
          <w:i/>
          <w:sz w:val="24"/>
        </w:rPr>
        <w:t xml:space="preserve"> </w:t>
      </w:r>
      <w:r w:rsidRPr="002B5B62">
        <w:rPr>
          <w:rFonts w:ascii="Times New Roman" w:hAnsi="Times New Roman" w:cs="Times New Roman"/>
          <w:sz w:val="24"/>
        </w:rPr>
        <w:t>– proportion of total LDC units in each retail centre made up by “clone” retailers, identified from the list obtained when calculating the ‘Clone Town’ measure for retail centres.</w:t>
      </w:r>
    </w:p>
    <w:p w14:paraId="6491FAD4" w14:textId="77777777" w:rsidR="006B407D" w:rsidRDefault="006B407D" w:rsidP="006B407D">
      <w:pPr>
        <w:jc w:val="both"/>
        <w:rPr>
          <w:rFonts w:ascii="Times New Roman" w:hAnsi="Times New Roman" w:cs="Times New Roman"/>
          <w:sz w:val="24"/>
        </w:rPr>
      </w:pPr>
      <w:proofErr w:type="spellStart"/>
      <w:r w:rsidRPr="002B5B62">
        <w:rPr>
          <w:rFonts w:ascii="Times New Roman" w:hAnsi="Times New Roman" w:cs="Times New Roman"/>
          <w:i/>
          <w:sz w:val="24"/>
        </w:rPr>
        <w:t>propCloneCategories</w:t>
      </w:r>
      <w:proofErr w:type="spellEnd"/>
      <w:r w:rsidRPr="002B5B62">
        <w:rPr>
          <w:rFonts w:ascii="Times New Roman" w:hAnsi="Times New Roman" w:cs="Times New Roman"/>
          <w:sz w:val="24"/>
        </w:rPr>
        <w:t xml:space="preserve"> – proportion of total distinct categories in each retail centre made up of “clone” retail categories, identified from the list obtained when calculating the ‘Clone Town’ measure for retail centres.</w:t>
      </w:r>
    </w:p>
    <w:p w14:paraId="4F50750D" w14:textId="77777777" w:rsidR="002B5B62" w:rsidRDefault="002B5B62" w:rsidP="006B407D">
      <w:pPr>
        <w:jc w:val="both"/>
        <w:rPr>
          <w:rFonts w:ascii="Times New Roman" w:hAnsi="Times New Roman" w:cs="Times New Roman"/>
          <w:sz w:val="24"/>
        </w:rPr>
      </w:pPr>
    </w:p>
    <w:p w14:paraId="5CA74BFD" w14:textId="77777777" w:rsidR="002B5B62" w:rsidRDefault="002B5B62" w:rsidP="006B407D">
      <w:pPr>
        <w:jc w:val="both"/>
        <w:rPr>
          <w:rFonts w:ascii="Times New Roman" w:hAnsi="Times New Roman" w:cs="Times New Roman"/>
          <w:b/>
          <w:sz w:val="24"/>
        </w:rPr>
      </w:pPr>
      <w:r>
        <w:rPr>
          <w:rFonts w:ascii="Times New Roman" w:hAnsi="Times New Roman" w:cs="Times New Roman"/>
          <w:b/>
          <w:sz w:val="24"/>
        </w:rPr>
        <w:t>4.3 Domain 3 – Size &amp; Function</w:t>
      </w:r>
    </w:p>
    <w:p w14:paraId="191B01B4"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sz w:val="24"/>
          <w:szCs w:val="24"/>
        </w:rPr>
        <w:t xml:space="preserve">A number of variables were used to capture the overall </w:t>
      </w:r>
      <w:r w:rsidRPr="002B5B62">
        <w:rPr>
          <w:rFonts w:ascii="Times New Roman" w:hAnsi="Times New Roman" w:cs="Times New Roman"/>
          <w:bCs/>
          <w:sz w:val="24"/>
          <w:szCs w:val="24"/>
        </w:rPr>
        <w:t>size and function</w:t>
      </w:r>
      <w:r w:rsidRPr="002B5B62">
        <w:rPr>
          <w:rFonts w:ascii="Times New Roman" w:hAnsi="Times New Roman" w:cs="Times New Roman"/>
          <w:b/>
          <w:bCs/>
          <w:sz w:val="24"/>
          <w:szCs w:val="24"/>
        </w:rPr>
        <w:t xml:space="preserve"> </w:t>
      </w:r>
      <w:r w:rsidRPr="002B5B62">
        <w:rPr>
          <w:rFonts w:ascii="Times New Roman" w:hAnsi="Times New Roman" w:cs="Times New Roman"/>
          <w:sz w:val="24"/>
          <w:szCs w:val="24"/>
        </w:rPr>
        <w:t>of retail centres. Many are based on the original variables used in the previous typology, however some are completely new (</w:t>
      </w:r>
      <w:proofErr w:type="spellStart"/>
      <w:r w:rsidRPr="002B5B62">
        <w:rPr>
          <w:rFonts w:ascii="Times New Roman" w:hAnsi="Times New Roman" w:cs="Times New Roman"/>
          <w:sz w:val="24"/>
          <w:szCs w:val="24"/>
        </w:rPr>
        <w:t>geographicalReach</w:t>
      </w:r>
      <w:proofErr w:type="spellEnd"/>
      <w:r w:rsidRPr="002B5B62">
        <w:rPr>
          <w:rFonts w:ascii="Times New Roman" w:hAnsi="Times New Roman" w:cs="Times New Roman"/>
          <w:sz w:val="24"/>
          <w:szCs w:val="24"/>
        </w:rPr>
        <w:t xml:space="preserve">), and some have been modified to account for changes in the retail sector and LDC data (e.g. propAnchor, </w:t>
      </w:r>
      <w:proofErr w:type="spellStart"/>
      <w:r w:rsidRPr="002B5B62">
        <w:rPr>
          <w:rFonts w:ascii="Times New Roman" w:hAnsi="Times New Roman" w:cs="Times New Roman"/>
          <w:sz w:val="24"/>
          <w:szCs w:val="24"/>
        </w:rPr>
        <w:t>propPremium</w:t>
      </w:r>
      <w:proofErr w:type="spellEnd"/>
      <w:r w:rsidRPr="002B5B62">
        <w:rPr>
          <w:rFonts w:ascii="Times New Roman" w:hAnsi="Times New Roman" w:cs="Times New Roman"/>
          <w:sz w:val="24"/>
          <w:szCs w:val="24"/>
        </w:rPr>
        <w:t xml:space="preserve">, </w:t>
      </w:r>
      <w:proofErr w:type="spellStart"/>
      <w:r w:rsidRPr="002B5B62">
        <w:rPr>
          <w:rFonts w:ascii="Times New Roman" w:hAnsi="Times New Roman" w:cs="Times New Roman"/>
          <w:sz w:val="24"/>
          <w:szCs w:val="24"/>
        </w:rPr>
        <w:t>propConcessions</w:t>
      </w:r>
      <w:proofErr w:type="spellEnd"/>
      <w:r w:rsidRPr="002B5B62">
        <w:rPr>
          <w:rFonts w:ascii="Times New Roman" w:hAnsi="Times New Roman" w:cs="Times New Roman"/>
          <w:sz w:val="24"/>
          <w:szCs w:val="24"/>
        </w:rPr>
        <w:t>). The full list and provenance of these can be seen below.</w:t>
      </w:r>
    </w:p>
    <w:p w14:paraId="3C1D133C"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i/>
          <w:sz w:val="24"/>
          <w:szCs w:val="24"/>
        </w:rPr>
        <w:t>nUnits</w:t>
      </w:r>
      <w:r w:rsidRPr="002B5B62">
        <w:rPr>
          <w:rFonts w:ascii="Times New Roman" w:hAnsi="Times New Roman" w:cs="Times New Roman"/>
          <w:b/>
          <w:sz w:val="24"/>
          <w:szCs w:val="24"/>
        </w:rPr>
        <w:t xml:space="preserve"> – </w:t>
      </w:r>
      <w:r w:rsidRPr="002B5B62">
        <w:rPr>
          <w:rFonts w:ascii="Times New Roman" w:hAnsi="Times New Roman" w:cs="Times New Roman"/>
          <w:sz w:val="24"/>
          <w:szCs w:val="24"/>
        </w:rPr>
        <w:t xml:space="preserve">these values are taken from the ‘retail centre indicators’ data product, summarising the total number of units in each retail centre (active &amp; vacant). </w:t>
      </w:r>
    </w:p>
    <w:p w14:paraId="4277AB28"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centreArea</w:t>
      </w:r>
      <w:proofErr w:type="spellEnd"/>
      <w:r w:rsidRPr="002B5B62">
        <w:rPr>
          <w:rFonts w:ascii="Times New Roman" w:hAnsi="Times New Roman" w:cs="Times New Roman"/>
          <w:i/>
          <w:sz w:val="24"/>
          <w:szCs w:val="24"/>
        </w:rPr>
        <w:t xml:space="preserve"> </w:t>
      </w:r>
      <w:r w:rsidRPr="002B5B62">
        <w:rPr>
          <w:rFonts w:ascii="Times New Roman" w:hAnsi="Times New Roman" w:cs="Times New Roman"/>
          <w:sz w:val="24"/>
          <w:szCs w:val="24"/>
        </w:rPr>
        <w:t>– the total area (km</w:t>
      </w:r>
      <w:r w:rsidRPr="002B5B62">
        <w:rPr>
          <w:rFonts w:ascii="Times New Roman" w:hAnsi="Times New Roman" w:cs="Times New Roman"/>
          <w:sz w:val="24"/>
          <w:szCs w:val="24"/>
          <w:vertAlign w:val="superscript"/>
        </w:rPr>
        <w:t>2</w:t>
      </w:r>
      <w:r w:rsidRPr="002B5B62">
        <w:rPr>
          <w:rFonts w:ascii="Times New Roman" w:hAnsi="Times New Roman" w:cs="Times New Roman"/>
          <w:sz w:val="24"/>
          <w:szCs w:val="24"/>
        </w:rPr>
        <w:t>) of each retail centre boundary.</w:t>
      </w:r>
    </w:p>
    <w:p w14:paraId="03EDE684"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geographicalReach</w:t>
      </w:r>
      <w:proofErr w:type="spellEnd"/>
      <w:r w:rsidRPr="002B5B62">
        <w:rPr>
          <w:rFonts w:ascii="Times New Roman" w:hAnsi="Times New Roman" w:cs="Times New Roman"/>
          <w:i/>
          <w:sz w:val="24"/>
          <w:szCs w:val="24"/>
        </w:rPr>
        <w:t xml:space="preserve"> </w:t>
      </w:r>
      <w:r w:rsidRPr="002B5B62">
        <w:rPr>
          <w:rFonts w:ascii="Times New Roman" w:hAnsi="Times New Roman" w:cs="Times New Roman"/>
          <w:sz w:val="24"/>
          <w:szCs w:val="24"/>
        </w:rPr>
        <w:t>– the total area (km</w:t>
      </w:r>
      <w:r w:rsidRPr="002B5B62">
        <w:rPr>
          <w:rFonts w:ascii="Times New Roman" w:hAnsi="Times New Roman" w:cs="Times New Roman"/>
          <w:sz w:val="24"/>
          <w:szCs w:val="24"/>
          <w:vertAlign w:val="superscript"/>
        </w:rPr>
        <w:t>2</w:t>
      </w:r>
      <w:r w:rsidRPr="002B5B62">
        <w:rPr>
          <w:rFonts w:ascii="Times New Roman" w:hAnsi="Times New Roman" w:cs="Times New Roman"/>
          <w:sz w:val="24"/>
          <w:szCs w:val="24"/>
        </w:rPr>
        <w:t>) of the drive-time catchment for each retail centre.</w:t>
      </w:r>
    </w:p>
    <w:p w14:paraId="58B10648"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i/>
          <w:sz w:val="24"/>
          <w:szCs w:val="24"/>
        </w:rPr>
        <w:t>roeckScore</w:t>
      </w:r>
      <w:r w:rsidRPr="002B5B62">
        <w:rPr>
          <w:rFonts w:ascii="Times New Roman" w:hAnsi="Times New Roman" w:cs="Times New Roman"/>
          <w:b/>
          <w:sz w:val="24"/>
          <w:szCs w:val="24"/>
        </w:rPr>
        <w:t xml:space="preserve"> – </w:t>
      </w:r>
      <w:r w:rsidRPr="002B5B62">
        <w:rPr>
          <w:rFonts w:ascii="Times New Roman" w:hAnsi="Times New Roman" w:cs="Times New Roman"/>
          <w:sz w:val="24"/>
          <w:szCs w:val="24"/>
        </w:rPr>
        <w:t xml:space="preserve">a summary of the morphology of the retail centre boundary, which is calculated by calculating the area of the retail centre boundary, relative to the area of its minimum bounding circle. </w:t>
      </w:r>
    </w:p>
    <w:p w14:paraId="1A4AD811"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attractivenessScore</w:t>
      </w:r>
      <w:proofErr w:type="spellEnd"/>
      <w:r w:rsidRPr="002B5B62">
        <w:rPr>
          <w:rFonts w:ascii="Times New Roman" w:hAnsi="Times New Roman" w:cs="Times New Roman"/>
          <w:b/>
          <w:sz w:val="24"/>
          <w:szCs w:val="24"/>
        </w:rPr>
        <w:t xml:space="preserve"> – </w:t>
      </w:r>
      <w:r w:rsidRPr="002B5B62">
        <w:rPr>
          <w:rFonts w:ascii="Times New Roman" w:hAnsi="Times New Roman" w:cs="Times New Roman"/>
          <w:sz w:val="24"/>
          <w:szCs w:val="24"/>
        </w:rPr>
        <w:t xml:space="preserve">a composite index calculated by bringing together five individual variables that are deemed to determine the overall ‘attractiveness’ of retail centres; nUnits, propAnchor, propLeisure, </w:t>
      </w:r>
      <w:proofErr w:type="spellStart"/>
      <w:r w:rsidRPr="002B5B62">
        <w:rPr>
          <w:rFonts w:ascii="Times New Roman" w:hAnsi="Times New Roman" w:cs="Times New Roman"/>
          <w:sz w:val="24"/>
          <w:szCs w:val="24"/>
        </w:rPr>
        <w:t>tenantMix</w:t>
      </w:r>
      <w:proofErr w:type="spellEnd"/>
      <w:r w:rsidRPr="002B5B62">
        <w:rPr>
          <w:rFonts w:ascii="Times New Roman" w:hAnsi="Times New Roman" w:cs="Times New Roman"/>
          <w:sz w:val="24"/>
          <w:szCs w:val="24"/>
        </w:rPr>
        <w:t xml:space="preserve"> and propVacant (with a negative weight). </w:t>
      </w:r>
    </w:p>
    <w:p w14:paraId="444FCAD5"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i/>
          <w:sz w:val="24"/>
          <w:szCs w:val="24"/>
        </w:rPr>
        <w:t xml:space="preserve">propAnchor </w:t>
      </w:r>
      <w:r w:rsidRPr="002B5B62">
        <w:rPr>
          <w:rFonts w:ascii="Times New Roman" w:hAnsi="Times New Roman" w:cs="Times New Roman"/>
          <w:sz w:val="24"/>
          <w:szCs w:val="24"/>
        </w:rPr>
        <w:t>– all LDC units in a list of anchor fascia were extracted. The list of anchor fascia comprised comparison, convenience and leisure fascia, and was compiled from the original list from 2019, adding in some additional anchors that were originally missed out and removing those that have since closed down (e.g. Debenhams). It is important to note that all c-stores were excluded from the list of anchors (e.g. Tesco Express), keeping only the larger supermarket stores as convenience anchors (e.g. Tesco Metro).</w:t>
      </w:r>
    </w:p>
    <w:p w14:paraId="4425323C" w14:textId="77777777" w:rsidR="002B5B62" w:rsidRPr="002B5B62" w:rsidRDefault="002B5B62" w:rsidP="002B5B62">
      <w:pPr>
        <w:jc w:val="both"/>
        <w:rPr>
          <w:rFonts w:ascii="Times New Roman" w:hAnsi="Times New Roman" w:cs="Times New Roman"/>
          <w:b/>
          <w:sz w:val="24"/>
          <w:szCs w:val="24"/>
        </w:rPr>
      </w:pPr>
      <w:r w:rsidRPr="002B5B62">
        <w:rPr>
          <w:rFonts w:ascii="Times New Roman" w:hAnsi="Times New Roman" w:cs="Times New Roman"/>
          <w:sz w:val="24"/>
          <w:szCs w:val="24"/>
        </w:rPr>
        <w:t xml:space="preserve">The list was as follows; c(“John Lewis &amp; Partners”, “John Lewis &amp; Partners at Home”, “Marks &amp; Spencer”, “Harvey Nichols”, “House of Fraser”, “Selfridges”, “Harrods”, “IKEA”, “H&amp;M”, “H&amp;M Kids”, “Primark”, “Zara”, “Zara Home”, “Boots the Chemist”, “Next”, “Next Home”, “B&amp;Q”, “Homebase”, “Tesco”, “Tesco Metro”, “Tesco Extra”, “Sainsbury’s”, “ASDA”, “ASDA Supercentre”, “Morrisons”, “Odeon Cinema”, “Vue”, “Cineworld”). </w:t>
      </w:r>
    </w:p>
    <w:p w14:paraId="6204EE01"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lastRenderedPageBreak/>
        <w:t>propPremium</w:t>
      </w:r>
      <w:proofErr w:type="spellEnd"/>
      <w:r w:rsidRPr="002B5B62">
        <w:rPr>
          <w:rFonts w:ascii="Times New Roman" w:hAnsi="Times New Roman" w:cs="Times New Roman"/>
          <w:b/>
          <w:sz w:val="24"/>
          <w:szCs w:val="24"/>
        </w:rPr>
        <w:t xml:space="preserve"> </w:t>
      </w:r>
      <w:r w:rsidRPr="002B5B62">
        <w:rPr>
          <w:rFonts w:ascii="Times New Roman" w:hAnsi="Times New Roman" w:cs="Times New Roman"/>
          <w:sz w:val="24"/>
          <w:szCs w:val="24"/>
        </w:rPr>
        <w:t xml:space="preserve">– all LDC units in a list of premium </w:t>
      </w:r>
      <w:proofErr w:type="gramStart"/>
      <w:r w:rsidRPr="002B5B62">
        <w:rPr>
          <w:rFonts w:ascii="Times New Roman" w:hAnsi="Times New Roman" w:cs="Times New Roman"/>
          <w:sz w:val="24"/>
          <w:szCs w:val="24"/>
        </w:rPr>
        <w:t>fascia</w:t>
      </w:r>
      <w:proofErr w:type="gramEnd"/>
      <w:r w:rsidRPr="002B5B62">
        <w:rPr>
          <w:rFonts w:ascii="Times New Roman" w:hAnsi="Times New Roman" w:cs="Times New Roman"/>
          <w:sz w:val="24"/>
          <w:szCs w:val="24"/>
        </w:rPr>
        <w:t xml:space="preserve"> were extracted. The list of premium </w:t>
      </w:r>
      <w:proofErr w:type="gramStart"/>
      <w:r w:rsidRPr="002B5B62">
        <w:rPr>
          <w:rFonts w:ascii="Times New Roman" w:hAnsi="Times New Roman" w:cs="Times New Roman"/>
          <w:sz w:val="24"/>
          <w:szCs w:val="24"/>
        </w:rPr>
        <w:t>fascia</w:t>
      </w:r>
      <w:proofErr w:type="gramEnd"/>
      <w:r w:rsidRPr="002B5B62">
        <w:rPr>
          <w:rFonts w:ascii="Times New Roman" w:hAnsi="Times New Roman" w:cs="Times New Roman"/>
          <w:sz w:val="24"/>
          <w:szCs w:val="24"/>
        </w:rPr>
        <w:t xml:space="preserve"> was compiled from the original list from 2019, adding in some additional premium retailers that were originally missed out using this report</w:t>
      </w:r>
      <w:r w:rsidRPr="002B5B62">
        <w:rPr>
          <w:rStyle w:val="FootnoteReference"/>
          <w:rFonts w:ascii="Times New Roman" w:hAnsi="Times New Roman" w:cs="Times New Roman"/>
          <w:sz w:val="24"/>
          <w:szCs w:val="24"/>
        </w:rPr>
        <w:footnoteReference w:id="1"/>
      </w:r>
      <w:r w:rsidRPr="002B5B62">
        <w:rPr>
          <w:rFonts w:ascii="Times New Roman" w:hAnsi="Times New Roman" w:cs="Times New Roman"/>
          <w:sz w:val="24"/>
          <w:szCs w:val="24"/>
        </w:rPr>
        <w:t xml:space="preserve">, and removing those that have closed down (e.g. Cath Kidston). </w:t>
      </w:r>
    </w:p>
    <w:p w14:paraId="46CC86BC"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sz w:val="24"/>
          <w:szCs w:val="24"/>
        </w:rPr>
        <w:t>The list was as follows; c(“Waitrose &amp; Partners”, “Little Waitrose &amp; Partners”, “John Lewis &amp; Partners”, “John Lewis &amp; Partners at Home”, “Harvey Nichols”, “Laura Ashley”, “Laura Ashley Home”, “Ted Baker”, “Tommy Hilfiger”, “Fat Face”, “Superdry”, “</w:t>
      </w:r>
      <w:proofErr w:type="spellStart"/>
      <w:r w:rsidRPr="002B5B62">
        <w:rPr>
          <w:rFonts w:ascii="Times New Roman" w:hAnsi="Times New Roman" w:cs="Times New Roman"/>
          <w:sz w:val="24"/>
          <w:szCs w:val="24"/>
        </w:rPr>
        <w:t>Seasalt</w:t>
      </w:r>
      <w:proofErr w:type="spellEnd"/>
      <w:r w:rsidRPr="002B5B62">
        <w:rPr>
          <w:rFonts w:ascii="Times New Roman" w:hAnsi="Times New Roman" w:cs="Times New Roman"/>
          <w:sz w:val="24"/>
          <w:szCs w:val="24"/>
        </w:rPr>
        <w:t xml:space="preserve"> Cornwall”, “Jack Wills”, “White Stuff”, “Crew Clothing Co.”, “Hugo Boss”, “Joules”, “Swarovski”, “Lacoste”, “Diesel”, “Bose”, “Ralph Lauren”, “Calvin Klein”, “Dior”, “Gucci”, “Pandora”, “Tiffany &amp; Co”, “Barbour”, “Dolce &amp; Gabbana”, “</w:t>
      </w:r>
      <w:proofErr w:type="spellStart"/>
      <w:r w:rsidRPr="002B5B62">
        <w:rPr>
          <w:rFonts w:ascii="Times New Roman" w:hAnsi="Times New Roman" w:cs="Times New Roman"/>
          <w:sz w:val="24"/>
          <w:szCs w:val="24"/>
        </w:rPr>
        <w:t>Emporio</w:t>
      </w:r>
      <w:proofErr w:type="spellEnd"/>
      <w:r w:rsidRPr="002B5B62">
        <w:rPr>
          <w:rFonts w:ascii="Times New Roman" w:hAnsi="Times New Roman" w:cs="Times New Roman"/>
          <w:sz w:val="24"/>
          <w:szCs w:val="24"/>
        </w:rPr>
        <w:t xml:space="preserve"> Armani”, “Armani Exchange”, “Cartier”, “Louis Vuitton”, “Omega”, “Versace”, “Burberry”, “Hermes”, “Prada”, “Michael Kors”, “TAG Heuer”, “</w:t>
      </w:r>
      <w:proofErr w:type="spellStart"/>
      <w:r w:rsidRPr="002B5B62">
        <w:rPr>
          <w:rFonts w:ascii="Times New Roman" w:hAnsi="Times New Roman" w:cs="Times New Roman"/>
          <w:sz w:val="24"/>
          <w:szCs w:val="24"/>
        </w:rPr>
        <w:t>L’Occitane</w:t>
      </w:r>
      <w:proofErr w:type="spellEnd"/>
      <w:r w:rsidRPr="002B5B62">
        <w:rPr>
          <w:rFonts w:ascii="Times New Roman" w:hAnsi="Times New Roman" w:cs="Times New Roman"/>
          <w:sz w:val="24"/>
          <w:szCs w:val="24"/>
        </w:rPr>
        <w:t xml:space="preserve">”, “Jo Malone London”, “Jimmy Choo”, “Paul Smith”, “Mulberry”, “Montblanc”. </w:t>
      </w:r>
    </w:p>
    <w:p w14:paraId="2F59AEF8"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propMass</w:t>
      </w:r>
      <w:proofErr w:type="spellEnd"/>
      <w:r w:rsidRPr="002B5B62">
        <w:rPr>
          <w:rFonts w:ascii="Times New Roman" w:hAnsi="Times New Roman" w:cs="Times New Roman"/>
          <w:b/>
          <w:sz w:val="24"/>
          <w:szCs w:val="24"/>
        </w:rPr>
        <w:t xml:space="preserve"> </w:t>
      </w:r>
      <w:r w:rsidRPr="002B5B62">
        <w:rPr>
          <w:rFonts w:ascii="Times New Roman" w:hAnsi="Times New Roman" w:cs="Times New Roman"/>
          <w:sz w:val="24"/>
          <w:szCs w:val="24"/>
        </w:rPr>
        <w:t xml:space="preserve">– all LDC units in a list of mass fascia were extracted. </w:t>
      </w:r>
    </w:p>
    <w:p w14:paraId="1E9A1D50" w14:textId="77777777" w:rsidR="002B5B62" w:rsidRPr="002B5B62" w:rsidRDefault="002B5B62" w:rsidP="002B5B62">
      <w:pPr>
        <w:jc w:val="both"/>
        <w:rPr>
          <w:rFonts w:ascii="Times New Roman" w:hAnsi="Times New Roman" w:cs="Times New Roman"/>
          <w:color w:val="FF0000"/>
          <w:sz w:val="24"/>
          <w:szCs w:val="24"/>
        </w:rPr>
      </w:pPr>
      <w:r w:rsidRPr="002B5B62">
        <w:rPr>
          <w:rFonts w:ascii="Times New Roman" w:hAnsi="Times New Roman" w:cs="Times New Roman"/>
          <w:sz w:val="24"/>
          <w:szCs w:val="24"/>
        </w:rPr>
        <w:t>The list of mass fascia was; c(“Tesco”, “Tesco Express”, “Tesco Metro”, “Tesco Extra”, “Sainsbury’s”, “Sainsbury’s Local”, “ASDA”, “ASDA Supercentre”, “Greggs”, “Boots the Chemist”, “Superdrug”, “Holland &amp; Barrett”, “Argos”, “WHSmith”, “Next”, “Next Home”, “</w:t>
      </w:r>
      <w:proofErr w:type="spellStart"/>
      <w:r w:rsidRPr="002B5B62">
        <w:rPr>
          <w:rFonts w:ascii="Times New Roman" w:hAnsi="Times New Roman" w:cs="Times New Roman"/>
          <w:sz w:val="24"/>
          <w:szCs w:val="24"/>
        </w:rPr>
        <w:t>H.Samuel</w:t>
      </w:r>
      <w:proofErr w:type="spellEnd"/>
      <w:r w:rsidRPr="002B5B62">
        <w:rPr>
          <w:rFonts w:ascii="Times New Roman" w:hAnsi="Times New Roman" w:cs="Times New Roman"/>
          <w:sz w:val="24"/>
          <w:szCs w:val="24"/>
        </w:rPr>
        <w:t>”, “JD Sports”, “Claire’s”, “River Island”, “TK Maxx”, “H&amp;M”, “H&amp;M Kids”, “Zara”, “Zara Home”, “Topshop”, “Game”, “The Perfume Shop”, “Starbucks Coffee”, “Costa”, “Caffe Nero”, “McDonalds”, “KFC”, “Subway”, “Domino’s Pizza”, “Pizza Express”, “</w:t>
      </w:r>
      <w:proofErr w:type="spellStart"/>
      <w:r w:rsidRPr="002B5B62">
        <w:rPr>
          <w:rFonts w:ascii="Times New Roman" w:hAnsi="Times New Roman" w:cs="Times New Roman"/>
          <w:sz w:val="24"/>
          <w:szCs w:val="24"/>
        </w:rPr>
        <w:t>Currys</w:t>
      </w:r>
      <w:proofErr w:type="spellEnd"/>
      <w:r w:rsidRPr="002B5B62">
        <w:rPr>
          <w:rFonts w:ascii="Times New Roman" w:hAnsi="Times New Roman" w:cs="Times New Roman"/>
          <w:sz w:val="24"/>
          <w:szCs w:val="24"/>
        </w:rPr>
        <w:t xml:space="preserve"> PC World”, “The Fragrance Shop”). </w:t>
      </w:r>
    </w:p>
    <w:p w14:paraId="196348E7"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propValue</w:t>
      </w:r>
      <w:proofErr w:type="spellEnd"/>
      <w:r w:rsidRPr="002B5B62">
        <w:rPr>
          <w:rFonts w:ascii="Times New Roman" w:hAnsi="Times New Roman" w:cs="Times New Roman"/>
          <w:b/>
          <w:sz w:val="24"/>
          <w:szCs w:val="24"/>
        </w:rPr>
        <w:t xml:space="preserve"> </w:t>
      </w:r>
      <w:r w:rsidRPr="002B5B62">
        <w:rPr>
          <w:rFonts w:ascii="Times New Roman" w:hAnsi="Times New Roman" w:cs="Times New Roman"/>
          <w:sz w:val="24"/>
          <w:szCs w:val="24"/>
        </w:rPr>
        <w:t xml:space="preserve">- all LDC units in a list of value fascia were extracted. </w:t>
      </w:r>
    </w:p>
    <w:p w14:paraId="10F07A4C" w14:textId="77777777" w:rsidR="002B5B62" w:rsidRPr="002B5B62" w:rsidRDefault="002B5B62" w:rsidP="002B5B62">
      <w:pPr>
        <w:jc w:val="both"/>
        <w:rPr>
          <w:rFonts w:ascii="Times New Roman" w:hAnsi="Times New Roman" w:cs="Times New Roman"/>
          <w:sz w:val="24"/>
          <w:szCs w:val="24"/>
        </w:rPr>
      </w:pPr>
      <w:r w:rsidRPr="002B5B62">
        <w:rPr>
          <w:rFonts w:ascii="Times New Roman" w:hAnsi="Times New Roman" w:cs="Times New Roman"/>
          <w:sz w:val="24"/>
          <w:szCs w:val="24"/>
        </w:rPr>
        <w:t xml:space="preserve">Value fascia were; </w:t>
      </w:r>
      <w:proofErr w:type="gramStart"/>
      <w:r w:rsidRPr="002B5B62">
        <w:rPr>
          <w:rFonts w:ascii="Times New Roman" w:hAnsi="Times New Roman" w:cs="Times New Roman"/>
          <w:sz w:val="24"/>
          <w:szCs w:val="24"/>
        </w:rPr>
        <w:t>c(</w:t>
      </w:r>
      <w:proofErr w:type="gramEnd"/>
      <w:r w:rsidRPr="002B5B62">
        <w:rPr>
          <w:rFonts w:ascii="Times New Roman" w:hAnsi="Times New Roman" w:cs="Times New Roman"/>
          <w:sz w:val="24"/>
          <w:szCs w:val="24"/>
        </w:rPr>
        <w:t>“Aldi”, “Lidl”, “Iceland”, “Primark”, “Poundland”, “</w:t>
      </w:r>
      <w:proofErr w:type="spellStart"/>
      <w:r w:rsidRPr="002B5B62">
        <w:rPr>
          <w:rFonts w:ascii="Times New Roman" w:hAnsi="Times New Roman" w:cs="Times New Roman"/>
          <w:sz w:val="24"/>
          <w:szCs w:val="24"/>
        </w:rPr>
        <w:t>Farmfoods</w:t>
      </w:r>
      <w:proofErr w:type="spellEnd"/>
      <w:r w:rsidRPr="002B5B62">
        <w:rPr>
          <w:rFonts w:ascii="Times New Roman" w:hAnsi="Times New Roman" w:cs="Times New Roman"/>
          <w:sz w:val="24"/>
          <w:szCs w:val="24"/>
        </w:rPr>
        <w:t>”, “Sam 99p”, “</w:t>
      </w:r>
      <w:proofErr w:type="spellStart"/>
      <w:r w:rsidRPr="002B5B62">
        <w:rPr>
          <w:rFonts w:ascii="Times New Roman" w:hAnsi="Times New Roman" w:cs="Times New Roman"/>
          <w:sz w:val="24"/>
          <w:szCs w:val="24"/>
        </w:rPr>
        <w:t>Poundworld</w:t>
      </w:r>
      <w:proofErr w:type="spellEnd"/>
      <w:r w:rsidRPr="002B5B62">
        <w:rPr>
          <w:rFonts w:ascii="Times New Roman" w:hAnsi="Times New Roman" w:cs="Times New Roman"/>
          <w:sz w:val="24"/>
          <w:szCs w:val="24"/>
        </w:rPr>
        <w:t xml:space="preserve"> Plus”, “Poundstretcher”, “Home Bargains”, “Savers”). Once the list of value stores had been assembled, the proportion of these relative to total units in a retail centre was calculated.</w:t>
      </w:r>
    </w:p>
    <w:p w14:paraId="749067CF"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propCharity</w:t>
      </w:r>
      <w:proofErr w:type="spellEnd"/>
      <w:r w:rsidRPr="002B5B62">
        <w:rPr>
          <w:rFonts w:ascii="Times New Roman" w:hAnsi="Times New Roman" w:cs="Times New Roman"/>
          <w:b/>
          <w:sz w:val="24"/>
          <w:szCs w:val="24"/>
        </w:rPr>
        <w:t xml:space="preserve"> </w:t>
      </w:r>
      <w:r w:rsidRPr="002B5B62">
        <w:rPr>
          <w:rFonts w:ascii="Times New Roman" w:hAnsi="Times New Roman" w:cs="Times New Roman"/>
          <w:sz w:val="24"/>
          <w:szCs w:val="24"/>
        </w:rPr>
        <w:t>- all LDC units in the subcategory ‘Charity Shops’ were extracted, and the proportion of these relative to all units in a retail centre was calculated.</w:t>
      </w:r>
    </w:p>
    <w:p w14:paraId="62EB64DC"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propPawnbrokersBetting</w:t>
      </w:r>
      <w:proofErr w:type="spellEnd"/>
      <w:r w:rsidRPr="002B5B62">
        <w:rPr>
          <w:rFonts w:ascii="Times New Roman" w:hAnsi="Times New Roman" w:cs="Times New Roman"/>
          <w:b/>
          <w:sz w:val="24"/>
          <w:szCs w:val="24"/>
        </w:rPr>
        <w:t xml:space="preserve"> </w:t>
      </w:r>
      <w:r w:rsidRPr="002B5B62">
        <w:rPr>
          <w:rFonts w:ascii="Times New Roman" w:hAnsi="Times New Roman" w:cs="Times New Roman"/>
          <w:sz w:val="24"/>
          <w:szCs w:val="24"/>
        </w:rPr>
        <w:t>– all LDC units in the subcategories “Pawnbrokers” and “Bookmakers” were extracted, and the proportion of these relative to all units in a retail centre was calculated.</w:t>
      </w:r>
    </w:p>
    <w:p w14:paraId="7B894514" w14:textId="77777777" w:rsidR="002B5B62" w:rsidRPr="002B5B62" w:rsidRDefault="002B5B62" w:rsidP="002B5B62">
      <w:pPr>
        <w:jc w:val="both"/>
        <w:rPr>
          <w:rFonts w:ascii="Times New Roman" w:hAnsi="Times New Roman" w:cs="Times New Roman"/>
          <w:sz w:val="24"/>
          <w:szCs w:val="24"/>
        </w:rPr>
      </w:pPr>
      <w:proofErr w:type="spellStart"/>
      <w:r w:rsidRPr="002B5B62">
        <w:rPr>
          <w:rFonts w:ascii="Times New Roman" w:hAnsi="Times New Roman" w:cs="Times New Roman"/>
          <w:i/>
          <w:sz w:val="24"/>
          <w:szCs w:val="24"/>
        </w:rPr>
        <w:t>propConcession</w:t>
      </w:r>
      <w:proofErr w:type="spellEnd"/>
      <w:r w:rsidRPr="002B5B62">
        <w:rPr>
          <w:rFonts w:ascii="Times New Roman" w:hAnsi="Times New Roman" w:cs="Times New Roman"/>
          <w:b/>
          <w:sz w:val="24"/>
          <w:szCs w:val="24"/>
        </w:rPr>
        <w:t xml:space="preserve"> – </w:t>
      </w:r>
      <w:r w:rsidRPr="002B5B62">
        <w:rPr>
          <w:rFonts w:ascii="Times New Roman" w:hAnsi="Times New Roman" w:cs="Times New Roman"/>
          <w:sz w:val="24"/>
          <w:szCs w:val="24"/>
        </w:rPr>
        <w:t xml:space="preserve">all LDC units classified as “1” in the ‘concession’ field were extracted </w:t>
      </w:r>
      <w:r w:rsidRPr="002B5B62">
        <w:rPr>
          <w:rFonts w:ascii="Times New Roman" w:hAnsi="Times New Roman" w:cs="Times New Roman"/>
          <w:sz w:val="24"/>
          <w:szCs w:val="24"/>
        </w:rPr>
        <w:br/>
        <w:t>(c. 21,000), and the proportion of these to all units in a retail centre was calculated.</w:t>
      </w:r>
    </w:p>
    <w:p w14:paraId="5C2C0574" w14:textId="77777777" w:rsidR="00FE25F9" w:rsidRDefault="00FE25F9" w:rsidP="000F236E">
      <w:pPr>
        <w:rPr>
          <w:rFonts w:ascii="Times New Roman" w:hAnsi="Times New Roman" w:cs="Times New Roman"/>
          <w:b/>
          <w:sz w:val="24"/>
        </w:rPr>
      </w:pPr>
    </w:p>
    <w:p w14:paraId="1FDA1047" w14:textId="77777777" w:rsidR="002B5B62" w:rsidRDefault="002B5B62" w:rsidP="000F236E">
      <w:pPr>
        <w:rPr>
          <w:rFonts w:ascii="Times New Roman" w:hAnsi="Times New Roman" w:cs="Times New Roman"/>
          <w:b/>
          <w:sz w:val="24"/>
        </w:rPr>
      </w:pPr>
    </w:p>
    <w:p w14:paraId="0BAF452B" w14:textId="77777777" w:rsidR="002B5B62" w:rsidRDefault="002B5B62" w:rsidP="000F236E">
      <w:pPr>
        <w:rPr>
          <w:rFonts w:ascii="Times New Roman" w:hAnsi="Times New Roman" w:cs="Times New Roman"/>
          <w:b/>
          <w:sz w:val="24"/>
        </w:rPr>
      </w:pPr>
    </w:p>
    <w:p w14:paraId="5DFD4023" w14:textId="77777777" w:rsidR="002B5B62" w:rsidRDefault="002B5B62" w:rsidP="000F236E">
      <w:pPr>
        <w:rPr>
          <w:rFonts w:ascii="Times New Roman" w:hAnsi="Times New Roman" w:cs="Times New Roman"/>
          <w:b/>
          <w:sz w:val="24"/>
        </w:rPr>
      </w:pPr>
    </w:p>
    <w:p w14:paraId="57925D6C" w14:textId="77777777" w:rsidR="002B5B62" w:rsidRDefault="002B5B62" w:rsidP="000F236E">
      <w:pPr>
        <w:rPr>
          <w:rFonts w:ascii="Times New Roman" w:hAnsi="Times New Roman" w:cs="Times New Roman"/>
          <w:b/>
          <w:sz w:val="24"/>
        </w:rPr>
      </w:pPr>
      <w:r w:rsidRPr="002B5B62">
        <w:rPr>
          <w:rFonts w:ascii="Times New Roman" w:hAnsi="Times New Roman" w:cs="Times New Roman"/>
          <w:b/>
          <w:sz w:val="24"/>
        </w:rPr>
        <w:lastRenderedPageBreak/>
        <w:t>4.4 Domain 4 – Economic Health</w:t>
      </w:r>
    </w:p>
    <w:p w14:paraId="2516E8DB" w14:textId="77777777" w:rsidR="002B5B62" w:rsidRPr="002B5B62" w:rsidRDefault="002B5B62" w:rsidP="002B5B62">
      <w:pPr>
        <w:jc w:val="both"/>
        <w:rPr>
          <w:rFonts w:ascii="Times New Roman" w:hAnsi="Times New Roman" w:cs="Times New Roman"/>
          <w:sz w:val="24"/>
        </w:rPr>
      </w:pPr>
      <w:r w:rsidRPr="002B5B62">
        <w:rPr>
          <w:rFonts w:ascii="Times New Roman" w:hAnsi="Times New Roman" w:cs="Times New Roman"/>
          <w:sz w:val="24"/>
        </w:rPr>
        <w:t xml:space="preserve">A number of variables were used to capture the overall </w:t>
      </w:r>
      <w:r w:rsidRPr="002B5B62">
        <w:rPr>
          <w:rFonts w:ascii="Times New Roman" w:hAnsi="Times New Roman" w:cs="Times New Roman"/>
          <w:bCs/>
          <w:sz w:val="24"/>
        </w:rPr>
        <w:t>economic health</w:t>
      </w:r>
      <w:r w:rsidRPr="002B5B62">
        <w:rPr>
          <w:rFonts w:ascii="Times New Roman" w:hAnsi="Times New Roman" w:cs="Times New Roman"/>
          <w:b/>
          <w:bCs/>
          <w:sz w:val="24"/>
        </w:rPr>
        <w:t xml:space="preserve"> </w:t>
      </w:r>
      <w:r w:rsidRPr="002B5B62">
        <w:rPr>
          <w:rFonts w:ascii="Times New Roman" w:hAnsi="Times New Roman" w:cs="Times New Roman"/>
          <w:sz w:val="24"/>
        </w:rPr>
        <w:t>of retail centres. Many are based on the original variables used in the previous typology, however some are new additions from the recent ‘retail centre indicators’ data product. The full list and provenance of each can be seen below.</w:t>
      </w:r>
    </w:p>
    <w:p w14:paraId="7AEFCD41" w14:textId="77777777" w:rsidR="002B5B62" w:rsidRPr="002B5B62" w:rsidRDefault="002B5B62" w:rsidP="002B5B62">
      <w:pPr>
        <w:jc w:val="both"/>
        <w:rPr>
          <w:rFonts w:ascii="Times New Roman" w:hAnsi="Times New Roman" w:cs="Times New Roman"/>
          <w:bCs/>
          <w:sz w:val="24"/>
        </w:rPr>
      </w:pPr>
      <w:r w:rsidRPr="002B5B62">
        <w:rPr>
          <w:rFonts w:ascii="Times New Roman" w:hAnsi="Times New Roman" w:cs="Times New Roman"/>
          <w:i/>
          <w:sz w:val="24"/>
        </w:rPr>
        <w:t>nCompeting</w:t>
      </w:r>
      <w:r w:rsidRPr="002B5B62">
        <w:rPr>
          <w:rFonts w:ascii="Times New Roman" w:hAnsi="Times New Roman" w:cs="Times New Roman"/>
          <w:b/>
          <w:sz w:val="24"/>
        </w:rPr>
        <w:t xml:space="preserve"> </w:t>
      </w:r>
      <w:r w:rsidRPr="002B5B62">
        <w:rPr>
          <w:rFonts w:ascii="Times New Roman" w:hAnsi="Times New Roman" w:cs="Times New Roman"/>
          <w:bCs/>
          <w:sz w:val="24"/>
        </w:rPr>
        <w:t xml:space="preserve">– here we count the total number of directly competing functions within the drive-time catchment of each retail centre. We treat regional centres, major town centres, town centres, large retail parks and large shopping centres as directly competing entities; i.e. they can only compete with eachother. In addition, we calculate it so that district centres, market towns, small shopping centres and small retail parks can compete with all types of retail centres. </w:t>
      </w:r>
    </w:p>
    <w:p w14:paraId="5CA2438D" w14:textId="77777777" w:rsidR="002B5B62" w:rsidRPr="002B5B62" w:rsidRDefault="002B5B62" w:rsidP="002B5B62">
      <w:pPr>
        <w:jc w:val="both"/>
        <w:rPr>
          <w:rFonts w:ascii="Times New Roman" w:hAnsi="Times New Roman" w:cs="Times New Roman"/>
          <w:bCs/>
          <w:sz w:val="24"/>
        </w:rPr>
      </w:pPr>
      <w:r w:rsidRPr="002B5B62">
        <w:rPr>
          <w:rFonts w:ascii="Times New Roman" w:hAnsi="Times New Roman" w:cs="Times New Roman"/>
          <w:i/>
          <w:sz w:val="24"/>
          <w:u w:val="single"/>
        </w:rPr>
        <w:t>propVacant</w:t>
      </w:r>
      <w:r w:rsidRPr="002B5B62">
        <w:rPr>
          <w:rFonts w:ascii="Times New Roman" w:hAnsi="Times New Roman" w:cs="Times New Roman"/>
          <w:b/>
          <w:sz w:val="24"/>
        </w:rPr>
        <w:t xml:space="preserve"> </w:t>
      </w:r>
      <w:r w:rsidRPr="002B5B62">
        <w:rPr>
          <w:rFonts w:ascii="Times New Roman" w:hAnsi="Times New Roman" w:cs="Times New Roman"/>
          <w:bCs/>
          <w:sz w:val="24"/>
        </w:rPr>
        <w:t xml:space="preserve">– proportion of vacant units to all LDC units in each retail centre, obtained from the safeguarded ‘retail centre indicators’ data product. </w:t>
      </w:r>
    </w:p>
    <w:p w14:paraId="58066BB0" w14:textId="77777777" w:rsidR="002B5B62" w:rsidRPr="002B5B62" w:rsidRDefault="002B5B62" w:rsidP="002B5B62">
      <w:pPr>
        <w:jc w:val="both"/>
        <w:rPr>
          <w:rFonts w:ascii="Times New Roman" w:hAnsi="Times New Roman" w:cs="Times New Roman"/>
          <w:bCs/>
          <w:sz w:val="24"/>
        </w:rPr>
      </w:pPr>
      <w:r w:rsidRPr="002B5B62">
        <w:rPr>
          <w:rFonts w:ascii="Times New Roman" w:hAnsi="Times New Roman" w:cs="Times New Roman"/>
          <w:i/>
          <w:sz w:val="24"/>
        </w:rPr>
        <w:t>propStructuralVacant</w:t>
      </w:r>
      <w:r w:rsidRPr="002B5B62">
        <w:rPr>
          <w:rFonts w:ascii="Times New Roman" w:hAnsi="Times New Roman" w:cs="Times New Roman"/>
          <w:b/>
          <w:sz w:val="24"/>
        </w:rPr>
        <w:t xml:space="preserve"> </w:t>
      </w:r>
      <w:r w:rsidRPr="002B5B62">
        <w:rPr>
          <w:rFonts w:ascii="Times New Roman" w:hAnsi="Times New Roman" w:cs="Times New Roman"/>
          <w:bCs/>
          <w:sz w:val="24"/>
        </w:rPr>
        <w:t>–</w:t>
      </w:r>
      <w:r w:rsidRPr="002B5B62">
        <w:rPr>
          <w:rFonts w:ascii="Times New Roman" w:hAnsi="Times New Roman" w:cs="Times New Roman"/>
          <w:b/>
          <w:sz w:val="24"/>
        </w:rPr>
        <w:t xml:space="preserve"> </w:t>
      </w:r>
      <w:r w:rsidRPr="002B5B62">
        <w:rPr>
          <w:rFonts w:ascii="Times New Roman" w:hAnsi="Times New Roman" w:cs="Times New Roman"/>
          <w:bCs/>
          <w:sz w:val="24"/>
        </w:rPr>
        <w:t>proportion of vacant units that have been vacant since 2018 to all LDC units in each retail centre. This is obtained by tracking whether the OccupierID remains vacant between 2018 and 2020.</w:t>
      </w:r>
    </w:p>
    <w:p w14:paraId="095E1542" w14:textId="77777777" w:rsidR="002B5B62" w:rsidRPr="002B5B62" w:rsidRDefault="002B5B62" w:rsidP="002B5B62">
      <w:pPr>
        <w:jc w:val="both"/>
        <w:rPr>
          <w:rFonts w:ascii="Times New Roman" w:hAnsi="Times New Roman" w:cs="Times New Roman"/>
          <w:bCs/>
          <w:sz w:val="24"/>
        </w:rPr>
      </w:pPr>
      <w:proofErr w:type="spellStart"/>
      <w:r w:rsidRPr="002B5B62">
        <w:rPr>
          <w:rFonts w:ascii="Times New Roman" w:hAnsi="Times New Roman" w:cs="Times New Roman"/>
          <w:i/>
          <w:sz w:val="24"/>
        </w:rPr>
        <w:t>vacancyChange</w:t>
      </w:r>
      <w:proofErr w:type="spellEnd"/>
      <w:r w:rsidRPr="002B5B62">
        <w:rPr>
          <w:rFonts w:ascii="Times New Roman" w:hAnsi="Times New Roman" w:cs="Times New Roman"/>
          <w:bCs/>
          <w:sz w:val="24"/>
        </w:rPr>
        <w:t xml:space="preserve"> – change in the proportion of vacant units between 2017 and 2020, obtained from the safeguarded ‘retail centre indicators’ data product.</w:t>
      </w:r>
    </w:p>
    <w:p w14:paraId="7962420A" w14:textId="77777777" w:rsidR="002B5B62" w:rsidRPr="002B5B62" w:rsidRDefault="002B5B62" w:rsidP="002B5B62">
      <w:pPr>
        <w:jc w:val="both"/>
        <w:rPr>
          <w:rFonts w:ascii="Times New Roman" w:hAnsi="Times New Roman" w:cs="Times New Roman"/>
          <w:bCs/>
          <w:sz w:val="24"/>
        </w:rPr>
      </w:pPr>
      <w:r w:rsidRPr="002B5B62">
        <w:rPr>
          <w:rFonts w:ascii="Times New Roman" w:hAnsi="Times New Roman" w:cs="Times New Roman"/>
          <w:i/>
          <w:sz w:val="24"/>
        </w:rPr>
        <w:t>onlineExposure</w:t>
      </w:r>
      <w:r w:rsidRPr="002B5B62">
        <w:rPr>
          <w:rFonts w:ascii="Times New Roman" w:hAnsi="Times New Roman" w:cs="Times New Roman"/>
          <w:b/>
          <w:sz w:val="24"/>
        </w:rPr>
        <w:t xml:space="preserve"> </w:t>
      </w:r>
      <w:r w:rsidRPr="002B5B62">
        <w:rPr>
          <w:rFonts w:ascii="Times New Roman" w:hAnsi="Times New Roman" w:cs="Times New Roman"/>
          <w:bCs/>
          <w:sz w:val="24"/>
        </w:rPr>
        <w:t xml:space="preserve">– online exposure score for each retail centre, obtained from the ‘retail centre indicators’ data product.  </w:t>
      </w:r>
    </w:p>
    <w:p w14:paraId="498C7B42" w14:textId="77777777" w:rsidR="002B5B62" w:rsidRPr="002B5B62" w:rsidRDefault="002B5B62" w:rsidP="002B5B62">
      <w:pPr>
        <w:jc w:val="both"/>
        <w:rPr>
          <w:rFonts w:ascii="Times New Roman" w:hAnsi="Times New Roman" w:cs="Times New Roman"/>
          <w:bCs/>
          <w:sz w:val="24"/>
        </w:rPr>
      </w:pPr>
      <w:proofErr w:type="spellStart"/>
      <w:r w:rsidRPr="002B5B62">
        <w:rPr>
          <w:rFonts w:ascii="Times New Roman" w:hAnsi="Times New Roman" w:cs="Times New Roman"/>
          <w:i/>
          <w:sz w:val="24"/>
        </w:rPr>
        <w:t>retailService</w:t>
      </w:r>
      <w:proofErr w:type="spellEnd"/>
      <w:r w:rsidRPr="002B5B62">
        <w:rPr>
          <w:rFonts w:ascii="Times New Roman" w:hAnsi="Times New Roman" w:cs="Times New Roman"/>
          <w:b/>
          <w:sz w:val="24"/>
        </w:rPr>
        <w:t xml:space="preserve"> </w:t>
      </w:r>
      <w:r w:rsidRPr="002B5B62">
        <w:rPr>
          <w:rFonts w:ascii="Times New Roman" w:hAnsi="Times New Roman" w:cs="Times New Roman"/>
          <w:bCs/>
          <w:sz w:val="24"/>
        </w:rPr>
        <w:t>– ratio of retail (comparison + convenience): services in 2020.</w:t>
      </w:r>
    </w:p>
    <w:p w14:paraId="2D61761C" w14:textId="77777777" w:rsidR="002B5B62" w:rsidRPr="002B5B62" w:rsidRDefault="002B5B62" w:rsidP="002B5B62">
      <w:pPr>
        <w:jc w:val="both"/>
        <w:rPr>
          <w:rFonts w:ascii="Times New Roman" w:hAnsi="Times New Roman" w:cs="Times New Roman"/>
          <w:b/>
          <w:sz w:val="24"/>
        </w:rPr>
      </w:pPr>
      <w:proofErr w:type="spellStart"/>
      <w:r w:rsidRPr="002B5B62">
        <w:rPr>
          <w:rFonts w:ascii="Times New Roman" w:hAnsi="Times New Roman" w:cs="Times New Roman"/>
          <w:i/>
          <w:sz w:val="24"/>
        </w:rPr>
        <w:t>retailChange</w:t>
      </w:r>
      <w:proofErr w:type="spellEnd"/>
      <w:r w:rsidRPr="002B5B62">
        <w:rPr>
          <w:rFonts w:ascii="Times New Roman" w:hAnsi="Times New Roman" w:cs="Times New Roman"/>
          <w:b/>
          <w:sz w:val="24"/>
        </w:rPr>
        <w:t xml:space="preserve"> </w:t>
      </w:r>
      <w:r w:rsidRPr="002B5B62">
        <w:rPr>
          <w:rFonts w:ascii="Times New Roman" w:hAnsi="Times New Roman" w:cs="Times New Roman"/>
          <w:bCs/>
          <w:sz w:val="24"/>
        </w:rPr>
        <w:t xml:space="preserve">– the ratio of retail (comparison + convenience): services in 2017 subtracted from the </w:t>
      </w:r>
      <w:proofErr w:type="spellStart"/>
      <w:r w:rsidRPr="002B5B62">
        <w:rPr>
          <w:rFonts w:ascii="Times New Roman" w:hAnsi="Times New Roman" w:cs="Times New Roman"/>
          <w:bCs/>
          <w:sz w:val="24"/>
        </w:rPr>
        <w:t>retail:service</w:t>
      </w:r>
      <w:proofErr w:type="spellEnd"/>
      <w:r w:rsidRPr="002B5B62">
        <w:rPr>
          <w:rFonts w:ascii="Times New Roman" w:hAnsi="Times New Roman" w:cs="Times New Roman"/>
          <w:bCs/>
          <w:sz w:val="24"/>
        </w:rPr>
        <w:t xml:space="preserve"> ratio in 2020. </w:t>
      </w:r>
    </w:p>
    <w:p w14:paraId="0EFCCF91" w14:textId="77777777" w:rsidR="002B5B62" w:rsidRPr="002B5B62" w:rsidRDefault="002B5B62" w:rsidP="002B5B62">
      <w:pPr>
        <w:jc w:val="both"/>
        <w:rPr>
          <w:rFonts w:ascii="Times New Roman" w:hAnsi="Times New Roman" w:cs="Times New Roman"/>
          <w:bCs/>
          <w:sz w:val="24"/>
        </w:rPr>
      </w:pPr>
      <w:proofErr w:type="spellStart"/>
      <w:r w:rsidRPr="002B5B62">
        <w:rPr>
          <w:rFonts w:ascii="Times New Roman" w:hAnsi="Times New Roman" w:cs="Times New Roman"/>
          <w:i/>
          <w:sz w:val="24"/>
        </w:rPr>
        <w:t>averageIMD</w:t>
      </w:r>
      <w:proofErr w:type="spellEnd"/>
      <w:r w:rsidRPr="002B5B62">
        <w:rPr>
          <w:rFonts w:ascii="Times New Roman" w:hAnsi="Times New Roman" w:cs="Times New Roman"/>
          <w:i/>
          <w:sz w:val="24"/>
        </w:rPr>
        <w:t xml:space="preserve"> </w:t>
      </w:r>
      <w:r w:rsidRPr="002B5B62">
        <w:rPr>
          <w:rFonts w:ascii="Times New Roman" w:hAnsi="Times New Roman" w:cs="Times New Roman"/>
          <w:bCs/>
          <w:sz w:val="24"/>
        </w:rPr>
        <w:t>– average IMD score of the retail centre walking catchment, obtained from the latest version of the deprivation profiles. This is used as a proxy for relative affluence of the retail centre, as use of census variables is problematic when developing a cross-national typology.</w:t>
      </w:r>
    </w:p>
    <w:p w14:paraId="13B3946B" w14:textId="77777777" w:rsidR="002B5B62" w:rsidRDefault="002B5B62" w:rsidP="002B5B62">
      <w:pPr>
        <w:rPr>
          <w:rFonts w:ascii="Times New Roman" w:hAnsi="Times New Roman" w:cs="Times New Roman"/>
          <w:bCs/>
          <w:sz w:val="24"/>
        </w:rPr>
      </w:pPr>
      <w:proofErr w:type="spellStart"/>
      <w:r w:rsidRPr="002B5B62">
        <w:rPr>
          <w:rFonts w:ascii="Times New Roman" w:hAnsi="Times New Roman" w:cs="Times New Roman"/>
          <w:i/>
          <w:sz w:val="24"/>
        </w:rPr>
        <w:t>nightPopulation</w:t>
      </w:r>
      <w:proofErr w:type="spellEnd"/>
      <w:r w:rsidRPr="002B5B62">
        <w:rPr>
          <w:rFonts w:ascii="Times New Roman" w:hAnsi="Times New Roman" w:cs="Times New Roman"/>
          <w:b/>
          <w:sz w:val="24"/>
        </w:rPr>
        <w:t xml:space="preserve"> </w:t>
      </w:r>
      <w:r w:rsidRPr="002B5B62">
        <w:rPr>
          <w:rFonts w:ascii="Times New Roman" w:hAnsi="Times New Roman" w:cs="Times New Roman"/>
          <w:bCs/>
          <w:sz w:val="24"/>
        </w:rPr>
        <w:t>– here we calculate the total residential population within the walking catchment of each retail centre, using population estimates from 2019 for England and Wales at LSOA level and Scotland at Data Zone level.</w:t>
      </w:r>
    </w:p>
    <w:p w14:paraId="6B517CD3" w14:textId="77777777" w:rsidR="002B5B62" w:rsidRDefault="002B5B62" w:rsidP="002B5B62">
      <w:pPr>
        <w:rPr>
          <w:rFonts w:ascii="Times New Roman" w:hAnsi="Times New Roman" w:cs="Times New Roman"/>
          <w:bCs/>
          <w:sz w:val="24"/>
        </w:rPr>
      </w:pPr>
    </w:p>
    <w:p w14:paraId="302E8E15" w14:textId="77777777" w:rsidR="002B5B62" w:rsidRPr="002B5B62" w:rsidRDefault="002B5B62" w:rsidP="002B5B62">
      <w:pPr>
        <w:pStyle w:val="ListParagraph"/>
        <w:numPr>
          <w:ilvl w:val="1"/>
          <w:numId w:val="2"/>
        </w:numPr>
        <w:rPr>
          <w:rFonts w:ascii="Times New Roman" w:hAnsi="Times New Roman" w:cs="Times New Roman"/>
          <w:b/>
          <w:bCs/>
          <w:sz w:val="24"/>
        </w:rPr>
      </w:pPr>
      <w:r w:rsidRPr="002B5B62">
        <w:rPr>
          <w:rFonts w:ascii="Times New Roman" w:hAnsi="Times New Roman" w:cs="Times New Roman"/>
          <w:b/>
          <w:bCs/>
          <w:sz w:val="24"/>
        </w:rPr>
        <w:t>Notes</w:t>
      </w:r>
    </w:p>
    <w:p w14:paraId="050D96F8" w14:textId="77777777" w:rsidR="002B5B62" w:rsidRDefault="002B5B62" w:rsidP="002B5B62">
      <w:pPr>
        <w:rPr>
          <w:rFonts w:ascii="Bell MT" w:hAnsi="Bell MT"/>
          <w:bCs/>
          <w:sz w:val="24"/>
        </w:rPr>
      </w:pPr>
      <w:r w:rsidRPr="002B5B62">
        <w:rPr>
          <w:rFonts w:ascii="Bell MT" w:hAnsi="Bell MT"/>
          <w:bCs/>
          <w:sz w:val="24"/>
        </w:rPr>
        <w:t xml:space="preserve">It was not possible to compute </w:t>
      </w:r>
      <w:r w:rsidRPr="002B5B62">
        <w:rPr>
          <w:rFonts w:ascii="Bell MT" w:hAnsi="Bell MT"/>
          <w:bCs/>
          <w:i/>
          <w:iCs/>
          <w:sz w:val="24"/>
        </w:rPr>
        <w:t>rateable value</w:t>
      </w:r>
      <w:r w:rsidRPr="002B5B62">
        <w:rPr>
          <w:rFonts w:ascii="Bell MT" w:hAnsi="Bell MT"/>
          <w:bCs/>
          <w:sz w:val="24"/>
        </w:rPr>
        <w:t xml:space="preserve"> for the retail centres, as the VOA dataset is not available for Scotland.</w:t>
      </w:r>
    </w:p>
    <w:p w14:paraId="75656BAD" w14:textId="77777777" w:rsidR="002B5B62" w:rsidRDefault="002B5B62" w:rsidP="002B5B62">
      <w:pPr>
        <w:rPr>
          <w:rFonts w:ascii="Bell MT" w:hAnsi="Bell MT"/>
          <w:bCs/>
          <w:sz w:val="24"/>
        </w:rPr>
      </w:pPr>
      <w:r w:rsidRPr="002B5B62">
        <w:rPr>
          <w:rFonts w:ascii="Bell MT" w:hAnsi="Bell MT"/>
          <w:bCs/>
          <w:sz w:val="24"/>
        </w:rPr>
        <w:t xml:space="preserve">It was also not possible to calculate </w:t>
      </w:r>
      <w:r w:rsidRPr="002B5B62">
        <w:rPr>
          <w:rFonts w:ascii="Bell MT" w:hAnsi="Bell MT"/>
          <w:bCs/>
          <w:i/>
          <w:iCs/>
          <w:sz w:val="24"/>
        </w:rPr>
        <w:t>crime and unemployment rates</w:t>
      </w:r>
      <w:r w:rsidRPr="002B5B62">
        <w:rPr>
          <w:rFonts w:ascii="Bell MT" w:hAnsi="Bell MT"/>
          <w:bCs/>
          <w:sz w:val="24"/>
        </w:rPr>
        <w:t xml:space="preserve"> for the retail centres, as the measurement of each varies between England/Wales and Scotland.</w:t>
      </w:r>
    </w:p>
    <w:p w14:paraId="4EE0C5E8" w14:textId="77777777" w:rsidR="002B5B62" w:rsidRPr="002B5B62" w:rsidRDefault="002B5B62" w:rsidP="002B5B62">
      <w:pPr>
        <w:rPr>
          <w:rFonts w:ascii="Times New Roman" w:hAnsi="Times New Roman" w:cs="Times New Roman"/>
          <w:b/>
          <w:bCs/>
          <w:sz w:val="24"/>
        </w:rPr>
      </w:pPr>
      <w:r w:rsidRPr="00692118">
        <w:rPr>
          <w:rFonts w:ascii="Bell MT" w:hAnsi="Bell MT"/>
          <w:bCs/>
          <w:i/>
          <w:iCs/>
          <w:sz w:val="24"/>
        </w:rPr>
        <w:t>Economic activity</w:t>
      </w:r>
      <w:r w:rsidRPr="002D18E0">
        <w:rPr>
          <w:rFonts w:ascii="Bell MT" w:hAnsi="Bell MT"/>
          <w:bCs/>
          <w:sz w:val="24"/>
        </w:rPr>
        <w:t xml:space="preserve"> would be a useful measure, when we receive data from Geolytix we might look into this.</w:t>
      </w:r>
    </w:p>
    <w:p w14:paraId="20152B14" w14:textId="77777777" w:rsidR="002B5B62" w:rsidRPr="002B5B62" w:rsidRDefault="002B5B62" w:rsidP="002B5B62">
      <w:pPr>
        <w:rPr>
          <w:rFonts w:ascii="Times New Roman" w:hAnsi="Times New Roman" w:cs="Times New Roman"/>
          <w:sz w:val="24"/>
        </w:rPr>
      </w:pPr>
    </w:p>
    <w:sectPr w:rsidR="002B5B62" w:rsidRPr="002B5B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D9520" w14:textId="77777777" w:rsidR="00836F27" w:rsidRDefault="00836F27" w:rsidP="002B5B62">
      <w:pPr>
        <w:spacing w:after="0" w:line="240" w:lineRule="auto"/>
      </w:pPr>
      <w:r>
        <w:separator/>
      </w:r>
    </w:p>
  </w:endnote>
  <w:endnote w:type="continuationSeparator" w:id="0">
    <w:p w14:paraId="04C157C0" w14:textId="77777777" w:rsidR="00836F27" w:rsidRDefault="00836F27" w:rsidP="002B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07D0" w14:textId="77777777" w:rsidR="00836F27" w:rsidRDefault="00836F27" w:rsidP="002B5B62">
      <w:pPr>
        <w:spacing w:after="0" w:line="240" w:lineRule="auto"/>
      </w:pPr>
      <w:r>
        <w:separator/>
      </w:r>
    </w:p>
  </w:footnote>
  <w:footnote w:type="continuationSeparator" w:id="0">
    <w:p w14:paraId="131864AE" w14:textId="77777777" w:rsidR="00836F27" w:rsidRDefault="00836F27" w:rsidP="002B5B62">
      <w:pPr>
        <w:spacing w:after="0" w:line="240" w:lineRule="auto"/>
      </w:pPr>
      <w:r>
        <w:continuationSeparator/>
      </w:r>
    </w:p>
  </w:footnote>
  <w:footnote w:id="1">
    <w:p w14:paraId="2B172299" w14:textId="77777777" w:rsidR="002B5B62" w:rsidRPr="002B5B62" w:rsidRDefault="002B5B62" w:rsidP="002B5B62">
      <w:pPr>
        <w:pStyle w:val="FootnoteText"/>
        <w:rPr>
          <w:rFonts w:ascii="Times New Roman" w:hAnsi="Times New Roman" w:cs="Times New Roman"/>
        </w:rPr>
      </w:pPr>
      <w:r w:rsidRPr="002B5B62">
        <w:rPr>
          <w:rStyle w:val="FootnoteReference"/>
          <w:rFonts w:ascii="Times New Roman" w:hAnsi="Times New Roman" w:cs="Times New Roman"/>
        </w:rPr>
        <w:footnoteRef/>
      </w:r>
      <w:r w:rsidRPr="002B5B62">
        <w:rPr>
          <w:rFonts w:ascii="Times New Roman" w:hAnsi="Times New Roman" w:cs="Times New Roman"/>
        </w:rPr>
        <w:t xml:space="preserve"> The Most Popular Luxury Brands UK - </w:t>
      </w:r>
      <w:hyperlink r:id="rId1" w:history="1">
        <w:r w:rsidRPr="002B5B62">
          <w:rPr>
            <w:rStyle w:val="Hyperlink"/>
            <w:rFonts w:ascii="Times New Roman" w:hAnsi="Times New Roman" w:cs="Times New Roman"/>
          </w:rPr>
          <w:t>https://yougov.co.uk/ratings/consumer/popularity/luxury-brands/all</w:t>
        </w:r>
      </w:hyperlink>
      <w:r w:rsidRPr="002B5B62">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373A4"/>
    <w:multiLevelType w:val="hybridMultilevel"/>
    <w:tmpl w:val="E398E330"/>
    <w:lvl w:ilvl="0" w:tplc="A156C9D0">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810CEB"/>
    <w:multiLevelType w:val="multilevel"/>
    <w:tmpl w:val="748464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4B"/>
    <w:rsid w:val="00004711"/>
    <w:rsid w:val="00017C91"/>
    <w:rsid w:val="00047700"/>
    <w:rsid w:val="00065041"/>
    <w:rsid w:val="00090D56"/>
    <w:rsid w:val="000C396D"/>
    <w:rsid w:val="000E0E08"/>
    <w:rsid w:val="000F0388"/>
    <w:rsid w:val="000F236E"/>
    <w:rsid w:val="00161300"/>
    <w:rsid w:val="001B589A"/>
    <w:rsid w:val="001D5D0E"/>
    <w:rsid w:val="00210EF1"/>
    <w:rsid w:val="0023053C"/>
    <w:rsid w:val="002558FD"/>
    <w:rsid w:val="002B5B62"/>
    <w:rsid w:val="002D5368"/>
    <w:rsid w:val="003014AB"/>
    <w:rsid w:val="00337A16"/>
    <w:rsid w:val="00356D53"/>
    <w:rsid w:val="003774FC"/>
    <w:rsid w:val="00393B60"/>
    <w:rsid w:val="004628C5"/>
    <w:rsid w:val="004B2B96"/>
    <w:rsid w:val="004B7C7A"/>
    <w:rsid w:val="00650D9C"/>
    <w:rsid w:val="006704F8"/>
    <w:rsid w:val="00694C55"/>
    <w:rsid w:val="006B407D"/>
    <w:rsid w:val="006D0981"/>
    <w:rsid w:val="006E1221"/>
    <w:rsid w:val="00703A75"/>
    <w:rsid w:val="007409D3"/>
    <w:rsid w:val="00796176"/>
    <w:rsid w:val="007976BB"/>
    <w:rsid w:val="008232ED"/>
    <w:rsid w:val="00836F27"/>
    <w:rsid w:val="00854A10"/>
    <w:rsid w:val="0087487D"/>
    <w:rsid w:val="008B564B"/>
    <w:rsid w:val="008C12FB"/>
    <w:rsid w:val="008D3BA8"/>
    <w:rsid w:val="008D706B"/>
    <w:rsid w:val="008E6810"/>
    <w:rsid w:val="009073C7"/>
    <w:rsid w:val="009135B1"/>
    <w:rsid w:val="009206AE"/>
    <w:rsid w:val="00AF4EEA"/>
    <w:rsid w:val="00B010E9"/>
    <w:rsid w:val="00B57837"/>
    <w:rsid w:val="00B63348"/>
    <w:rsid w:val="00C16A61"/>
    <w:rsid w:val="00C521BA"/>
    <w:rsid w:val="00CB74CA"/>
    <w:rsid w:val="00CC60EE"/>
    <w:rsid w:val="00D27983"/>
    <w:rsid w:val="00D56685"/>
    <w:rsid w:val="00D652CA"/>
    <w:rsid w:val="00D65960"/>
    <w:rsid w:val="00DA5CCF"/>
    <w:rsid w:val="00DF3998"/>
    <w:rsid w:val="00E12B4F"/>
    <w:rsid w:val="00E65717"/>
    <w:rsid w:val="00EF464A"/>
    <w:rsid w:val="00F1620C"/>
    <w:rsid w:val="00F175B3"/>
    <w:rsid w:val="00F51F22"/>
    <w:rsid w:val="00F63F91"/>
    <w:rsid w:val="00F83AEA"/>
    <w:rsid w:val="00F90476"/>
    <w:rsid w:val="00FC25B4"/>
    <w:rsid w:val="00FE05EE"/>
    <w:rsid w:val="00FE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0CB5"/>
  <w15:chartTrackingRefBased/>
  <w15:docId w15:val="{61598D94-A0B4-4153-BFA7-25A86B61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10E9"/>
    <w:rPr>
      <w:color w:val="0563C1" w:themeColor="hyperlink"/>
      <w:u w:val="single"/>
    </w:rPr>
  </w:style>
  <w:style w:type="paragraph" w:styleId="ListParagraph">
    <w:name w:val="List Paragraph"/>
    <w:basedOn w:val="Normal"/>
    <w:uiPriority w:val="34"/>
    <w:qFormat/>
    <w:rsid w:val="000C396D"/>
    <w:pPr>
      <w:ind w:left="720"/>
      <w:contextualSpacing/>
    </w:pPr>
  </w:style>
  <w:style w:type="paragraph" w:styleId="FootnoteText">
    <w:name w:val="footnote text"/>
    <w:basedOn w:val="Normal"/>
    <w:link w:val="FootnoteTextChar"/>
    <w:uiPriority w:val="99"/>
    <w:semiHidden/>
    <w:unhideWhenUsed/>
    <w:rsid w:val="002B5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B62"/>
    <w:rPr>
      <w:sz w:val="20"/>
      <w:szCs w:val="20"/>
    </w:rPr>
  </w:style>
  <w:style w:type="character" w:styleId="FootnoteReference">
    <w:name w:val="footnote reference"/>
    <w:basedOn w:val="DefaultParagraphFont"/>
    <w:uiPriority w:val="99"/>
    <w:semiHidden/>
    <w:unhideWhenUsed/>
    <w:rsid w:val="002B5B62"/>
    <w:rPr>
      <w:vertAlign w:val="superscript"/>
    </w:rPr>
  </w:style>
  <w:style w:type="character" w:styleId="CommentReference">
    <w:name w:val="annotation reference"/>
    <w:basedOn w:val="DefaultParagraphFont"/>
    <w:uiPriority w:val="99"/>
    <w:semiHidden/>
    <w:unhideWhenUsed/>
    <w:rsid w:val="00F83AEA"/>
    <w:rPr>
      <w:sz w:val="16"/>
      <w:szCs w:val="16"/>
    </w:rPr>
  </w:style>
  <w:style w:type="paragraph" w:styleId="CommentText">
    <w:name w:val="annotation text"/>
    <w:basedOn w:val="Normal"/>
    <w:link w:val="CommentTextChar"/>
    <w:uiPriority w:val="99"/>
    <w:semiHidden/>
    <w:unhideWhenUsed/>
    <w:rsid w:val="00F83AEA"/>
    <w:pPr>
      <w:spacing w:line="240" w:lineRule="auto"/>
    </w:pPr>
    <w:rPr>
      <w:sz w:val="20"/>
      <w:szCs w:val="20"/>
    </w:rPr>
  </w:style>
  <w:style w:type="character" w:customStyle="1" w:styleId="CommentTextChar">
    <w:name w:val="Comment Text Char"/>
    <w:basedOn w:val="DefaultParagraphFont"/>
    <w:link w:val="CommentText"/>
    <w:uiPriority w:val="99"/>
    <w:semiHidden/>
    <w:rsid w:val="00F83AEA"/>
    <w:rPr>
      <w:sz w:val="20"/>
      <w:szCs w:val="20"/>
    </w:rPr>
  </w:style>
  <w:style w:type="paragraph" w:styleId="CommentSubject">
    <w:name w:val="annotation subject"/>
    <w:basedOn w:val="CommentText"/>
    <w:next w:val="CommentText"/>
    <w:link w:val="CommentSubjectChar"/>
    <w:uiPriority w:val="99"/>
    <w:semiHidden/>
    <w:unhideWhenUsed/>
    <w:rsid w:val="00F83AEA"/>
    <w:rPr>
      <w:b/>
      <w:bCs/>
    </w:rPr>
  </w:style>
  <w:style w:type="character" w:customStyle="1" w:styleId="CommentSubjectChar">
    <w:name w:val="Comment Subject Char"/>
    <w:basedOn w:val="CommentTextChar"/>
    <w:link w:val="CommentSubject"/>
    <w:uiPriority w:val="99"/>
    <w:semiHidden/>
    <w:rsid w:val="00F83AEA"/>
    <w:rPr>
      <w:b/>
      <w:bCs/>
      <w:sz w:val="20"/>
      <w:szCs w:val="20"/>
    </w:rPr>
  </w:style>
  <w:style w:type="paragraph" w:styleId="BalloonText">
    <w:name w:val="Balloon Text"/>
    <w:basedOn w:val="Normal"/>
    <w:link w:val="BalloonTextChar"/>
    <w:uiPriority w:val="99"/>
    <w:semiHidden/>
    <w:unhideWhenUsed/>
    <w:rsid w:val="00F83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AEA"/>
    <w:rPr>
      <w:rFonts w:ascii="Segoe UI" w:hAnsi="Segoe UI" w:cs="Segoe UI"/>
      <w:sz w:val="18"/>
      <w:szCs w:val="18"/>
    </w:rPr>
  </w:style>
  <w:style w:type="character" w:styleId="UnresolvedMention">
    <w:name w:val="Unresolved Mention"/>
    <w:basedOn w:val="DefaultParagraphFont"/>
    <w:uiPriority w:val="99"/>
    <w:semiHidden/>
    <w:unhideWhenUsed/>
    <w:rsid w:val="00650D9C"/>
    <w:rPr>
      <w:color w:val="605E5C"/>
      <w:shd w:val="clear" w:color="auto" w:fill="E1DFDD"/>
    </w:rPr>
  </w:style>
  <w:style w:type="paragraph" w:styleId="Revision">
    <w:name w:val="Revision"/>
    <w:hidden/>
    <w:uiPriority w:val="99"/>
    <w:semiHidden/>
    <w:rsid w:val="00650D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6714">
      <w:bodyDiv w:val="1"/>
      <w:marLeft w:val="0"/>
      <w:marRight w:val="0"/>
      <w:marTop w:val="0"/>
      <w:marBottom w:val="0"/>
      <w:divBdr>
        <w:top w:val="none" w:sz="0" w:space="0" w:color="auto"/>
        <w:left w:val="none" w:sz="0" w:space="0" w:color="auto"/>
        <w:bottom w:val="none" w:sz="0" w:space="0" w:color="auto"/>
        <w:right w:val="none" w:sz="0" w:space="0" w:color="auto"/>
      </w:divBdr>
    </w:div>
    <w:div w:id="303170346">
      <w:bodyDiv w:val="1"/>
      <w:marLeft w:val="0"/>
      <w:marRight w:val="0"/>
      <w:marTop w:val="0"/>
      <w:marBottom w:val="0"/>
      <w:divBdr>
        <w:top w:val="none" w:sz="0" w:space="0" w:color="auto"/>
        <w:left w:val="none" w:sz="0" w:space="0" w:color="auto"/>
        <w:bottom w:val="none" w:sz="0" w:space="0" w:color="auto"/>
        <w:right w:val="none" w:sz="0" w:space="0" w:color="auto"/>
      </w:divBdr>
    </w:div>
    <w:div w:id="342052743">
      <w:bodyDiv w:val="1"/>
      <w:marLeft w:val="0"/>
      <w:marRight w:val="0"/>
      <w:marTop w:val="0"/>
      <w:marBottom w:val="0"/>
      <w:divBdr>
        <w:top w:val="none" w:sz="0" w:space="0" w:color="auto"/>
        <w:left w:val="none" w:sz="0" w:space="0" w:color="auto"/>
        <w:bottom w:val="none" w:sz="0" w:space="0" w:color="auto"/>
        <w:right w:val="none" w:sz="0" w:space="0" w:color="auto"/>
      </w:divBdr>
    </w:div>
    <w:div w:id="509298326">
      <w:bodyDiv w:val="1"/>
      <w:marLeft w:val="0"/>
      <w:marRight w:val="0"/>
      <w:marTop w:val="0"/>
      <w:marBottom w:val="0"/>
      <w:divBdr>
        <w:top w:val="none" w:sz="0" w:space="0" w:color="auto"/>
        <w:left w:val="none" w:sz="0" w:space="0" w:color="auto"/>
        <w:bottom w:val="none" w:sz="0" w:space="0" w:color="auto"/>
        <w:right w:val="none" w:sz="0" w:space="0" w:color="auto"/>
      </w:divBdr>
    </w:div>
    <w:div w:id="595989778">
      <w:bodyDiv w:val="1"/>
      <w:marLeft w:val="0"/>
      <w:marRight w:val="0"/>
      <w:marTop w:val="0"/>
      <w:marBottom w:val="0"/>
      <w:divBdr>
        <w:top w:val="none" w:sz="0" w:space="0" w:color="auto"/>
        <w:left w:val="none" w:sz="0" w:space="0" w:color="auto"/>
        <w:bottom w:val="none" w:sz="0" w:space="0" w:color="auto"/>
        <w:right w:val="none" w:sz="0" w:space="0" w:color="auto"/>
      </w:divBdr>
    </w:div>
    <w:div w:id="716972271">
      <w:bodyDiv w:val="1"/>
      <w:marLeft w:val="0"/>
      <w:marRight w:val="0"/>
      <w:marTop w:val="0"/>
      <w:marBottom w:val="0"/>
      <w:divBdr>
        <w:top w:val="none" w:sz="0" w:space="0" w:color="auto"/>
        <w:left w:val="none" w:sz="0" w:space="0" w:color="auto"/>
        <w:bottom w:val="none" w:sz="0" w:space="0" w:color="auto"/>
        <w:right w:val="none" w:sz="0" w:space="0" w:color="auto"/>
      </w:divBdr>
    </w:div>
    <w:div w:id="999383572">
      <w:bodyDiv w:val="1"/>
      <w:marLeft w:val="0"/>
      <w:marRight w:val="0"/>
      <w:marTop w:val="0"/>
      <w:marBottom w:val="0"/>
      <w:divBdr>
        <w:top w:val="none" w:sz="0" w:space="0" w:color="auto"/>
        <w:left w:val="none" w:sz="0" w:space="0" w:color="auto"/>
        <w:bottom w:val="none" w:sz="0" w:space="0" w:color="auto"/>
        <w:right w:val="none" w:sz="0" w:space="0" w:color="auto"/>
      </w:divBdr>
    </w:div>
    <w:div w:id="1142693737">
      <w:bodyDiv w:val="1"/>
      <w:marLeft w:val="0"/>
      <w:marRight w:val="0"/>
      <w:marTop w:val="0"/>
      <w:marBottom w:val="0"/>
      <w:divBdr>
        <w:top w:val="none" w:sz="0" w:space="0" w:color="auto"/>
        <w:left w:val="none" w:sz="0" w:space="0" w:color="auto"/>
        <w:bottom w:val="none" w:sz="0" w:space="0" w:color="auto"/>
        <w:right w:val="none" w:sz="0" w:space="0" w:color="auto"/>
      </w:divBdr>
    </w:div>
    <w:div w:id="1506554879">
      <w:bodyDiv w:val="1"/>
      <w:marLeft w:val="0"/>
      <w:marRight w:val="0"/>
      <w:marTop w:val="0"/>
      <w:marBottom w:val="0"/>
      <w:divBdr>
        <w:top w:val="none" w:sz="0" w:space="0" w:color="auto"/>
        <w:left w:val="none" w:sz="0" w:space="0" w:color="auto"/>
        <w:bottom w:val="none" w:sz="0" w:space="0" w:color="auto"/>
        <w:right w:val="none" w:sz="0" w:space="0" w:color="auto"/>
      </w:divBdr>
    </w:div>
    <w:div w:id="1581477695">
      <w:bodyDiv w:val="1"/>
      <w:marLeft w:val="0"/>
      <w:marRight w:val="0"/>
      <w:marTop w:val="0"/>
      <w:marBottom w:val="0"/>
      <w:divBdr>
        <w:top w:val="none" w:sz="0" w:space="0" w:color="auto"/>
        <w:left w:val="none" w:sz="0" w:space="0" w:color="auto"/>
        <w:bottom w:val="none" w:sz="0" w:space="0" w:color="auto"/>
        <w:right w:val="none" w:sz="0" w:space="0" w:color="auto"/>
      </w:divBdr>
    </w:div>
    <w:div w:id="1585798832">
      <w:bodyDiv w:val="1"/>
      <w:marLeft w:val="0"/>
      <w:marRight w:val="0"/>
      <w:marTop w:val="0"/>
      <w:marBottom w:val="0"/>
      <w:divBdr>
        <w:top w:val="none" w:sz="0" w:space="0" w:color="auto"/>
        <w:left w:val="none" w:sz="0" w:space="0" w:color="auto"/>
        <w:bottom w:val="none" w:sz="0" w:space="0" w:color="auto"/>
        <w:right w:val="none" w:sz="0" w:space="0" w:color="auto"/>
      </w:divBdr>
    </w:div>
    <w:div w:id="1832483806">
      <w:bodyDiv w:val="1"/>
      <w:marLeft w:val="0"/>
      <w:marRight w:val="0"/>
      <w:marTop w:val="0"/>
      <w:marBottom w:val="0"/>
      <w:divBdr>
        <w:top w:val="none" w:sz="0" w:space="0" w:color="auto"/>
        <w:left w:val="none" w:sz="0" w:space="0" w:color="auto"/>
        <w:bottom w:val="none" w:sz="0" w:space="0" w:color="auto"/>
        <w:right w:val="none" w:sz="0" w:space="0" w:color="auto"/>
      </w:divBdr>
    </w:div>
    <w:div w:id="18544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rc.ac.uk/dataset/historic-retail-centre-boundaries"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s://github.com/patrickballantyne/CDRC-Retail-Indicators/blob/main/README.md" TargetMode="External"/><Relationship Id="rId12" Type="http://schemas.openxmlformats.org/officeDocument/2006/relationships/hyperlink" Target="https://github.com/patrickballantyne/CDRC-Retail-Indicators/blob/main/Analysis%20Code/Multidimensional%20Typology.R"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full/10.1177/239980831984066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emf"/><Relationship Id="rId10" Type="http://schemas.openxmlformats.org/officeDocument/2006/relationships/hyperlink" Target="https://github.com/patrickballantyne/CDRC-Retail-Indicators/blob/main/Analysis%20Code/Assembling%20OPEN%20typology%20variables.R"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data.cdrc.ac.uk/dataset/retail-centre-indicators" TargetMode="External"/><Relationship Id="rId14" Type="http://schemas.openxmlformats.org/officeDocument/2006/relationships/hyperlink" Target="https://github.com/patrickballantyne/CDRC-Retail-Indicators/blob/main/Analysis%20Code/Multidimensional%20Typology.R" TargetMode="Externa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yougov.co.uk/ratings/consumer/popularity/luxury-brand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dc:creator>
  <cp:keywords/>
  <dc:description/>
  <cp:lastModifiedBy>Ballantyne, Patrick</cp:lastModifiedBy>
  <cp:revision>3</cp:revision>
  <dcterms:created xsi:type="dcterms:W3CDTF">2022-05-06T11:05:00Z</dcterms:created>
  <dcterms:modified xsi:type="dcterms:W3CDTF">2022-05-09T07:34:00Z</dcterms:modified>
</cp:coreProperties>
</file>