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Multimedia Equipment Watcher: A Web-Based Platform for Monitoring Borrowed Resources and Automated Overdue SMS </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TVL - ICT 12 LYRA</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LEADER: DILLA, CHANTRICE D.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ASST. LEADER: JAVIER, MARK OWEN E.</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t>
      </w:r>
    </w:p>
    <w:p w:rsidR="00000000" w:rsidDel="00000000" w:rsidP="00000000" w:rsidRDefault="00000000" w:rsidRPr="00000000" w14:paraId="0000000C">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Aguila</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 Sean Carlix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Angeles, Marion Juris P. </w:t>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Bautista, Noime H.</w:t>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Boral, Anniekha Jill O.</w:t>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Enriquez, Ymel Cristoph B</w:t>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Esguerra, Maria Carmina S.</w:t>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Hernandez, John Erick M.</w:t>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Lapuz, Clarence M.</w:t>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Marbella, Rommel N.</w:t>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Millapez, Jacquelyn B.</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Saguidon, Jess Mark Douven B.</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 </w:t>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JANDY P. AYSON, LPT, MAED</w:t>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ADVISER</w:t>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  Multimedia Equipment Watcher: A Web-Based Platform for Monitoring Borrowed Resources and Automated Overdue SMS </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Aguila</w:t>
      </w:r>
      <w:r w:rsidDel="00000000" w:rsidR="00000000" w:rsidRPr="00000000">
        <w:rPr>
          <w:rFonts w:ascii="Times New Roman" w:cs="Times New Roman" w:eastAsia="Times New Roman" w:hAnsi="Times New Roman"/>
          <w:b w:val="1"/>
          <w:bCs w:val="1"/>
          <w:color w:val="202124"/>
          <w:highlight w:val="white"/>
          <w:rtl w:val="0"/>
        </w:rPr>
        <w:t xml:space="preserve">, Sean Carlix F.</w:t>
      </w:r>
      <w:r w:rsidDel="00000000" w:rsidR="00000000" w:rsidRPr="00000000">
        <w:rPr>
          <w:rFonts w:ascii="Times New Roman" w:cs="Times New Roman" w:eastAsia="Times New Roman" w:hAnsi="Times New Roman"/>
          <w:b w:val="1"/>
          <w:bCs w:val="1"/>
          <w:rtl w:val="0"/>
        </w:rPr>
        <w:t xml:space="preserve">                 Dilla, Chantrice D.                              Lapuz, Clarence M.</w:t>
      </w: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Angeles, Marion Juris P.             Enriquez, Ymel Cristoph B.              Marbella, Rommel N.</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Bautista, Noime H.                      Esguerra, Maria Carmina S.             Millapez, Jacquelyn B.</w:t>
        <w:br w:type="textWrapping"/>
        <w:t xml:space="preserve">Boral, Anniekha Jill O.               Hernandez, John Erick M.                Saguidon, Jess Mark Douven </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Javier, Mark Owen E.</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Introduction</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i w:val="0"/>
          <w:iCs w:val="0"/>
          <w:smallCaps w:val="0"/>
          <w:color w:val="000000"/>
          <w:sz w:val="24"/>
          <w:szCs w:val="24"/>
          <w:shd w:fill="auto" w:val="clear"/>
        </w:rPr>
      </w:pP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In many educational institutions and organizations, managing borrowed multimedia equipment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such as projectors, speakers, and extension cords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remains a challenge due to the continued </w:t>
      </w:r>
      <w:r w:rsidDel="00000000" w:rsidR="00000000" w:rsidRPr="00000000">
        <w:rPr>
          <w:rFonts w:ascii="Times New Roman" w:cs="Times New Roman" w:eastAsia="Times New Roman" w:hAnsi="Times New Roman"/>
          <w:sz w:val="24"/>
          <w:szCs w:val="24"/>
          <w:rtl w:val="0"/>
        </w:rPr>
        <w:t xml:space="preserve">reliance on manual tracking systems, including</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 paper logs and verbal reminders. These outdated methods often result in forgotten return dates, lost items, and inefficient equipment circulation. With the increasing demand for reliability and accountability, web-based solutions have emerged as a practical alternative. Similarly, Hu et 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 (2020) demonstrated the effectiveness of digital platforms in managing laboratory equipment and scheduling. Alongside tracking tools, automated SMS notifications have proven valuable in reminding users about due dates and reducing late returns. Studies by Gallera (2023) showed that SMS alerts significantly improve compliance and communication in both educational and rental settings. A similar system used in academic libraries led to a notable decrease in overdue materials Somwanshi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et 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2024). In response to these findings, this study proposes the Multimedia Equipment Watcher</w:t>
      </w:r>
      <w:r w:rsidDel="00000000" w:rsidR="00000000" w:rsidRPr="00000000">
        <w:rPr>
          <w:rFonts w:ascii="Times New Roman" w:cs="Times New Roman" w:eastAsia="Times New Roman" w:hAnsi="Times New Roman"/>
          <w:sz w:val="24"/>
          <w:szCs w:val="24"/>
          <w:rtl w:val="0"/>
        </w:rPr>
        <w:t xml:space="preserve">, a web-based platform that enables</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 users to reserve, track, and return multimedia equipment more efficiently</w:t>
      </w:r>
      <w:r w:rsidDel="00000000" w:rsidR="00000000" w:rsidRPr="00000000">
        <w:rPr>
          <w:rFonts w:ascii="Times New Roman" w:cs="Times New Roman" w:eastAsia="Times New Roman" w:hAnsi="Times New Roman"/>
          <w:sz w:val="24"/>
          <w:szCs w:val="24"/>
          <w:rtl w:val="0"/>
        </w:rPr>
        <w:t xml:space="preserve">. Moreover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with features such as real-time monitoring and automated SMS notifications, the system is designed to reduce equipment loss, enhance user accountability, and ensure the consistent availability of resources whenever needed.</w:t>
      </w: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technological age, schools rely on multimedia equipment such as microphones, speakers, projectors, and HDMI cables for events and educational purposes. However, many institutions still use manual methods of recording borrowed equipment, which often results in delayed returns, unrecorded transactions, and equipment loss Martos et al., (2022). Previous studies on school resource management have not fully explored the integration of real-time monitoring and automated notifications for borrowed multimedia equipment. Most studies focus only on general inventory management and not on the specific needs of multimedia resources in schools. Studies on ICT-based inventory systems mostly focus on library books or laboratory tools, leaving the monitoring of multimedia equipment such as microphones, speakers, and projectors underexplored. This study addresses that gap by developing a web-based platform called Multimedia Equipment Watcher, which monitors borrowed resources in real-time and sends automated SMS/Email notifications for overdue items. This innovation aims to improve accountability, reduce equipment loss, and ensure that multimedia tools are available when needed.</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this study, the researchers created a web-based system designed to seamlessly track and manage the borrowing and returning of instructional and technical equipment. The system maintains detailed digital records and sends automated SMS notifications for overdue items, helping to prevent equipment loss and return delays. Through the automation of inventory tracking and borrower monitoring, the system significantly reduces the manual workload of administrators.</w:t>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purpose of this study is to determine the effectiveness of the system in supporting accountability and improving resource management. Additionally, the study examines how digital solutions can improve operational effectiveness.</w:t>
      </w:r>
      <w:r w:rsidDel="00000000" w:rsidR="00000000" w:rsidRPr="00000000">
        <w:rPr>
          <w:rtl w:val="0"/>
        </w:rPr>
      </w:r>
    </w:p>
    <w:p w:rsidR="00000000" w:rsidDel="00000000" w:rsidP="00000000" w:rsidRDefault="00000000" w:rsidRPr="00000000" w14:paraId="00000032">
      <w:pPr>
        <w:spacing w:line="360" w:lineRule="auto"/>
        <w:ind w:left="360" w:firstLine="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  </w:t>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Specifically, this study aims to answer the following:</w:t>
      </w:r>
    </w:p>
    <w:p w:rsidR="00000000" w:rsidDel="00000000" w:rsidP="00000000" w:rsidRDefault="00000000" w:rsidRPr="00000000" w14:paraId="00000034">
      <w:pPr>
        <w:numPr>
          <w:ilvl w:val="0"/>
          <w:numId w:val="1"/>
        </w:numPr>
        <w:spacing w:line="360" w:lineRule="auto"/>
        <w:ind w:left="990" w:hanging="360"/>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What programming tools and technologies are utilized in the development of the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b w:val="1"/>
          <w:bCs w:val="1"/>
          <w:sz w:val="24"/>
          <w:szCs w:val="24"/>
          <w:shd w:fill="auto" w:val="clear"/>
          <w:rtl w:val="0"/>
        </w:rPr>
        <w:t xml:space="preserve">ultimedia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b w:val="1"/>
          <w:bCs w:val="1"/>
          <w:sz w:val="24"/>
          <w:szCs w:val="24"/>
          <w:shd w:fill="auto" w:val="clear"/>
          <w:rtl w:val="0"/>
        </w:rPr>
        <w:t xml:space="preserve">quipment </w:t>
      </w: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b w:val="1"/>
          <w:bCs w:val="1"/>
          <w:sz w:val="24"/>
          <w:szCs w:val="24"/>
          <w:shd w:fill="auto" w:val="clear"/>
          <w:rtl w:val="0"/>
        </w:rPr>
        <w:t xml:space="preserve">atcher?</w:t>
      </w:r>
    </w:p>
    <w:p w:rsidR="00000000" w:rsidDel="00000000" w:rsidP="00000000" w:rsidRDefault="00000000" w:rsidRPr="00000000" w14:paraId="00000035">
      <w:pPr>
        <w:numPr>
          <w:ilvl w:val="0"/>
          <w:numId w:val="1"/>
        </w:numPr>
        <w:ind w:left="990" w:hanging="360"/>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What is the level of acceptability of the Multimedia Equipment Watcher in terms of</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36">
      <w:pPr>
        <w:ind w:left="720" w:firstLine="720"/>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shd w:fill="auto" w:val="clear"/>
          <w:rtl w:val="0"/>
        </w:rPr>
        <w:t xml:space="preserve">.1. </w:t>
      </w:r>
      <w:r w:rsidDel="00000000" w:rsidR="00000000" w:rsidRPr="00000000">
        <w:rPr>
          <w:rFonts w:ascii="Times New Roman" w:cs="Times New Roman" w:eastAsia="Times New Roman" w:hAnsi="Times New Roman"/>
          <w:b w:val="1"/>
          <w:bCs w:val="1"/>
          <w:sz w:val="24"/>
          <w:szCs w:val="24"/>
          <w:rtl w:val="0"/>
        </w:rPr>
        <w:t xml:space="preserve">Interaction Capability</w:t>
      </w:r>
      <w:r w:rsidDel="00000000" w:rsidR="00000000" w:rsidRPr="00000000">
        <w:rPr>
          <w:rtl w:val="0"/>
        </w:rPr>
      </w:r>
    </w:p>
    <w:p w:rsidR="00000000" w:rsidDel="00000000" w:rsidP="00000000" w:rsidRDefault="00000000" w:rsidRPr="00000000" w14:paraId="00000037">
      <w:pPr>
        <w:ind w:left="1440" w:firstLine="0"/>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 2</w:t>
      </w:r>
      <w:r w:rsidDel="00000000" w:rsidR="00000000" w:rsidRPr="00000000">
        <w:rPr>
          <w:rFonts w:ascii="Times New Roman" w:cs="Times New Roman" w:eastAsia="Times New Roman" w:hAnsi="Times New Roman"/>
          <w:b w:val="1"/>
          <w:bCs w:val="1"/>
          <w:sz w:val="24"/>
          <w:szCs w:val="24"/>
          <w:shd w:fill="auto" w:val="clear"/>
          <w:rtl w:val="0"/>
        </w:rPr>
        <w:t xml:space="preserve">.2. </w:t>
      </w:r>
      <w:r w:rsidDel="00000000" w:rsidR="00000000" w:rsidRPr="00000000">
        <w:rPr>
          <w:rFonts w:ascii="Times New Roman" w:cs="Times New Roman" w:eastAsia="Times New Roman" w:hAnsi="Times New Roman"/>
          <w:b w:val="1"/>
          <w:bCs w:val="1"/>
          <w:sz w:val="24"/>
          <w:szCs w:val="24"/>
          <w:rtl w:val="0"/>
        </w:rPr>
        <w:t xml:space="preserve">Compatibility</w:t>
      </w: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 </w:t>
        <w:tab/>
        <w:tab/>
        <w:t xml:space="preserve"> 2</w:t>
      </w:r>
      <w:r w:rsidDel="00000000" w:rsidR="00000000" w:rsidRPr="00000000">
        <w:rPr>
          <w:rFonts w:ascii="Times New Roman" w:cs="Times New Roman" w:eastAsia="Times New Roman" w:hAnsi="Times New Roman"/>
          <w:b w:val="1"/>
          <w:bCs w:val="1"/>
          <w:sz w:val="24"/>
          <w:szCs w:val="24"/>
          <w:shd w:fill="auto" w:val="clear"/>
          <w:rtl w:val="0"/>
        </w:rPr>
        <w:t xml:space="preserve">.3. </w:t>
      </w: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tl w:val="0"/>
        </w:rPr>
      </w:r>
    </w:p>
    <w:p w:rsidR="00000000" w:rsidDel="00000000" w:rsidP="00000000" w:rsidRDefault="00000000" w:rsidRPr="00000000" w14:paraId="00000039">
      <w:pPr>
        <w:ind w:left="1350" w:firstLine="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w:t>
      </w:r>
      <w:r w:rsidDel="00000000" w:rsidR="00000000" w:rsidRPr="00000000">
        <w:rPr>
          <w:rFonts w:ascii="Times New Roman" w:cs="Times New Roman" w:eastAsia="Times New Roman" w:hAnsi="Times New Roman"/>
          <w:b w:val="1"/>
          <w:bCs w:val="1"/>
          <w:sz w:val="24"/>
          <w:szCs w:val="24"/>
          <w:shd w:fill="auto" w:val="clear"/>
          <w:rtl w:val="0"/>
        </w:rPr>
        <w:t xml:space="preserve">.4. </w:t>
      </w: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03A">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3. What is the level of effectiveness of the Multimedia Equipment Watcher in terms   </w:t>
        <w:br w:type="textWrapping"/>
        <w:t xml:space="preserve">    of:</w:t>
        <w:br w:type="textWrapping"/>
        <w:tab/>
        <w:t xml:space="preserve">3.1 Functional Stability</w:t>
      </w:r>
    </w:p>
    <w:p w:rsidR="00000000" w:rsidDel="00000000" w:rsidP="00000000" w:rsidRDefault="00000000" w:rsidRPr="00000000" w14:paraId="0000003B">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Performance Efficiency</w:t>
      </w:r>
    </w:p>
    <w:p w:rsidR="00000000" w:rsidDel="00000000" w:rsidP="00000000" w:rsidRDefault="00000000" w:rsidRPr="00000000" w14:paraId="0000003C">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Reliability</w:t>
        <w:br w:type="textWrapping"/>
        <w:t xml:space="preserve">3.4 Safety</w:t>
      </w:r>
    </w:p>
    <w:p w:rsidR="00000000" w:rsidDel="00000000" w:rsidP="00000000" w:rsidRDefault="00000000" w:rsidRPr="00000000" w14:paraId="0000003D">
      <w:pPr>
        <w:spacing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4. Is there a significant effect of the Multimedia Equipment Watcher system on                    </w:t>
        <w:br w:type="textWrapping"/>
        <w:t xml:space="preserve">   the improved accuracy and speed of recovery of borrowed or overdue multimedia   </w:t>
        <w:br w:type="textWrapping"/>
        <w:t xml:space="preserve">   resources?</w:t>
      </w:r>
    </w:p>
    <w:p w:rsidR="00000000" w:rsidDel="00000000" w:rsidP="00000000" w:rsidRDefault="00000000" w:rsidRPr="00000000" w14:paraId="0000003E">
      <w:pPr>
        <w:ind w:left="630" w:firstLine="960"/>
        <w:rPr>
          <w:rFonts w:ascii="Times New Roman" w:cs="Times New Roman" w:eastAsia="Times New Roman" w:hAnsi="Times New Roman"/>
          <w:b w:val="1"/>
          <w:bCs w:val="1"/>
          <w:sz w:val="24"/>
          <w:szCs w:val="24"/>
          <w:shd w:fill="auto" w:val="clear"/>
        </w:rPr>
      </w:pPr>
      <w:r w:rsidDel="00000000" w:rsidR="00000000" w:rsidRPr="00000000">
        <w:rPr>
          <w:rtl w:val="0"/>
        </w:rPr>
      </w:r>
    </w:p>
    <w:p w:rsidR="00000000" w:rsidDel="00000000" w:rsidP="00000000" w:rsidRDefault="00000000" w:rsidRPr="00000000" w14:paraId="0000003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development and implementation of a web-based platform called Multimedia Equipment Watcher. This web-based platform is designed to monitor and track the borrowed instructional and technical equipment within an institution. The system enables authorized users to record transactions for borrowing and returning borrowed equipment. Borrowers are automatically notified via SMS or Email if they have any overdue items. It does not cover other methods of equipment tracking, such as mobile app versions, hardware-based solutions (e.g., RFID), or integration with other platforms.</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b w:val="1"/>
          <w:bCs w:val="1"/>
          <w:color w:val="000000"/>
          <w:sz w:val="24"/>
          <w:szCs w:val="24"/>
          <w:shd w:fill="auto" w:val="clear"/>
        </w:rPr>
      </w:pPr>
      <w:bookmarkStart w:colFirst="0" w:colLast="0" w:name="_qnmhdam3d1tv" w:id="0"/>
      <w:bookmarkEnd w:id="0"/>
      <w:r w:rsidDel="00000000" w:rsidR="00000000" w:rsidRPr="00000000">
        <w:rPr>
          <w:rFonts w:ascii="Times New Roman" w:cs="Times New Roman" w:eastAsia="Times New Roman" w:hAnsi="Times New Roman"/>
          <w:sz w:val="24"/>
          <w:szCs w:val="24"/>
          <w:rtl w:val="0"/>
        </w:rPr>
        <w:t xml:space="preserve">The study can identify areas that require further technology advancements and set the basis for equipment tracking system development in the future. Providing an effective and systematic method of managing shared multimedia resources could be beneficial to educational institutions. Additionally, by reducing equipment loss and promoting immediate returns, it promotes sustainability and accountability. Furthermore, future researchers who want to develop, enhance, or develop equivalent digital resource management systems may find this study to be a useful guide.</w:t>
        <w:br w:type="textWrapping"/>
        <w:tab/>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This research utilizes the Technology Acceptance Model (TAM) (Davis, 1989) to explore user acceptance of the Multimedia Equipment Watcher, a </w:t>
      </w:r>
      <w:r w:rsidDel="00000000" w:rsidR="00000000" w:rsidRPr="00000000">
        <w:rPr>
          <w:rFonts w:ascii="Times New Roman" w:cs="Times New Roman" w:eastAsia="Times New Roman" w:hAnsi="Times New Roman"/>
          <w:sz w:val="24"/>
          <w:szCs w:val="24"/>
          <w:rtl w:val="0"/>
        </w:rPr>
        <w:t xml:space="preserve">web-based</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 platform designed to track borrowed resources and send automated SMS reminders for overdue equipment at Olivarez College Tagaytay. TAM proposed that </w:t>
      </w:r>
      <w:r w:rsidDel="00000000" w:rsidR="00000000" w:rsidRPr="00000000">
        <w:rPr>
          <w:rFonts w:ascii="Times New Roman" w:cs="Times New Roman" w:eastAsia="Times New Roman" w:hAnsi="Times New Roman"/>
          <w:sz w:val="24"/>
          <w:szCs w:val="24"/>
          <w:rtl w:val="0"/>
        </w:rPr>
        <w:t xml:space="preserve">perceived</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 usefulness and discover simplicity of use are key determinants of technology acceptance. This study investigates how the platform's design and functionality influence user acceptance, specifically assessing its </w:t>
      </w:r>
      <w:r w:rsidDel="00000000" w:rsidR="00000000" w:rsidRPr="00000000">
        <w:rPr>
          <w:rFonts w:ascii="Times New Roman" w:cs="Times New Roman" w:eastAsia="Times New Roman" w:hAnsi="Times New Roman"/>
          <w:sz w:val="24"/>
          <w:szCs w:val="24"/>
          <w:rtl w:val="0"/>
        </w:rPr>
        <w:t xml:space="preserve">potential</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 to improve compliance, reduce equipment loss, and enhance overall resource management. The hypothesis is that users who recognize the </w:t>
      </w:r>
      <w:r w:rsidDel="00000000" w:rsidR="00000000" w:rsidRPr="00000000">
        <w:rPr>
          <w:rFonts w:ascii="Times New Roman" w:cs="Times New Roman" w:eastAsia="Times New Roman" w:hAnsi="Times New Roman"/>
          <w:sz w:val="24"/>
          <w:szCs w:val="24"/>
          <w:rtl w:val="0"/>
        </w:rPr>
        <w:t xml:space="preserve">web-based</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system </w:t>
      </w:r>
      <w:r w:rsidDel="00000000" w:rsidR="00000000" w:rsidRPr="00000000">
        <w:rPr>
          <w:rFonts w:ascii="Times New Roman" w:cs="Times New Roman" w:eastAsia="Times New Roman" w:hAnsi="Times New Roman"/>
          <w:i w:val="0"/>
          <w:iCs w:val="0"/>
          <w:smallCaps w:val="0"/>
          <w:color w:val="000000"/>
          <w:sz w:val="24"/>
          <w:szCs w:val="24"/>
          <w:shd w:fill="auto" w:val="clear"/>
          <w:rtl w:val="0"/>
        </w:rPr>
        <w:t xml:space="preserve">as useful and easy to use will demonstrate greater acceptance and consistent usage.</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4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Input-Process-Output Model</w:t>
      </w:r>
    </w:p>
    <w:p w:rsidR="00000000" w:rsidDel="00000000" w:rsidP="00000000" w:rsidRDefault="00000000" w:rsidRPr="00000000" w14:paraId="00000045">
      <w:pPr>
        <w:rPr>
          <w:rFonts w:ascii="Times New Roman" w:cs="Times New Roman" w:eastAsia="Times New Roman" w:hAnsi="Times New Roman"/>
          <w:sz w:val="24"/>
          <w:szCs w:val="24"/>
        </w:rPr>
      </w:pPr>
      <w:bookmarkStart w:colFirst="0" w:colLast="0" w:name="_wunwgwbztfvh" w:id="1"/>
      <w:bookmarkEnd w:id="1"/>
      <w:r w:rsidDel="00000000" w:rsidR="00000000" w:rsidRPr="00000000">
        <w:rPr>
          <w:rFonts w:ascii="Times New Roman" w:cs="Times New Roman" w:eastAsia="Times New Roman" w:hAnsi="Times New Roman"/>
          <w:i w:val="1"/>
          <w:iCs w:val="1"/>
          <w:sz w:val="24"/>
          <w:szCs w:val="24"/>
        </w:rPr>
        <mc:AlternateContent>
          <mc:Choice Requires="wpg">
            <w:drawing>
              <wp:inline distB="114300" distT="114300" distL="114300" distR="114300">
                <wp:extent cx="5943600" cy="4395470"/>
                <wp:effectExtent b="0" l="0" r="0" t="0"/>
                <wp:docPr id="1" name=""/>
                <a:graphic>
                  <a:graphicData uri="http://schemas.microsoft.com/office/word/2010/wordprocessingGroup">
                    <wpg:wgp>
                      <wpg:cNvGrpSpPr/>
                      <wpg:grpSpPr>
                        <a:xfrm>
                          <a:off x="2374200" y="1582250"/>
                          <a:ext cx="5943600" cy="4395470"/>
                          <a:chOff x="2374200" y="1582250"/>
                          <a:chExt cx="5943600" cy="4395500"/>
                        </a:xfrm>
                      </wpg:grpSpPr>
                      <wpg:grpSp>
                        <wpg:cNvGrpSpPr/>
                        <wpg:grpSpPr>
                          <a:xfrm>
                            <a:off x="2374200" y="1582265"/>
                            <a:ext cx="5943600" cy="4395470"/>
                            <a:chOff x="2374200" y="1582000"/>
                            <a:chExt cx="5943600" cy="4396000"/>
                          </a:xfrm>
                        </wpg:grpSpPr>
                        <wps:wsp>
                          <wps:cNvSpPr/>
                          <wps:cNvPr id="3" name="Shape 3"/>
                          <wps:spPr>
                            <a:xfrm>
                              <a:off x="2374200" y="1582000"/>
                              <a:ext cx="5943600" cy="439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1582008"/>
                              <a:ext cx="5943600" cy="4395985"/>
                              <a:chOff x="2374200" y="1582000"/>
                              <a:chExt cx="5943600" cy="4396000"/>
                            </a:xfrm>
                          </wpg:grpSpPr>
                          <wps:wsp>
                            <wps:cNvSpPr/>
                            <wps:cNvPr id="5" name="Shape 5"/>
                            <wps:spPr>
                              <a:xfrm>
                                <a:off x="2374200" y="1582000"/>
                                <a:ext cx="5943600" cy="439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1582008"/>
                                <a:ext cx="5943600" cy="4395985"/>
                                <a:chOff x="2374200" y="1582000"/>
                                <a:chExt cx="5943600" cy="4396000"/>
                              </a:xfrm>
                            </wpg:grpSpPr>
                            <wps:wsp>
                              <wps:cNvSpPr/>
                              <wps:cNvPr id="7" name="Shape 7"/>
                              <wps:spPr>
                                <a:xfrm>
                                  <a:off x="2374200" y="1582000"/>
                                  <a:ext cx="5943600" cy="439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1582008"/>
                                  <a:ext cx="5943600" cy="4395985"/>
                                  <a:chOff x="2374200" y="1582000"/>
                                  <a:chExt cx="5943600" cy="4400850"/>
                                </a:xfrm>
                              </wpg:grpSpPr>
                              <wps:wsp>
                                <wps:cNvSpPr/>
                                <wps:cNvPr id="9" name="Shape 9"/>
                                <wps:spPr>
                                  <a:xfrm>
                                    <a:off x="2374200" y="1582000"/>
                                    <a:ext cx="5943600" cy="4400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1582008"/>
                                    <a:ext cx="5943600" cy="4396060"/>
                                    <a:chOff x="772375" y="741700"/>
                                    <a:chExt cx="5954650" cy="4401875"/>
                                  </a:xfrm>
                                </wpg:grpSpPr>
                                <wps:wsp>
                                  <wps:cNvSpPr/>
                                  <wps:cNvPr id="11" name="Shape 11"/>
                                  <wps:spPr>
                                    <a:xfrm>
                                      <a:off x="772375" y="741700"/>
                                      <a:ext cx="5954650" cy="440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777150" y="746475"/>
                                      <a:ext cx="1830300" cy="439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Input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Borrower Information (Name, ID, contact number, etc.)</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-Equipment Inventory (Type, availability, status)</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-Borrowing Records (Date borrowed, due date, return status)</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-Institutional Borrowing Policies</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-SMS Gateway Service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91425" lIns="91425" spcFirstLastPara="1" rIns="91425" wrap="square" tIns="91425">
                                    <a:noAutofit/>
                                  </wps:bodyPr>
                                </wps:wsp>
                                <wps:wsp>
                                  <wps:cNvSpPr/>
                                  <wps:cNvPr id="13" name="Shape 13"/>
                                  <wps:spPr>
                                    <a:xfrm>
                                      <a:off x="2834550" y="746475"/>
                                      <a:ext cx="1830300" cy="439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Process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-System Design and Website Development (using HTML/CSS,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-Implementation of Logging and tracking features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-Pre-test and Post-test (on user performance, effectiveness, accuracy)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-Data Gathering (before &amp; after system 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-Data Analysis (Independent Sample T-test, Mean)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91425" lIns="91425" spcFirstLastPara="1" rIns="91425" wrap="square" tIns="91425">
                                    <a:noAutofit/>
                                  </wps:bodyPr>
                                </wps:wsp>
                                <wps:wsp>
                                  <wps:cNvSpPr/>
                                  <wps:cNvPr id="14" name="Shape 14"/>
                                  <wps:spPr>
                                    <a:xfrm>
                                      <a:off x="4891950" y="746475"/>
                                      <a:ext cx="1830300" cy="439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Output</w:t>
                                        </w:r>
                                      </w:p>
                                      <w:p w:rsidR="00000000" w:rsidDel="00000000" w:rsidP="00000000" w:rsidRDefault="00000000" w:rsidRPr="00000000">
                                        <w:pPr>
                                          <w:spacing w:after="0" w:before="240" w:line="275.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24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240" w:right="0" w:firstLine="26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Multimedia Equipment</w:t>
                                        </w:r>
                                      </w:p>
                                      <w:p w:rsidR="00000000" w:rsidDel="00000000" w:rsidP="00000000" w:rsidRDefault="00000000" w:rsidRPr="00000000">
                                        <w:pPr>
                                          <w:spacing w:after="0" w:before="0" w:line="240"/>
                                          <w:ind w:left="240" w:right="0" w:firstLine="26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Watcher Website</w:t>
                                        </w:r>
                                      </w:p>
                                      <w:p w:rsidR="00000000" w:rsidDel="00000000" w:rsidP="00000000" w:rsidRDefault="00000000" w:rsidRPr="00000000">
                                        <w:pPr>
                                          <w:spacing w:after="0" w:before="0" w:line="240"/>
                                          <w:ind w:left="240" w:right="0" w:firstLine="26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240" w:right="0" w:firstLine="26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Level of acceptability for participants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Level of effectiveness based on observers</w:t>
                                        </w:r>
                                      </w:p>
                                    </w:txbxContent>
                                  </wps:txbx>
                                  <wps:bodyPr anchorCtr="0" anchor="t" bIns="91425" lIns="91425" spcFirstLastPara="1" rIns="91425" wrap="square" tIns="91425">
                                    <a:noAutofit/>
                                  </wps:bodyPr>
                                </wps:wsp>
                                <wps:wsp>
                                  <wps:cNvSpPr/>
                                  <wps:cNvPr id="15" name="Shape 15"/>
                                  <wps:spPr>
                                    <a:xfrm>
                                      <a:off x="2506275" y="2989225"/>
                                      <a:ext cx="439800" cy="214800"/>
                                    </a:xfrm>
                                    <a:prstGeom prst="rightArrow">
                                      <a:avLst>
                                        <a:gd fmla="val 50000" name="adj1"/>
                                        <a:gd fmla="val 50000" name="adj2"/>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4563675" y="2989225"/>
                                      <a:ext cx="439800" cy="214800"/>
                                    </a:xfrm>
                                    <a:prstGeom prst="rightArrow">
                                      <a:avLst>
                                        <a:gd fmla="val 50000" name="adj1"/>
                                        <a:gd fmla="val 50000" name="adj2"/>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786675" y="1081775"/>
                                      <a:ext cx="1812600" cy="6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844075" y="1081775"/>
                                      <a:ext cx="1812600" cy="6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4901475" y="1081775"/>
                                      <a:ext cx="1812600" cy="6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114300" distT="114300" distL="114300" distR="114300">
                <wp:extent cx="5943600" cy="439547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43954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used the Input-Process-Output (IPO) model presented in Figure 1 as a conceptual framework for this study. In the input table are the tools and materials that the researchers used. In the process table are the processes or steps that the research undertakes. In the output table is the product of this study.</w:t>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Methodology</w:t>
        <w:br w:type="textWrapping"/>
        <w:tab/>
      </w:r>
      <w:r w:rsidDel="00000000" w:rsidR="00000000" w:rsidRPr="00000000">
        <w:rPr>
          <w:rFonts w:ascii="Times New Roman" w:cs="Times New Roman" w:eastAsia="Times New Roman" w:hAnsi="Times New Roman"/>
          <w:sz w:val="24"/>
          <w:szCs w:val="24"/>
          <w:rtl w:val="0"/>
        </w:rPr>
        <w:t xml:space="preserve">The researchers will use a Quasi-Experimental Design to evaluate the Multimedia Equipment Watcher, a web-based platform developed to monitor and manage borrowed instructional and technical equipment. This is supported by Muse and Baldwin (2021), who emphasized that quasi-experimental designs are practical and effective for evaluating programs and systems in real-world contexts. This design allows comparison between a control group that will continue using the manual method and an experimental group that will use the system, as a random selection of participants is not efficient. Data on borrowing records, return compliance, and user feedback will be collected both before and after the system is put together in order to identify any significant differences in effectiveness or efficiency.</w:t>
        <w:br w:type="textWrapping"/>
        <w:tab/>
      </w:r>
      <w:r w:rsidDel="00000000" w:rsidR="00000000" w:rsidRPr="00000000">
        <w:rPr>
          <w:rFonts w:ascii="Times New Roman" w:cs="Times New Roman" w:eastAsia="Times New Roman" w:hAnsi="Times New Roman"/>
          <w:sz w:val="24"/>
          <w:szCs w:val="24"/>
          <w:rtl w:val="0"/>
        </w:rPr>
        <w:t xml:space="preserve">In selecting respondents, the researchers will utilize the Purposive Sampling Technique as a way of choosing the participants. As stated by Martos et al. (2022), purposive sampling was used to select teachers who had experience borrowing school facilities and equipment. This method ensured the collection of relevant and accurate data from individuals directly involved in the process, thereby improving the depth and quality of the study. Similarly, the respondents in this study will include 50 teachers who have previously used multimedia equipment such as microphones, speakers, HDMI cables, and projectors. These individuals are selected because their firsthand experience with borrowing and managing multimedia resources makes them well-positioned to assess the usability, effectiveness, and responsiveness of the Multimedia Equipment Watcher system. The participants must meet the following criteria: (1) teachers must be employed in an educational or organizational setting, and (2) have experience borrowing or overseeing </w:t>
      </w:r>
      <w:r w:rsidDel="00000000" w:rsidR="00000000" w:rsidRPr="00000000">
        <w:rPr>
          <w:rFonts w:ascii="Times New Roman" w:cs="Times New Roman" w:eastAsia="Times New Roman" w:hAnsi="Times New Roman"/>
          <w:sz w:val="24"/>
          <w:szCs w:val="24"/>
          <w:rtl w:val="0"/>
        </w:rPr>
        <w:t xml:space="preserve">instructional and technical equipment.</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carefully follow each step to make sure the data collected is clear, accurate, and reliable. They will start by conducting a pilot test of the questionnaire with a small group of people who are not part of the actual participants. This will help them check if the questions are easy to understand and relevant to the study. </w:t>
      </w:r>
      <w:r w:rsidDel="00000000" w:rsidR="00000000" w:rsidRPr="00000000">
        <w:rPr>
          <w:rFonts w:ascii="Times New Roman" w:cs="Times New Roman" w:eastAsia="Times New Roman" w:hAnsi="Times New Roman"/>
          <w:sz w:val="24"/>
          <w:szCs w:val="24"/>
          <w:rtl w:val="0"/>
        </w:rPr>
        <w:t xml:space="preserve">After revisions and approval from the research adviser, </w:t>
      </w:r>
      <w:r w:rsidDel="00000000" w:rsidR="00000000" w:rsidRPr="00000000">
        <w:rPr>
          <w:rFonts w:ascii="Times New Roman" w:cs="Times New Roman" w:eastAsia="Times New Roman" w:hAnsi="Times New Roman"/>
          <w:sz w:val="24"/>
          <w:szCs w:val="24"/>
          <w:rtl w:val="0"/>
        </w:rPr>
        <w:t xml:space="preserve">the final version will be shared with the chosen participants who meet the study’s criteria. Lastly, the researchers will use Cronbach’s Alpha to check if the questionnaire gives consistent and dependable results, ensuring that it is ready for the actual data collection.</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collect comprehensive data, the researchers will use an adapted survey questionnaire and observation checklist as the primary research instrument. The questionnaire will be based on existing tools used in similar studies, such as those by Gallera (2023) and Somwanshi et al. (2024). It will include sections evaluating the system's usability, efficiency, convenience, and effectiveness in reducing delays and equipment loss.</w:t>
        <w:br w:type="textWrapping"/>
        <w:tab/>
        <w:t xml:space="preserve">The researchers will use statistical tools such as weighted mean and independent sample t-test to analyze the collected data. The Level of Acceptability-Mean will help determine how acceptable each item is based on the respondents’ answers. As explained by Nicholas et al. (2020), the weighted mean assigns different levels of importance to each data point, allowing more relevant items to have greater influence on the result; when all data points are equally weighted, it functions as the arithmetic mean. The researchers will also use the independent sample t-test to examine whether there is a statistically significant difference between the means of two independent groups. According to Philip et al. (2025), this test enables the comparison between the alternative hypothesis (H</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and the null hypothesis (H</w:t>
      </w:r>
      <w:r w:rsidDel="00000000" w:rsidR="00000000" w:rsidRPr="00000000">
        <w:rPr>
          <w:rFonts w:ascii="Times New Roman" w:cs="Times New Roman" w:eastAsia="Times New Roman" w:hAnsi="Times New Roman"/>
          <w:sz w:val="24"/>
          <w:szCs w:val="24"/>
          <w:vertAlign w:val="subscript"/>
          <w:rtl w:val="0"/>
        </w:rPr>
        <w:t xml:space="preserve">o</w:t>
      </w:r>
      <w:r w:rsidDel="00000000" w:rsidR="00000000" w:rsidRPr="00000000">
        <w:rPr>
          <w:rFonts w:ascii="Times New Roman" w:cs="Times New Roman" w:eastAsia="Times New Roman" w:hAnsi="Times New Roman"/>
          <w:sz w:val="24"/>
          <w:szCs w:val="24"/>
          <w:rtl w:val="0"/>
        </w:rPr>
        <w:t xml:space="preserve">), determining whether the differences observed are meaningful or simply due to random variation.</w:t>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br w:type="textWrapping"/>
      </w:r>
      <w:r w:rsidDel="00000000" w:rsidR="00000000" w:rsidRPr="00000000">
        <w:rPr>
          <w:rFonts w:ascii="Times New Roman" w:cs="Times New Roman" w:eastAsia="Times New Roman" w:hAnsi="Times New Roman"/>
          <w:i w:val="1"/>
          <w:iCs w:val="1"/>
          <w:sz w:val="24"/>
          <w:szCs w:val="24"/>
          <w:rtl w:val="0"/>
        </w:rPr>
        <w:t xml:space="preserve">Level of Acceptability of Multimedia Equipment Watcher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665" w:hRule="atLeast"/>
          <w:tblHeader w:val="1"/>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SCALE RANGES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QUALITATIVE 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3.26 – 4.00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Highly Acceptable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2.51 – 3.25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Acceptable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1.76 – 2.50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Slightly Acceptable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 1.75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Acceptable  </w:t>
            </w:r>
          </w:p>
        </w:tc>
      </w:tr>
    </w:tbl>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Level of Effectiveness of Multimedia Equipment Watcher</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665" w:hRule="atLeast"/>
          <w:tblHeader w:val="1"/>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SCALE RANGES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QUALITATIVE 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3.26 – 4.00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Highly Effective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2.51 – 3.25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Effective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1.76 – 2.50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Slightly Effective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 1.75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Effective </w:t>
            </w:r>
          </w:p>
        </w:tc>
      </w:tr>
    </w:tbl>
    <w:p w:rsidR="00000000" w:rsidDel="00000000" w:rsidP="00000000" w:rsidRDefault="00000000" w:rsidRPr="00000000" w14:paraId="0000006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System Workflow</w:t>
        <w:br w:type="textWrapping"/>
      </w:r>
    </w:p>
    <w:p w:rsidR="00000000" w:rsidDel="00000000" w:rsidP="00000000" w:rsidRDefault="00000000" w:rsidRPr="00000000" w14:paraId="0000006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References</w:t>
      </w:r>
    </w:p>
    <w:p w:rsidR="00000000" w:rsidDel="00000000" w:rsidP="00000000" w:rsidRDefault="00000000" w:rsidRPr="00000000" w14:paraId="0000006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F. D. (1980). </w:t>
      </w:r>
      <w:r w:rsidDel="00000000" w:rsidR="00000000" w:rsidRPr="00000000">
        <w:rPr>
          <w:rFonts w:ascii="Times New Roman" w:cs="Times New Roman" w:eastAsia="Times New Roman" w:hAnsi="Times New Roman"/>
          <w:i w:val="1"/>
          <w:iCs w:val="1"/>
          <w:sz w:val="24"/>
          <w:szCs w:val="24"/>
          <w:rtl w:val="0"/>
        </w:rPr>
        <w:t xml:space="preserve">User acceptance of information systems: The Technology Acceptance </w:t>
        <w:br w:type="textWrapping"/>
        <w:tab/>
        <w:t xml:space="preserve">Model(TAM</w:t>
      </w:r>
      <w:r w:rsidDel="00000000" w:rsidR="00000000" w:rsidRPr="00000000">
        <w:rPr>
          <w:rFonts w:ascii="Times New Roman" w:cs="Times New Roman" w:eastAsia="Times New Roman" w:hAnsi="Times New Roman"/>
          <w:sz w:val="24"/>
          <w:szCs w:val="24"/>
          <w:rtl w:val="0"/>
        </w:rPr>
        <w:t xml:space="preserve">).</w:t>
        <w:br w:type="textWrapping"/>
        <w:t xml:space="preserve"> </w:t>
        <w:tab/>
      </w:r>
      <w:hyperlink r:id="rId7">
        <w:r w:rsidDel="00000000" w:rsidR="00000000" w:rsidRPr="00000000">
          <w:rPr>
            <w:rFonts w:ascii="Times New Roman" w:cs="Times New Roman" w:eastAsia="Times New Roman" w:hAnsi="Times New Roman"/>
            <w:sz w:val="24"/>
            <w:szCs w:val="24"/>
            <w:rtl w:val="0"/>
          </w:rPr>
          <w:t xml:space="preserve">https://quod.lib.umich.edu/b/busadwp/images/b/1/4/b1409190.0001.001.pdf</w:t>
        </w:r>
      </w:hyperlink>
      <w:r w:rsidDel="00000000" w:rsidR="00000000" w:rsidRPr="00000000">
        <w:rPr>
          <w:rtl w:val="0"/>
        </w:rPr>
      </w:r>
    </w:p>
    <w:p w:rsidR="00000000" w:rsidDel="00000000" w:rsidP="00000000" w:rsidRDefault="00000000" w:rsidRPr="00000000" w14:paraId="0000006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Gallera, R. S. (2020).</w:t>
      </w:r>
      <w:r w:rsidDel="00000000" w:rsidR="00000000" w:rsidRPr="00000000">
        <w:rPr>
          <w:rFonts w:ascii="Times New Roman" w:cs="Times New Roman" w:eastAsia="Times New Roman" w:hAnsi="Times New Roman"/>
          <w:i w:val="1"/>
          <w:iCs w:val="1"/>
          <w:sz w:val="24"/>
          <w:szCs w:val="24"/>
          <w:rtl w:val="0"/>
        </w:rPr>
        <w:t xml:space="preserve"> Development of crime and incident reporting mobile application with SMS </w:t>
        <w:br w:type="textWrapping"/>
        <w:tab/>
        <w:t xml:space="preserve">notification. </w:t>
      </w:r>
      <w:r w:rsidDel="00000000" w:rsidR="00000000" w:rsidRPr="00000000">
        <w:rPr>
          <w:rFonts w:ascii="Times New Roman" w:cs="Times New Roman" w:eastAsia="Times New Roman" w:hAnsi="Times New Roman"/>
          <w:sz w:val="24"/>
          <w:szCs w:val="24"/>
          <w:rtl w:val="0"/>
        </w:rPr>
        <w:t xml:space="preserve">International Research Journal of Advanced Engineering and Science.</w:t>
      </w:r>
      <w:hyperlink r:id="rId8">
        <w:r w:rsidDel="00000000" w:rsidR="00000000" w:rsidRPr="00000000">
          <w:rPr>
            <w:rFonts w:ascii="Times New Roman" w:cs="Times New Roman" w:eastAsia="Times New Roman" w:hAnsi="Times New Roman"/>
            <w:sz w:val="24"/>
            <w:szCs w:val="24"/>
            <w:rtl w:val="0"/>
          </w:rPr>
          <w:t xml:space="preserve"> </w:t>
          <w:br w:type="textWrapping"/>
          <w:tab/>
        </w:r>
      </w:hyperlink>
      <w:hyperlink r:id="rId9">
        <w:r w:rsidDel="00000000" w:rsidR="00000000" w:rsidRPr="00000000">
          <w:rPr>
            <w:rFonts w:ascii="Times New Roman" w:cs="Times New Roman" w:eastAsia="Times New Roman" w:hAnsi="Times New Roman"/>
            <w:sz w:val="24"/>
            <w:szCs w:val="24"/>
            <w:rtl w:val="0"/>
          </w:rPr>
          <w:t xml:space="preserve">https://irjaes.com/wp-content/uploads/2023/04/IRJAES-V8N2P125Y23.pdf</w:t>
        </w:r>
      </w:hyperlink>
      <w:r w:rsidDel="00000000" w:rsidR="00000000" w:rsidRPr="00000000">
        <w:rPr>
          <w:rtl w:val="0"/>
        </w:rPr>
      </w:r>
    </w:p>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Y., Wang, X., &amp; Liu, Z. (2020).</w:t>
      </w:r>
      <w:r w:rsidDel="00000000" w:rsidR="00000000" w:rsidRPr="00000000">
        <w:rPr>
          <w:rFonts w:ascii="Times New Roman" w:cs="Times New Roman" w:eastAsia="Times New Roman" w:hAnsi="Times New Roman"/>
          <w:i w:val="1"/>
          <w:iCs w:val="1"/>
          <w:sz w:val="24"/>
          <w:szCs w:val="24"/>
          <w:rtl w:val="0"/>
        </w:rPr>
        <w:t xml:space="preserve"> Research on equipment management system based on robot </w:t>
        <w:br w:type="textWrapping"/>
        <w:tab/>
        <w:t xml:space="preserve">laboratory.</w:t>
      </w:r>
      <w:r w:rsidDel="00000000" w:rsidR="00000000" w:rsidRPr="00000000">
        <w:rPr>
          <w:rFonts w:ascii="Times New Roman" w:cs="Times New Roman" w:eastAsia="Times New Roman" w:hAnsi="Times New Roman"/>
          <w:sz w:val="24"/>
          <w:szCs w:val="24"/>
          <w:rtl w:val="0"/>
        </w:rPr>
        <w:t xml:space="preserve"> Journal of Computer and Communications, 8(7), 47–55.</w:t>
      </w:r>
      <w:hyperlink r:id="rId10">
        <w:r w:rsidDel="00000000" w:rsidR="00000000" w:rsidRPr="00000000">
          <w:rPr>
            <w:rFonts w:ascii="Times New Roman" w:cs="Times New Roman" w:eastAsia="Times New Roman" w:hAnsi="Times New Roman"/>
            <w:sz w:val="24"/>
            <w:szCs w:val="24"/>
            <w:rtl w:val="0"/>
          </w:rPr>
          <w:t xml:space="preserve"> </w:t>
          <w:br w:type="textWrapping"/>
          <w:tab/>
        </w:r>
      </w:hyperlink>
      <w:hyperlink r:id="rId11">
        <w:r w:rsidDel="00000000" w:rsidR="00000000" w:rsidRPr="00000000">
          <w:rPr>
            <w:rFonts w:ascii="Times New Roman" w:cs="Times New Roman" w:eastAsia="Times New Roman" w:hAnsi="Times New Roman"/>
            <w:sz w:val="24"/>
            <w:szCs w:val="24"/>
            <w:rtl w:val="0"/>
          </w:rPr>
          <w:t xml:space="preserve">https://doi.org/10.4236/jcc.2020.87003</w:t>
        </w:r>
      </w:hyperlink>
      <w:r w:rsidDel="00000000" w:rsidR="00000000" w:rsidRPr="00000000">
        <w:rPr>
          <w:rtl w:val="0"/>
        </w:rPr>
      </w:r>
    </w:p>
    <w:p w:rsidR="00000000" w:rsidDel="00000000" w:rsidP="00000000" w:rsidRDefault="00000000" w:rsidRPr="00000000" w14:paraId="0000006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Martos, J. L. F., Sabater, R. G., Ramento, A. R., &amp; Nepomuceno, M. (2022). </w:t>
      </w:r>
      <w:r w:rsidDel="00000000" w:rsidR="00000000" w:rsidRPr="00000000">
        <w:rPr>
          <w:rFonts w:ascii="Times New Roman" w:cs="Times New Roman" w:eastAsia="Times New Roman" w:hAnsi="Times New Roman"/>
          <w:i w:val="1"/>
          <w:iCs w:val="1"/>
          <w:sz w:val="24"/>
          <w:szCs w:val="24"/>
          <w:rtl w:val="0"/>
        </w:rPr>
        <w:t xml:space="preserve">Development and </w:t>
        <w:br w:type="textWrapping"/>
        <w:tab/>
        <w:t xml:space="preserve">evaluation of online facilities and equipment inventory and borrowing system</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br w:type="textWrapping"/>
          <w:tab/>
        </w:r>
      </w:hyperlink>
      <w:hyperlink r:id="rId13">
        <w:r w:rsidDel="00000000" w:rsidR="00000000" w:rsidRPr="00000000">
          <w:rPr>
            <w:rFonts w:ascii="Times New Roman" w:cs="Times New Roman" w:eastAsia="Times New Roman" w:hAnsi="Times New Roman"/>
            <w:sz w:val="24"/>
            <w:szCs w:val="24"/>
            <w:rtl w:val="0"/>
          </w:rPr>
          <w:t xml:space="preserve">https://www.researchgate.net/publication/379436414</w:t>
        </w:r>
      </w:hyperlink>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 A., &amp; Baldwin, J. M. (2021). </w:t>
      </w:r>
      <w:r w:rsidDel="00000000" w:rsidR="00000000" w:rsidRPr="00000000">
        <w:rPr>
          <w:rFonts w:ascii="Times New Roman" w:cs="Times New Roman" w:eastAsia="Times New Roman" w:hAnsi="Times New Roman"/>
          <w:i w:val="1"/>
          <w:iCs w:val="1"/>
          <w:sz w:val="24"/>
          <w:szCs w:val="24"/>
          <w:rtl w:val="0"/>
        </w:rPr>
        <w:t xml:space="preserve">Quasi-experimental research design</w:t>
      </w:r>
      <w:r w:rsidDel="00000000" w:rsidR="00000000" w:rsidRPr="00000000">
        <w:rPr>
          <w:rFonts w:ascii="Times New Roman" w:cs="Times New Roman" w:eastAsia="Times New Roman" w:hAnsi="Times New Roman"/>
          <w:sz w:val="24"/>
          <w:szCs w:val="24"/>
          <w:rtl w:val="0"/>
        </w:rPr>
        <w:t xml:space="preserve">. In J. C. Barnes &amp; D. R. </w:t>
        <w:br w:type="textWrapping"/>
        <w:tab/>
        <w:t xml:space="preserve">Forde (Eds.), The encyclopedia of research methods in criminology and criminal justice. </w:t>
        <w:br w:type="textWrapping"/>
        <w:tab/>
        <w:t xml:space="preserve">Wiley.</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sz w:val="24"/>
            <w:szCs w:val="24"/>
            <w:rtl w:val="0"/>
          </w:rPr>
          <w:t xml:space="preserve">https://doi.org/10.1002/9781119111931.ch61</w:t>
        </w:r>
      </w:hyperlink>
      <w:r w:rsidDel="00000000" w:rsidR="00000000" w:rsidRPr="00000000">
        <w:rPr>
          <w:rtl w:val="0"/>
        </w:rPr>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J., Bishop, J., &amp; Lawton, A. (2020)</w:t>
      </w:r>
      <w:r w:rsidDel="00000000" w:rsidR="00000000" w:rsidRPr="00000000">
        <w:rPr>
          <w:rFonts w:ascii="Times New Roman" w:cs="Times New Roman" w:eastAsia="Times New Roman" w:hAnsi="Times New Roman"/>
          <w:i w:val="1"/>
          <w:iCs w:val="1"/>
          <w:sz w:val="24"/>
          <w:szCs w:val="24"/>
          <w:rtl w:val="0"/>
        </w:rPr>
        <w:t xml:space="preserve">. Including all individuals is not enough: Lessons </w:t>
        <w:br w:type="textWrapping"/>
        <w:tab/>
        <w:t xml:space="preserve">for intention-to-treat analysis.</w:t>
      </w:r>
      <w:r w:rsidDel="00000000" w:rsidR="00000000" w:rsidRPr="00000000">
        <w:rPr>
          <w:rFonts w:ascii="Times New Roman" w:cs="Times New Roman" w:eastAsia="Times New Roman" w:hAnsi="Times New Roman"/>
          <w:sz w:val="24"/>
          <w:szCs w:val="24"/>
          <w:rtl w:val="0"/>
        </w:rPr>
        <w:t xml:space="preserve"> Trials, 13, Article 232.</w:t>
      </w:r>
      <w:hyperlink r:id="rId16">
        <w:r w:rsidDel="00000000" w:rsidR="00000000" w:rsidRPr="00000000">
          <w:rPr>
            <w:rFonts w:ascii="Times New Roman" w:cs="Times New Roman" w:eastAsia="Times New Roman" w:hAnsi="Times New Roman"/>
            <w:sz w:val="24"/>
            <w:szCs w:val="24"/>
            <w:rtl w:val="0"/>
          </w:rPr>
          <w:t xml:space="preserve"> </w:t>
          <w:br w:type="textWrapping"/>
          <w:tab/>
        </w:r>
      </w:hyperlink>
      <w:hyperlink r:id="rId17">
        <w:r w:rsidDel="00000000" w:rsidR="00000000" w:rsidRPr="00000000">
          <w:rPr>
            <w:rFonts w:ascii="Times New Roman" w:cs="Times New Roman" w:eastAsia="Times New Roman" w:hAnsi="Times New Roman"/>
            <w:sz w:val="24"/>
            <w:szCs w:val="24"/>
            <w:rtl w:val="0"/>
          </w:rPr>
          <w:t xml:space="preserve">https://doi.org/10.1177/1740774512450098</w:t>
        </w:r>
      </w:hyperlink>
      <w:r w:rsidDel="00000000" w:rsidR="00000000" w:rsidRPr="00000000">
        <w:rPr>
          <w:rtl w:val="0"/>
        </w:rPr>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 J. C., Yao, Y., Zeng, A., &amp; Roth, D. (2025). </w:t>
      </w:r>
      <w:r w:rsidDel="00000000" w:rsidR="00000000" w:rsidRPr="00000000">
        <w:rPr>
          <w:rFonts w:ascii="Times New Roman" w:cs="Times New Roman" w:eastAsia="Times New Roman" w:hAnsi="Times New Roman"/>
          <w:i w:val="1"/>
          <w:iCs w:val="1"/>
          <w:sz w:val="24"/>
          <w:szCs w:val="24"/>
          <w:rtl w:val="0"/>
        </w:rPr>
        <w:t xml:space="preserve">A statistical hypothesis testing framework for </w:t>
        <w:br w:type="textWrapping"/>
        <w:tab/>
        <w:t xml:space="preserve">data misappropriation detection in large language models.</w:t>
      </w:r>
      <w:r w:rsidDel="00000000" w:rsidR="00000000" w:rsidRPr="00000000">
        <w:rPr>
          <w:rFonts w:ascii="Times New Roman" w:cs="Times New Roman" w:eastAsia="Times New Roman" w:hAnsi="Times New Roman"/>
          <w:sz w:val="24"/>
          <w:szCs w:val="24"/>
          <w:rtl w:val="0"/>
        </w:rPr>
        <w:t xml:space="preserve"> arXiv.</w:t>
      </w:r>
      <w:hyperlink r:id="rId18">
        <w:r w:rsidDel="00000000" w:rsidR="00000000" w:rsidRPr="00000000">
          <w:rPr>
            <w:rFonts w:ascii="Times New Roman" w:cs="Times New Roman" w:eastAsia="Times New Roman" w:hAnsi="Times New Roman"/>
            <w:sz w:val="24"/>
            <w:szCs w:val="24"/>
            <w:rtl w:val="0"/>
          </w:rPr>
          <w:t xml:space="preserve"> </w:t>
          <w:br w:type="textWrapping"/>
          <w:tab/>
        </w:r>
      </w:hyperlink>
      <w:hyperlink r:id="rId19">
        <w:r w:rsidDel="00000000" w:rsidR="00000000" w:rsidRPr="00000000">
          <w:rPr>
            <w:rFonts w:ascii="Times New Roman" w:cs="Times New Roman" w:eastAsia="Times New Roman" w:hAnsi="Times New Roman"/>
            <w:sz w:val="24"/>
            <w:szCs w:val="24"/>
            <w:rtl w:val="0"/>
          </w:rPr>
          <w:t xml:space="preserve">https://arxiv.org/abs/2501.02441</w:t>
        </w:r>
      </w:hyperlink>
      <w:r w:rsidDel="00000000" w:rsidR="00000000" w:rsidRPr="00000000">
        <w:rPr>
          <w:rtl w:val="0"/>
        </w:rPr>
      </w:r>
    </w:p>
    <w:p w:rsidR="00000000" w:rsidDel="00000000" w:rsidP="00000000" w:rsidRDefault="00000000" w:rsidRPr="00000000" w14:paraId="0000007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Somwanshi, S., Pawar, A., Sharma, R., &amp; Kadam, S. (2024).</w:t>
      </w:r>
      <w:r w:rsidDel="00000000" w:rsidR="00000000" w:rsidRPr="00000000">
        <w:rPr>
          <w:rFonts w:ascii="Times New Roman" w:cs="Times New Roman" w:eastAsia="Times New Roman" w:hAnsi="Times New Roman"/>
          <w:i w:val="1"/>
          <w:iCs w:val="1"/>
          <w:sz w:val="24"/>
          <w:szCs w:val="24"/>
          <w:rtl w:val="0"/>
        </w:rPr>
        <w:t xml:space="preserve"> The overdue reminder: Smart </w:t>
        <w:br w:type="textWrapping"/>
        <w:tab/>
        <w:t xml:space="preserve">library notification. International Journal of Scientific Research in Engineering and </w:t>
        <w:br w:type="textWrapping"/>
        <w:tab/>
        <w:t xml:space="preserve">Management</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sz w:val="24"/>
            <w:szCs w:val="24"/>
            <w:rtl w:val="0"/>
          </w:rPr>
          <w:t xml:space="preserve">https://www.researchgate.net/publication/386148442</w:t>
        </w:r>
      </w:hyperlink>
      <w:r w:rsidDel="00000000" w:rsidR="00000000" w:rsidRPr="00000000">
        <w:rPr>
          <w:rtl w:val="0"/>
        </w:rPr>
      </w:r>
    </w:p>
    <w:p w:rsidR="00000000" w:rsidDel="00000000" w:rsidP="00000000" w:rsidRDefault="00000000" w:rsidRPr="00000000" w14:paraId="0000007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sectPr>
      <w:headerReference r:id="rId22" w:type="default"/>
      <w:headerReference r:id="rId2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spacing w:before="240" w:line="273"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-556259</wp:posOffset>
          </wp:positionH>
          <wp:positionV relativeFrom="paragraph">
            <wp:posOffset>-455929</wp:posOffset>
          </wp:positionV>
          <wp:extent cx="7058025" cy="1271588"/>
          <wp:effectExtent b="0" l="0" r="0" t="0"/>
          <wp:wrapTopAndBottom distB="0" dist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058025" cy="12715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ind w:left="2160" w:firstLine="0"/>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-410844</wp:posOffset>
          </wp:positionH>
          <wp:positionV relativeFrom="paragraph">
            <wp:posOffset>-258444</wp:posOffset>
          </wp:positionV>
          <wp:extent cx="7058025" cy="1271588"/>
          <wp:effectExtent b="0" l="0" r="0" t="0"/>
          <wp:wrapTopAndBottom distB="0" distT="0"/>
          <wp:docPr descr="A green and black text&#10;&#10;AI-generated content may be incorrect." id="2" name="image1.jpg"/>
          <a:graphic>
            <a:graphicData uri="http://schemas.openxmlformats.org/drawingml/2006/picture">
              <pic:pic>
                <pic:nvPicPr>
                  <pic:cNvPr descr="A green and black text&#10;&#10;AI-generated content may be incorrect." id="0" name="image1.jpg"/>
                  <pic:cNvPicPr preferRelativeResize="0"/>
                </pic:nvPicPr>
                <pic:blipFill>
                  <a:blip r:embed="rId1"/>
                  <a:srcRect b="0" l="0" r="0" t="0"/>
                  <a:stretch>
                    <a:fillRect/>
                  </a:stretch>
                </pic:blipFill>
                <pic:spPr>
                  <a:xfrm>
                    <a:off x="0" y="0"/>
                    <a:ext cx="7058025" cy="1271588"/>
                  </a:xfrm>
                  <a:prstGeom prst="rect"/>
                  <a:ln/>
                </pic:spPr>
              </pic:pic>
            </a:graphicData>
          </a:graphic>
        </wp:anchor>
      </w:drawing>
    </w:r>
  </w:p>
  <w:p w:rsidR="00000000" w:rsidDel="00000000" w:rsidP="00000000" w:rsidRDefault="00000000" w:rsidRPr="00000000" w14:paraId="00000080">
    <w:pPr>
      <w:tabs>
        <w:tab w:val="center" w:leader="none" w:pos="4680"/>
        <w:tab w:val="right" w:leader="none" w:pos="936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86148442" TargetMode="External"/><Relationship Id="rId11" Type="http://schemas.openxmlformats.org/officeDocument/2006/relationships/hyperlink" Target="https://l.messenger.com/l.php?u=https%3A%2F%2Fdoi.org%2F10.4236%2Fjcc.2020.87003&amp;h=AT0KQ7-UnJtYtXotoK4OhO42m7eVWUXborN4wVrkcMO3bGC0UA0XJ_s8xU28dTyiWxR8sVqlKDLs26RL2v-hfbWfNIDUMHQ5zw-pjT1RPz6F8VTHbo5yY5NrgTCrw0sFGUrRLQ" TargetMode="External"/><Relationship Id="rId22" Type="http://schemas.openxmlformats.org/officeDocument/2006/relationships/header" Target="header2.xml"/><Relationship Id="rId10" Type="http://schemas.openxmlformats.org/officeDocument/2006/relationships/hyperlink" Target="https://l.messenger.com/l.php?u=https%3A%2F%2Fdoi.org%2F10.4236%2Fjcc.2020.87003&amp;h=AT0KQ7-UnJtYtXotoK4OhO42m7eVWUXborN4wVrkcMO3bGC0UA0XJ_s8xU28dTyiWxR8sVqlKDLs26RL2v-hfbWfNIDUMHQ5zw-pjT1RPz6F8VTHbo5yY5NrgTCrw0sFGUrRLQ" TargetMode="External"/><Relationship Id="rId21" Type="http://schemas.openxmlformats.org/officeDocument/2006/relationships/hyperlink" Target="https://www.researchgate.net/publication/386148442" TargetMode="External"/><Relationship Id="rId13" Type="http://schemas.openxmlformats.org/officeDocument/2006/relationships/hyperlink" Target="https://l.messenger.com/l.php?u=https%3A%2F%2Fwww.researchgate.net%2Fpublication%2F379436414&amp;h=AT0KQ7-UnJtYtXotoK4OhO42m7eVWUXborN4wVrkcMO3bGC0UA0XJ_s8xU28dTyiWxR8sVqlKDLs26RL2v-hfbWfNIDUMHQ5zw-pjT1RPz6F8VTHbo5yY5NrgTCrw0sFGUrRLQ" TargetMode="External"/><Relationship Id="rId12" Type="http://schemas.openxmlformats.org/officeDocument/2006/relationships/hyperlink" Target="https://l.messenger.com/l.php?u=https%3A%2F%2Fwww.researchgate.net%2Fpublication%2F379436414&amp;h=AT0KQ7-UnJtYtXotoK4OhO42m7eVWUXborN4wVrkcMO3bGC0UA0XJ_s8xU28dTyiWxR8sVqlKDLs26RL2v-hfbWfNIDUMHQ5zw-pjT1RPz6F8VTHbo5yY5NrgTCrw0sFGUrRLQ"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rjaes.com/wp-content/uploads/2023/04/IRJAES-V8N2P125Y23.pdf" TargetMode="External"/><Relationship Id="rId15" Type="http://schemas.openxmlformats.org/officeDocument/2006/relationships/hyperlink" Target="https://l.messenger.com/l.php?u=https%3A%2F%2Fdoi.org%2F10.1002%2F9781119111931.ch61&amp;h=AT0KQ7-UnJtYtXotoK4OhO42m7eVWUXborN4wVrkcMO3bGC0UA0XJ_s8xU28dTyiWxR8sVqlKDLs26RL2v-hfbWfNIDUMHQ5zw-pjT1RPz6F8VTHbo5yY5NrgTCrw0sFGUrRLQ" TargetMode="External"/><Relationship Id="rId14" Type="http://schemas.openxmlformats.org/officeDocument/2006/relationships/hyperlink" Target="https://l.messenger.com/l.php?u=https%3A%2F%2Fdoi.org%2F10.1002%2F9781119111931.ch61&amp;h=AT0KQ7-UnJtYtXotoK4OhO42m7eVWUXborN4wVrkcMO3bGC0UA0XJ_s8xU28dTyiWxR8sVqlKDLs26RL2v-hfbWfNIDUMHQ5zw-pjT1RPz6F8VTHbo5yY5NrgTCrw0sFGUrRLQ" TargetMode="External"/><Relationship Id="rId17" Type="http://schemas.openxmlformats.org/officeDocument/2006/relationships/hyperlink" Target="https://l.messenger.com/l.php?u=https%3A%2F%2Fdoi.org%2F10.1177%2F1740774512450098&amp;h=AT0KQ7-UnJtYtXotoK4OhO42m7eVWUXborN4wVrkcMO3bGC0UA0XJ_s8xU28dTyiWxR8sVqlKDLs26RL2v-hfbWfNIDUMHQ5zw-pjT1RPz6F8VTHbo5yY5NrgTCrw0sFGUrRLQ" TargetMode="External"/><Relationship Id="rId16" Type="http://schemas.openxmlformats.org/officeDocument/2006/relationships/hyperlink" Target="https://l.messenger.com/l.php?u=https%3A%2F%2Fdoi.org%2F10.1177%2F1740774512450098&amp;h=AT0KQ7-UnJtYtXotoK4OhO42m7eVWUXborN4wVrkcMO3bGC0UA0XJ_s8xU28dTyiWxR8sVqlKDLs26RL2v-hfbWfNIDUMHQ5zw-pjT1RPz6F8VTHbo5yY5NrgTCrw0sFGUrRLQ" TargetMode="External"/><Relationship Id="rId5" Type="http://schemas.openxmlformats.org/officeDocument/2006/relationships/styles" Target="styles.xml"/><Relationship Id="rId19" Type="http://schemas.openxmlformats.org/officeDocument/2006/relationships/hyperlink" Target="https://arxiv.org/abs/2501.02441" TargetMode="External"/><Relationship Id="rId6" Type="http://schemas.openxmlformats.org/officeDocument/2006/relationships/image" Target="media/image2.png"/><Relationship Id="rId18" Type="http://schemas.openxmlformats.org/officeDocument/2006/relationships/hyperlink" Target="https://arxiv.org/abs/2501.02441" TargetMode="External"/><Relationship Id="rId7" Type="http://schemas.openxmlformats.org/officeDocument/2006/relationships/hyperlink" Target="https://quod.lib.umich.edu/b/busadwp/images/b/1/4/b1409190.0001.001.pdf" TargetMode="External"/><Relationship Id="rId8" Type="http://schemas.openxmlformats.org/officeDocument/2006/relationships/hyperlink" Target="https://irjaes.com/wp-content/uploads/2023/04/IRJAES-V8N2P125Y2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A9C6E4E6FD0F4B61A27B350F23D4198D_13</vt:lpwstr>
  </property>
</Properties>
</file>