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ICT Department Behaviour Management Policy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outlines the strategies and procedures followed by the ICT department when managing student behaviour. It supports consistent, fair, and effective responses that prioritise learning, reflection, and accountability.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6mue5b5qbch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Core Principles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Behaviour is addressed calmly, consistently and professionally.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warnings are delivered privately and outside the classroom.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consequences are administered on the same day to ensure maximum impact.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Students are always given an opportunity to reflect and re-engage in learning.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lvitmbvdevt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Step-by-Step Behaviour Response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Behaviour incident occurs during an ICT lesson.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ICT teacher delivers a private verbal warning outside the classroom.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The student is issued a ‘strike’.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Strike 1: Warning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Strike 2: Final warning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Strike 3: The student is timed out from the activity.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Upon time-out: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The student completes an unplugged activity (e.g., Bebras computational thinking problem).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If needed, the student may be relocated to a neighbouring classroom to reflect.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The ICT teacher may hold the student back after the lesson to complete missed learning.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All incidents are communicated via email to the class teacher, including: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What happened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What consequence was administered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Any requested follow-up action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If appropriate, the incident should be logged on iSAMS or CPOMs.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If in doubt about the appropriate course of action, guidance must be sought from the Head of Department.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In cases of persistent poor behaviour, a parent meeting should be arranged, and relevant staff informed.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ys7xilkr0hh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Additional Notes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behaviour incidents and outcomes should be documented clearly for a reliable paper trail.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Timely intervention and follow-up actions are critical to maintaining expectations and supporting progress.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This policy should be reviewed regularly to reflect school-wide behaviour updates.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