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had the privilege to teach AI &amp; Ethics curriculum to high school students at CU Boulder this summer and intend to teach at other schools in the Denver metro area.  The reviews of students and staff who attended the CU course were incredibly positive.  After this experience we began to realize something.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Rolling out curriculum on Artificial Intelligence to K-12 schools goes much deeper than just teaching kids about AI, how to use its tools, and what the ethical implications are.  This opportunity will require a transformation of the education system itself.  Our focus is on the need to rethink education from the ground up in order to continue to converge with 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Currently, there are three key challenges to adapting education for the structural changes of AI.  These challenges are outdated testing techniques, moral teachings at our religious schools differing from the moral teachings at our public schools, and the continued justification for low income schooling based on the premise that those schools generate necessary low income workers to fill the workforce.  It's time for a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converge with AI we should consider changing the testing format to focus on the Three Pillars of Competitive Teachings (Creativity, Engagement, Excitement).  These Three Pillars can encourage students to teach themselves and their class.  We can also forge a new spiritual moral code that is uniquely human by starting with a clean slate in Kindergarten.  What would diverse humans believe is right and wrong?  What would diverse humans free of past religious/cultural/national indoctrination believe is right and wrong?   What they come up with could influence the ethical code of our future AI systems.  Finally, all low income schools should be supported to generate members of society that have the same opportunities as our high income schools.  This can be accomplished through more universal school funding, private/charter school partnerships whereby higher income schools actively collaborate with lower income schools, and the dismantling of the testing format.  Promoting Vocational/Trade schooling can further strengthen this initiative.  All of humanity must unite and work as a team if it wishes to merge successfully with AI instead of falling into a competition with it.  Our passion is to lead and be involved in this future systemic change that starts with our most precious asset, our children.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