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Students are introduced to the primary foundation of AI Ethics: AI engineers need proper ethics training in order to safely pioneer AI code.  After students are shown the connection between AI and ethics they will generate their own ethical codes.  AI functions based on data sets.  Students will collect the “data” of the average of their ethical stances.  Students will summarize by writing a conclusion on how an AI would make decisions based on the classrooms data set.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Engineering Connection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Fourth Industrial Revolution will be led primarily by innovators in the field of Artificial Intelligence.  Due to the reflective nature of AI’s code it is imperative that these innovators have an ethical code that is well thought out.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Learning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this lesson, students should be able to: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Explain what ethics is, what artificial intelligence is in layman's terms.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Collect and analyze classroom ethical stance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Draw conclusions on the importance of studying ethics in relation to AI.</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Educational Standards - Not Applicable?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AI4K12 - Dave Touresky Effort Standards</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Worksheets and Attachments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Ethical Code - WS (docx)</w:t>
      </w:r>
    </w:p>
    <w:p w:rsidR="00000000" w:rsidDel="00000000" w:rsidP="00000000" w:rsidRDefault="00000000" w:rsidRPr="00000000" w14:paraId="00000017">
      <w:pPr>
        <w:rPr/>
      </w:pPr>
      <w:r w:rsidDel="00000000" w:rsidR="00000000" w:rsidRPr="00000000">
        <w:rPr>
          <w:rtl w:val="0"/>
        </w:rPr>
        <w:t xml:space="preserve">Your Ethical Code - WS (pdf)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More Curriculum Like This - Link to Other Ethics Activities/Lessons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Pre-Req Knowledge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Introduction/Motivation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Lesson Background and Concepts for Teachers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Procedure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Vocabulary/Definitions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Assessment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Investigating Questions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Activity Extensions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Activity Scaling</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