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b/>
          <w:color w:val="1F3A5F"/>
          <w:sz w:val="40"/>
        </w:rPr>
        <w:t>Missing Children and Young Adults in the United States</w:t>
      </w:r>
    </w:p>
    <w:p>
      <w:pPr>
        <w:spacing w:before="0" w:after="160" w:line="264" w:lineRule="auto"/>
      </w:pPr>
      <w:r>
        <w:rPr>
          <w:rFonts w:ascii="Arial" w:hAnsi="Arial"/>
          <w:color w:val="5A6472"/>
          <w:sz w:val="26"/>
        </w:rPr>
        <w:t>What public case records say about how they went missing, where they were, and what they were doing</w:t>
      </w:r>
    </w:p>
    <w:p>
      <w:pPr>
        <w:pBdr>
          <w:bottom w:val="single" w:sz="8" w:space="6" w:color="1F3A5F"/>
        </w:pBdr>
        <w:spacing w:before="0" w:after="280" w:line="288" w:lineRule="auto"/>
      </w:pPr>
      <w:r>
        <w:rPr>
          <w:rFonts w:ascii="Arial" w:hAnsi="Arial"/>
          <w:color w:val="5A6472"/>
          <w:sz w:val="20"/>
        </w:rPr>
        <w:t>Based on 12,353 open cases from NamUs and NCMEC, collected October 21, 2026</w:t>
      </w:r>
    </w:p>
    <w:p>
      <w:pPr>
        <w:pStyle w:val="Heading1"/>
      </w:pPr>
      <w:r>
        <w:t>Key findings</w:t>
      </w:r>
    </w:p>
    <w:p>
      <w:pPr>
        <w:pStyle w:val="ListBullet"/>
        <w:spacing w:before="0" w:after="80" w:line="276" w:lineRule="auto"/>
      </w:pPr>
      <w:r>
        <w:rPr>
          <w:rFonts w:ascii="Arial" w:hAnsi="Arial"/>
          <w:b/>
          <w:sz w:val="22"/>
        </w:rPr>
        <w:t xml:space="preserve">Kidnapping by a stranger or other non-family member is rare. </w:t>
      </w:r>
      <w:r>
        <w:rPr>
          <w:rFonts w:ascii="Arial" w:hAnsi="Arial"/>
          <w:sz w:val="22"/>
        </w:rPr>
        <w:t>It appears in 89 of 12,353 open cases (1%). National figures agree: NCMEC reports that non-family abductions make up about 1% of its cases, and FBI records coded “abducted by stranger” were 0.1% in 2023.</w:t>
      </w:r>
      <w:r>
        <w:rPr>
          <w:rFonts w:ascii="Arial" w:hAnsi="Arial"/>
          <w:color w:val="5A6472"/>
          <w:sz w:val="18"/>
        </w:rPr>
        <w:t xml:space="preserve"> [7], [6], [3]</w:t>
      </w:r>
    </w:p>
    <w:p>
      <w:pPr>
        <w:pStyle w:val="ListBullet"/>
        <w:spacing w:before="0" w:after="80" w:line="276" w:lineRule="auto"/>
      </w:pPr>
      <w:r>
        <w:rPr>
          <w:rFonts w:ascii="Arial" w:hAnsi="Arial"/>
          <w:b/>
          <w:sz w:val="22"/>
        </w:rPr>
        <w:t xml:space="preserve">Most missing teenagers left on their own. </w:t>
      </w:r>
      <w:r>
        <w:rPr>
          <w:rFonts w:ascii="Arial" w:hAnsi="Arial"/>
          <w:sz w:val="22"/>
        </w:rPr>
        <w:t>Over 90% of children reported to NCMEC in 2024 were endangered runaways, and 95.2% of 2023 FBI entries that recorded a reason were coded as runaways. Most come home quickly, so they are under-represented in the long-term open cases studied here.</w:t>
      </w:r>
      <w:r>
        <w:rPr>
          <w:rFonts w:ascii="Arial" w:hAnsi="Arial"/>
          <w:color w:val="5A6472"/>
          <w:sz w:val="18"/>
        </w:rPr>
        <w:t xml:space="preserve"> [5], [3]</w:t>
      </w:r>
    </w:p>
    <w:p>
      <w:pPr>
        <w:pStyle w:val="ListBullet"/>
        <w:spacing w:before="0" w:after="80" w:line="276" w:lineRule="auto"/>
      </w:pPr>
      <w:r>
        <w:rPr>
          <w:rFonts w:ascii="Arial" w:hAnsi="Arial"/>
          <w:b/>
          <w:sz w:val="22"/>
        </w:rPr>
        <w:t xml:space="preserve">When the record says how a young child went missing, it is usually a parent who took them. </w:t>
      </w:r>
      <w:r>
        <w:rPr>
          <w:rFonts w:ascii="Arial" w:hAnsi="Arial"/>
          <w:sz w:val="22"/>
        </w:rPr>
        <w:t>Among children 11 and under, 28% of cases describe a parent or relative taking the child, usually in a custody dispute and often with the child believed to be abroad.</w:t>
      </w:r>
      <w:r>
        <w:rPr>
          <w:rFonts w:ascii="Arial" w:hAnsi="Arial"/>
          <w:color w:val="5A6472"/>
          <w:sz w:val="18"/>
        </w:rPr>
        <w:t xml:space="preserve"> [7]</w:t>
      </w:r>
    </w:p>
    <w:p>
      <w:pPr>
        <w:pStyle w:val="ListBullet"/>
        <w:spacing w:before="0" w:after="80" w:line="276" w:lineRule="auto"/>
      </w:pPr>
      <w:r>
        <w:rPr>
          <w:rFonts w:ascii="Arial" w:hAnsi="Arial"/>
          <w:b/>
          <w:sz w:val="22"/>
        </w:rPr>
        <w:t xml:space="preserve">Home is the most common last known place at every age. </w:t>
      </w:r>
      <w:r>
        <w:rPr>
          <w:rFonts w:ascii="Arial" w:hAnsi="Arial"/>
          <w:sz w:val="22"/>
        </w:rPr>
        <w:t>After home come parks, water and streets for young children; streets, walking and school for teens; and cars, roads, outdoor or water settings, workplaces and nights out for adults aged 18 to 25.</w:t>
      </w:r>
      <w:r>
        <w:rPr>
          <w:rFonts w:ascii="Arial" w:hAnsi="Arial"/>
          <w:color w:val="5A6472"/>
          <w:sz w:val="18"/>
        </w:rPr>
        <w:t xml:space="preserve"> [7]</w:t>
      </w:r>
    </w:p>
    <w:p>
      <w:pPr>
        <w:pStyle w:val="ListBullet"/>
        <w:spacing w:before="0" w:after="80" w:line="276" w:lineRule="auto"/>
      </w:pPr>
      <w:r>
        <w:rPr>
          <w:rFonts w:ascii="Arial" w:hAnsi="Arial"/>
          <w:b/>
          <w:sz w:val="22"/>
        </w:rPr>
        <w:t xml:space="preserve">Most records say very little. </w:t>
      </w:r>
      <w:r>
        <w:rPr>
          <w:rFonts w:ascii="Arial" w:hAnsi="Arial"/>
          <w:sz w:val="22"/>
        </w:rPr>
        <w:t>81% of cases don’t state how the person went missing, and only 5,494 (44%) mention any place or activity before they disappeared.</w:t>
      </w:r>
      <w:r>
        <w:rPr>
          <w:rFonts w:ascii="Arial" w:hAnsi="Arial"/>
          <w:color w:val="5A6472"/>
          <w:sz w:val="18"/>
        </w:rPr>
        <w:t xml:space="preserve"> [7]</w:t>
      </w:r>
    </w:p>
    <w:p>
      <w:pPr>
        <w:pStyle w:val="ListBullet"/>
        <w:spacing w:before="0" w:after="80" w:line="276" w:lineRule="auto"/>
      </w:pPr>
      <w:r>
        <w:rPr>
          <w:rFonts w:ascii="Arial" w:hAnsi="Arial"/>
          <w:b/>
          <w:sz w:val="22"/>
        </w:rPr>
        <w:t xml:space="preserve">Black, Hispanic and Native American young people are over-represented. </w:t>
      </w:r>
      <w:r>
        <w:rPr>
          <w:rFonts w:ascii="Arial" w:hAnsi="Arial"/>
          <w:sz w:val="22"/>
        </w:rPr>
        <w:t>Compared with their share of Americans aged 0 to 25, they appear in open cases since 2016 at 2.2, 1.5 and 2.6 times their population share.</w:t>
      </w:r>
      <w:r>
        <w:rPr>
          <w:rFonts w:ascii="Arial" w:hAnsi="Arial"/>
          <w:color w:val="5A6472"/>
          <w:sz w:val="18"/>
        </w:rPr>
        <w:t xml:space="preserve"> [7], [8]</w:t>
      </w:r>
    </w:p>
    <w:p>
      <w:pPr>
        <w:pStyle w:val="ListBullet"/>
        <w:spacing w:before="0" w:after="80" w:line="276" w:lineRule="auto"/>
      </w:pPr>
      <w:r>
        <w:rPr>
          <w:rFonts w:ascii="Arial" w:hAnsi="Arial"/>
          <w:b/>
          <w:sz w:val="22"/>
        </w:rPr>
        <w:t xml:space="preserve">The cases that stay open are the serious ones. </w:t>
      </w:r>
      <w:r>
        <w:rPr>
          <w:rFonts w:ascii="Arial" w:hAnsi="Arial"/>
          <w:sz w:val="22"/>
        </w:rPr>
        <w:t>Open runaway cases are typically 3 years old, while open non-family abductions and suspected homicides are typically 34 and 39 years old.</w:t>
      </w:r>
      <w:r>
        <w:rPr>
          <w:rFonts w:ascii="Arial" w:hAnsi="Arial"/>
          <w:color w:val="5A6472"/>
          <w:sz w:val="18"/>
        </w:rPr>
        <w:t xml:space="preserve"> [7]</w:t>
      </w:r>
    </w:p>
    <w:p>
      <w:pPr>
        <w:pStyle w:val="Heading1"/>
      </w:pPr>
      <w:r>
        <w:t>Where the data comes from</w:t>
      </w:r>
    </w:p>
    <w:p>
      <w:pPr>
        <w:spacing w:before="0" w:after="140" w:line="288" w:lineRule="auto"/>
      </w:pPr>
      <w:r>
        <w:rPr>
          <w:rFonts w:ascii="Arial" w:hAnsi="Arial"/>
          <w:sz w:val="22"/>
        </w:rPr>
        <w:t>Every case comes from one of two official public databases. All open cases were downloaded on October 21, 2026. A case is included if the person was 25 or younger when they went missing.</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23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Source</w:t>
            </w:r>
          </w:p>
        </w:tc>
        <w:tc>
          <w:tcPr>
            <w:tcW w:type="dxa" w:w="39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it covers</w:t>
            </w:r>
          </w:p>
        </w:tc>
        <w:tc>
          <w:tcPr>
            <w:tcW w:type="dxa" w:w="13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 used</w:t>
            </w:r>
          </w:p>
        </w:tc>
        <w:tc>
          <w:tcPr>
            <w:tcW w:type="dxa" w:w="18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Link</w:t>
            </w:r>
          </w:p>
        </w:tc>
      </w:tr>
      <w:tr>
        <w:trPr>
          <w:cantSplit/>
        </w:trPr>
        <w:tc>
          <w:tcPr>
            <w:tcW w:type="dxa" w:w="2300"/>
            <w:tcBorders>
              <w:top w:val="single" w:sz="4" w:color="B8C4D2"/>
              <w:left w:val="single" w:sz="4" w:color="B8C4D2"/>
              <w:bottom w:val="single" w:sz="4" w:color="B8C4D2"/>
              <w:right w:val="single" w:sz="4" w:color="B8C4D2"/>
            </w:tcBorders>
          </w:tcPr>
          <w:p>
            <w:r>
              <w:rPr>
                <w:rFonts w:ascii="Arial" w:hAnsi="Arial"/>
                <w:sz w:val="19"/>
              </w:rPr>
              <w:t>NamUs (U.S. Dept. of Justice)</w:t>
            </w:r>
          </w:p>
        </w:tc>
        <w:tc>
          <w:tcPr>
            <w:tcW w:type="dxa" w:w="3960"/>
            <w:tcBorders>
              <w:top w:val="single" w:sz="4" w:color="B8C4D2"/>
              <w:left w:val="single" w:sz="4" w:color="B8C4D2"/>
              <w:bottom w:val="single" w:sz="4" w:color="B8C4D2"/>
              <w:right w:val="single" w:sz="4" w:color="B8C4D2"/>
            </w:tcBorders>
          </w:tcPr>
          <w:p>
            <w:r>
              <w:rPr>
                <w:rFonts w:ascii="Arial" w:hAnsi="Arial"/>
                <w:sz w:val="19"/>
              </w:rPr>
              <w:t>Missing people of all ages; filtered to age 25 or under at disappearance</w:t>
            </w:r>
          </w:p>
        </w:tc>
        <w:tc>
          <w:tcPr>
            <w:tcW w:type="dxa" w:w="1300"/>
            <w:tcBorders>
              <w:top w:val="single" w:sz="4" w:color="B8C4D2"/>
              <w:left w:val="single" w:sz="4" w:color="B8C4D2"/>
              <w:bottom w:val="single" w:sz="4" w:color="B8C4D2"/>
              <w:right w:val="single" w:sz="4" w:color="B8C4D2"/>
            </w:tcBorders>
          </w:tcPr>
          <w:p>
            <w:pPr>
              <w:jc w:val="right"/>
            </w:pPr>
            <w:r>
              <w:rPr>
                <w:rFonts w:ascii="Arial" w:hAnsi="Arial"/>
                <w:sz w:val="19"/>
              </w:rPr>
              <w:t>9,046</w:t>
            </w:r>
          </w:p>
        </w:tc>
        <w:tc>
          <w:tcPr>
            <w:tcW w:type="dxa" w:w="1800"/>
            <w:tcBorders>
              <w:top w:val="single" w:sz="4" w:color="B8C4D2"/>
              <w:left w:val="single" w:sz="4" w:color="B8C4D2"/>
              <w:bottom w:val="single" w:sz="4" w:color="B8C4D2"/>
              <w:right w:val="single" w:sz="4" w:color="B8C4D2"/>
            </w:tcBorders>
          </w:tcPr>
          <w:p>
            <w:hyperlink r:id="rId10">
              <w:r>
                <w:rPr>
                  <w:rFonts w:ascii="Arial" w:hAnsi="Arial" w:cs="Arial"/>
                  <w:color w:val="1F5FA8"/>
                  <w:sz w:val="19.0"/>
                  <w:u w:val="single"/>
                </w:rPr>
                <w:t xml:space="preserve">namus.gov</w:t>
              </w:r>
            </w:hyperlink>
          </w:p>
        </w:tc>
      </w:tr>
      <w:tr>
        <w:trPr>
          <w:cantSplit/>
        </w:trPr>
        <w:tc>
          <w:tcPr>
            <w:tcW w:type="dxa" w:w="2300"/>
            <w:tcBorders>
              <w:top w:val="single" w:sz="4" w:color="B8C4D2"/>
              <w:left w:val="single" w:sz="4" w:color="B8C4D2"/>
              <w:bottom w:val="single" w:sz="4" w:color="B8C4D2"/>
              <w:right w:val="single" w:sz="4" w:color="B8C4D2"/>
            </w:tcBorders>
            <w:shd w:val="clear" w:color="auto" w:fill="E8EEF5"/>
          </w:tcPr>
          <w:p>
            <w:r>
              <w:rPr>
                <w:rFonts w:ascii="Arial" w:hAnsi="Arial"/>
                <w:sz w:val="19"/>
              </w:rPr>
              <w:t>NCMEC (missingkids.org)</w:t>
            </w:r>
          </w:p>
        </w:tc>
        <w:tc>
          <w:tcPr>
            <w:tcW w:type="dxa" w:w="3960"/>
            <w:tcBorders>
              <w:top w:val="single" w:sz="4" w:color="B8C4D2"/>
              <w:left w:val="single" w:sz="4" w:color="B8C4D2"/>
              <w:bottom w:val="single" w:sz="4" w:color="B8C4D2"/>
              <w:right w:val="single" w:sz="4" w:color="B8C4D2"/>
            </w:tcBorders>
            <w:shd w:val="clear" w:color="auto" w:fill="E8EEF5"/>
          </w:tcPr>
          <w:p>
            <w:r>
              <w:rPr>
                <w:rFonts w:ascii="Arial" w:hAnsi="Arial"/>
                <w:sz w:val="19"/>
              </w:rPr>
              <w:t>Missing children, mostly under 18</w:t>
            </w:r>
          </w:p>
        </w:tc>
        <w:tc>
          <w:tcPr>
            <w:tcW w:type="dxa" w:w="13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3,343</w:t>
            </w:r>
          </w:p>
        </w:tc>
        <w:tc>
          <w:tcPr>
            <w:tcW w:type="dxa" w:w="1800"/>
            <w:tcBorders>
              <w:top w:val="single" w:sz="4" w:color="B8C4D2"/>
              <w:left w:val="single" w:sz="4" w:color="B8C4D2"/>
              <w:bottom w:val="single" w:sz="4" w:color="B8C4D2"/>
              <w:right w:val="single" w:sz="4" w:color="B8C4D2"/>
            </w:tcBorders>
            <w:shd w:val="clear" w:color="auto" w:fill="E8EEF5"/>
          </w:tcPr>
          <w:p>
            <w:hyperlink r:id="rId11">
              <w:r>
                <w:rPr>
                  <w:rFonts w:ascii="Arial" w:hAnsi="Arial" w:cs="Arial"/>
                  <w:color w:val="1F5FA8"/>
                  <w:sz w:val="19.0"/>
                  <w:u w:val="single"/>
                </w:rPr>
                <w:t xml:space="preserve">missingkids.org</w:t>
              </w:r>
            </w:hyperlink>
          </w:p>
        </w:tc>
      </w:tr>
      <w:tr>
        <w:trPr>
          <w:cantSplit/>
        </w:trPr>
        <w:tc>
          <w:tcPr>
            <w:tcW w:type="dxa" w:w="2300"/>
            <w:tcBorders>
              <w:top w:val="single" w:sz="4" w:color="B8C4D2"/>
              <w:left w:val="single" w:sz="4" w:color="B8C4D2"/>
              <w:bottom w:val="single" w:sz="4" w:color="B8C4D2"/>
              <w:right w:val="single" w:sz="4" w:color="B8C4D2"/>
            </w:tcBorders>
          </w:tcPr>
          <w:p>
            <w:r>
              <w:rPr>
                <w:rFonts w:ascii="Arial" w:hAnsi="Arial"/>
                <w:sz w:val="19"/>
              </w:rPr>
              <w:t>Combined</w:t>
            </w:r>
          </w:p>
        </w:tc>
        <w:tc>
          <w:tcPr>
            <w:tcW w:type="dxa" w:w="3960"/>
            <w:tcBorders>
              <w:top w:val="single" w:sz="4" w:color="B8C4D2"/>
              <w:left w:val="single" w:sz="4" w:color="B8C4D2"/>
              <w:bottom w:val="single" w:sz="4" w:color="B8C4D2"/>
              <w:right w:val="single" w:sz="4" w:color="B8C4D2"/>
            </w:tcBorders>
          </w:tcPr>
          <w:p>
            <w:r>
              <w:rPr>
                <w:rFonts w:ascii="Arial" w:hAnsi="Arial"/>
                <w:sz w:val="19"/>
              </w:rPr>
              <w:t>36 children listed in both were merged</w:t>
            </w:r>
          </w:p>
        </w:tc>
        <w:tc>
          <w:tcPr>
            <w:tcW w:type="dxa" w:w="1300"/>
            <w:tcBorders>
              <w:top w:val="single" w:sz="4" w:color="B8C4D2"/>
              <w:left w:val="single" w:sz="4" w:color="B8C4D2"/>
              <w:bottom w:val="single" w:sz="4" w:color="B8C4D2"/>
              <w:right w:val="single" w:sz="4" w:color="B8C4D2"/>
            </w:tcBorders>
          </w:tcPr>
          <w:p>
            <w:pPr>
              <w:jc w:val="right"/>
            </w:pPr>
            <w:r>
              <w:rPr>
                <w:rFonts w:ascii="Arial" w:hAnsi="Arial"/>
                <w:sz w:val="19"/>
              </w:rPr>
              <w:t>12,353</w:t>
            </w:r>
          </w:p>
        </w:tc>
        <w:tc>
          <w:tcPr>
            <w:tcW w:type="dxa" w:w="1800"/>
            <w:tcBorders>
              <w:top w:val="single" w:sz="4" w:color="B8C4D2"/>
              <w:left w:val="single" w:sz="4" w:color="B8C4D2"/>
              <w:bottom w:val="single" w:sz="4" w:color="B8C4D2"/>
              <w:right w:val="single" w:sz="4" w:color="B8C4D2"/>
            </w:tcBorders>
          </w:tcPr>
          <w:p>
            <w:r>
              <w:rPr>
                <w:rFonts w:ascii="Arial" w:hAnsi="Arial"/>
                <w:sz w:val="19"/>
              </w:rPr>
            </w:r>
          </w:p>
        </w:tc>
      </w:tr>
    </w:tbl>
    <w:p>
      <w:pPr>
        <w:spacing w:before="60" w:after="220" w:line="288" w:lineRule="auto"/>
      </w:pPr>
      <w:r>
        <w:rPr>
          <w:rFonts w:ascii="Arial" w:hAnsi="Arial"/>
          <w:i/>
          <w:color w:val="5A6472"/>
          <w:sz w:val="18"/>
        </w:rPr>
        <w:t>NCMEC’s search also returned 310 posters for unidentified deceased children. They were excluded because they are not missing-person cases.</w:t>
      </w:r>
      <w:r>
        <w:rPr>
          <w:rFonts w:ascii="Arial" w:hAnsi="Arial"/>
          <w:color w:val="5A6472"/>
          <w:sz w:val="18"/>
        </w:rPr>
        <w:t xml:space="preserve"> [2],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468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Year last seen</w:t>
            </w:r>
          </w:p>
        </w:tc>
        <w:tc>
          <w:tcPr>
            <w:tcW w:type="dxa" w:w="234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34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4680"/>
            <w:tcBorders>
              <w:top w:val="single" w:sz="4" w:color="B8C4D2"/>
              <w:left w:val="single" w:sz="4" w:color="B8C4D2"/>
              <w:bottom w:val="single" w:sz="4" w:color="B8C4D2"/>
              <w:right w:val="single" w:sz="4" w:color="B8C4D2"/>
            </w:tcBorders>
          </w:tcPr>
          <w:p>
            <w:r>
              <w:rPr>
                <w:rFonts w:ascii="Arial" w:hAnsi="Arial"/>
                <w:sz w:val="19"/>
              </w:rPr>
              <w:t>Before 1990</w:t>
            </w:r>
          </w:p>
        </w:tc>
        <w:tc>
          <w:tcPr>
            <w:tcW w:type="dxa" w:w="2340"/>
            <w:tcBorders>
              <w:top w:val="single" w:sz="4" w:color="B8C4D2"/>
              <w:left w:val="single" w:sz="4" w:color="B8C4D2"/>
              <w:bottom w:val="single" w:sz="4" w:color="B8C4D2"/>
              <w:right w:val="single" w:sz="4" w:color="B8C4D2"/>
            </w:tcBorders>
          </w:tcPr>
          <w:p>
            <w:pPr>
              <w:jc w:val="right"/>
            </w:pPr>
            <w:r>
              <w:rPr>
                <w:rFonts w:ascii="Arial" w:hAnsi="Arial"/>
                <w:sz w:val="19"/>
              </w:rPr>
              <w:t>2,770</w:t>
            </w:r>
          </w:p>
        </w:tc>
        <w:tc>
          <w:tcPr>
            <w:tcW w:type="dxa" w:w="234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4680"/>
            <w:tcBorders>
              <w:top w:val="single" w:sz="4" w:color="B8C4D2"/>
              <w:left w:val="single" w:sz="4" w:color="B8C4D2"/>
              <w:bottom w:val="single" w:sz="4" w:color="B8C4D2"/>
              <w:right w:val="single" w:sz="4" w:color="B8C4D2"/>
            </w:tcBorders>
            <w:shd w:val="clear" w:color="auto" w:fill="E8EEF5"/>
          </w:tcPr>
          <w:p>
            <w:r>
              <w:rPr>
                <w:rFonts w:ascii="Arial" w:hAnsi="Arial"/>
                <w:sz w:val="19"/>
              </w:rPr>
              <w:t>1990-2009</w:t>
            </w:r>
          </w:p>
        </w:tc>
        <w:tc>
          <w:tcPr>
            <w:tcW w:type="dxa" w:w="234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3,019</w:t>
            </w:r>
          </w:p>
        </w:tc>
        <w:tc>
          <w:tcPr>
            <w:tcW w:type="dxa" w:w="234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24%</w:t>
            </w:r>
          </w:p>
        </w:tc>
      </w:tr>
      <w:tr>
        <w:trPr>
          <w:cantSplit/>
        </w:trPr>
        <w:tc>
          <w:tcPr>
            <w:tcW w:type="dxa" w:w="4680"/>
            <w:tcBorders>
              <w:top w:val="single" w:sz="4" w:color="B8C4D2"/>
              <w:left w:val="single" w:sz="4" w:color="B8C4D2"/>
              <w:bottom w:val="single" w:sz="4" w:color="B8C4D2"/>
              <w:right w:val="single" w:sz="4" w:color="B8C4D2"/>
            </w:tcBorders>
          </w:tcPr>
          <w:p>
            <w:r>
              <w:rPr>
                <w:rFonts w:ascii="Arial" w:hAnsi="Arial"/>
                <w:sz w:val="19"/>
              </w:rPr>
              <w:t>2010-2019</w:t>
            </w:r>
          </w:p>
        </w:tc>
        <w:tc>
          <w:tcPr>
            <w:tcW w:type="dxa" w:w="2340"/>
            <w:tcBorders>
              <w:top w:val="single" w:sz="4" w:color="B8C4D2"/>
              <w:left w:val="single" w:sz="4" w:color="B8C4D2"/>
              <w:bottom w:val="single" w:sz="4" w:color="B8C4D2"/>
              <w:right w:val="single" w:sz="4" w:color="B8C4D2"/>
            </w:tcBorders>
          </w:tcPr>
          <w:p>
            <w:pPr>
              <w:jc w:val="right"/>
            </w:pPr>
            <w:r>
              <w:rPr>
                <w:rFonts w:ascii="Arial" w:hAnsi="Arial"/>
                <w:sz w:val="19"/>
              </w:rPr>
              <w:t>2,002</w:t>
            </w:r>
          </w:p>
        </w:tc>
        <w:tc>
          <w:tcPr>
            <w:tcW w:type="dxa" w:w="2340"/>
            <w:tcBorders>
              <w:top w:val="single" w:sz="4" w:color="B8C4D2"/>
              <w:left w:val="single" w:sz="4" w:color="B8C4D2"/>
              <w:bottom w:val="single" w:sz="4" w:color="B8C4D2"/>
              <w:right w:val="single" w:sz="4" w:color="B8C4D2"/>
            </w:tcBorders>
          </w:tcPr>
          <w:p>
            <w:pPr>
              <w:jc w:val="right"/>
            </w:pPr>
            <w:r>
              <w:rPr>
                <w:rFonts w:ascii="Arial" w:hAnsi="Arial"/>
                <w:sz w:val="19"/>
              </w:rPr>
              <w:t>16%</w:t>
            </w:r>
          </w:p>
        </w:tc>
      </w:tr>
      <w:tr>
        <w:trPr>
          <w:cantSplit/>
        </w:trPr>
        <w:tc>
          <w:tcPr>
            <w:tcW w:type="dxa" w:w="4680"/>
            <w:tcBorders>
              <w:top w:val="single" w:sz="4" w:color="B8C4D2"/>
              <w:left w:val="single" w:sz="4" w:color="B8C4D2"/>
              <w:bottom w:val="single" w:sz="4" w:color="B8C4D2"/>
              <w:right w:val="single" w:sz="4" w:color="B8C4D2"/>
            </w:tcBorders>
            <w:shd w:val="clear" w:color="auto" w:fill="E8EEF5"/>
          </w:tcPr>
          <w:p>
            <w:r>
              <w:rPr>
                <w:rFonts w:ascii="Arial" w:hAnsi="Arial"/>
                <w:sz w:val="19"/>
              </w:rPr>
              <w:t>2020-2026</w:t>
            </w:r>
          </w:p>
        </w:tc>
        <w:tc>
          <w:tcPr>
            <w:tcW w:type="dxa" w:w="234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4,557</w:t>
            </w:r>
          </w:p>
        </w:tc>
        <w:tc>
          <w:tcPr>
            <w:tcW w:type="dxa" w:w="234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37%</w:t>
            </w:r>
          </w:p>
        </w:tc>
      </w:tr>
    </w:tbl>
    <w:p>
      <w:pPr>
        <w:spacing w:before="60" w:after="220" w:line="288" w:lineRule="auto"/>
      </w:pPr>
      <w:r>
        <w:rPr>
          <w:rFonts w:ascii="Arial" w:hAnsi="Arial"/>
          <w:i/>
          <w:color w:val="5A6472"/>
          <w:sz w:val="18"/>
        </w:rPr>
        <w:t>These are open cases still listed in the databases. Cases that end quickly are removed, so older and harder cases make up a larger share here than in all reports.</w:t>
      </w:r>
      <w:r>
        <w:rPr>
          <w:rFonts w:ascii="Arial" w:hAnsi="Arial"/>
          <w:color w:val="5A6472"/>
          <w:sz w:val="18"/>
        </w:rPr>
        <w:t xml:space="preserve"> [7]</w:t>
      </w:r>
    </w:p>
    <w:p>
      <w:pPr>
        <w:pStyle w:val="Heading1"/>
      </w:pPr>
      <w:r>
        <w:t>How these young people went missing</w:t>
      </w:r>
    </w:p>
    <w:p>
      <w:pPr>
        <w:spacing w:before="0" w:after="140" w:line="288" w:lineRule="auto"/>
      </w:pPr>
      <w:r>
        <w:rPr>
          <w:rFonts w:ascii="Arial" w:hAnsi="Arial"/>
          <w:sz w:val="22"/>
        </w:rPr>
        <w:t>Each case’s written account was checked for words and phrases that point to how the person went missing, such as “ran away”, “abducted by her father” or “drowned”. Where NCMEC had assigned an official case type, that label was used instead.</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 of all cases</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10,032</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688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625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525</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394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60" w:after="220" w:line="288" w:lineRule="auto"/>
      </w:pPr>
      <w:r>
        <w:rPr>
          <w:rFonts w:ascii="Arial" w:hAnsi="Arial"/>
          <w:i/>
          <w:color w:val="5A6472"/>
          <w:sz w:val="18"/>
        </w:rPr>
        <w:t>Share is out of all 12,353 open cases.</w:t>
      </w:r>
      <w:r>
        <w:rPr>
          <w:rFonts w:ascii="Arial" w:hAnsi="Arial"/>
          <w:color w:val="5A6472"/>
          <w:sz w:val="18"/>
        </w:rPr>
        <w:t xml:space="preserve"> [7]</w:t>
      </w:r>
    </w:p>
    <w:p>
      <w:pPr>
        <w:pStyle w:val="Heading2"/>
      </w:pPr>
      <w:r>
        <w:t>NCMEC’s own case labels</w:t>
      </w:r>
    </w:p>
    <w:p>
      <w:pPr>
        <w:spacing w:before="0" w:after="140" w:line="288" w:lineRule="auto"/>
      </w:pPr>
      <w:r>
        <w:rPr>
          <w:rFonts w:ascii="Arial" w:hAnsi="Arial"/>
          <w:sz w:val="22"/>
        </w:rPr>
        <w:t>NCMEC gives some of its posters an official case type. The labeled cases show the same pattern:</w:t>
      </w:r>
      <w:r>
        <w:rPr>
          <w:rFonts w:ascii="Arial" w:hAnsi="Arial"/>
          <w:color w:val="5A6472"/>
          <w:sz w:val="18"/>
        </w:rPr>
        <w:t xml:space="preserve"> [2]</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trPr>
        <w:tc>
          <w:tcPr>
            <w:tcW w:type="dxa" w:w="63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NCMEC case type</w:t>
            </w:r>
          </w:p>
        </w:tc>
        <w:tc>
          <w:tcPr>
            <w:tcW w:type="dxa" w:w="3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Endangered runaway</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381</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Missing</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118</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Endangered missing</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42</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Family abduction</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Lost, injured or otherwise missing</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15</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Non-family abduction</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Unknown</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2</w:t>
            </w:r>
          </w:p>
        </w:tc>
      </w:tr>
    </w:tbl>
    <w:p>
      <w:pPr>
        <w:spacing w:before="0" w:after="80" w:line="288" w:lineRule="auto"/>
      </w:pPr>
    </w:p>
    <w:tbl>
      <w:tblPr>
        <w:tblW w:type="dxa" w:w="9360"/>
        <w:tblLayout w:type="fixed"/>
        <w:tblCellMar>
          <w:top w:w="140" w:type="dxa"/>
          <w:left w:w="220" w:type="dxa"/>
          <w:bottom w:w="100" w:type="dxa"/>
          <w:right w:w="220" w:type="dxa"/>
        </w:tblCellMar>
        <w:tblLook w:firstColumn="1" w:firstRow="1" w:lastColumn="0" w:lastRow="0" w:noHBand="0" w:noVBand="1" w:val="04A0"/>
      </w:tblPr>
      <w:tblGrid>
        <w:gridCol w:w="9360"/>
      </w:tblGrid>
      <w:tr>
        <w:tc>
          <w:tcPr>
            <w:tcW w:type="dxa" w:w="9360"/>
            <w:tcBorders>
              <w:top w:val="single" w:sz="4" w:color="B8C4D2"/>
              <w:left w:val="single" w:sz="24" w:color="1F3A5F"/>
              <w:bottom w:val="single" w:sz="4" w:color="B8C4D2"/>
              <w:right w:val="single" w:sz="4" w:color="B8C4D2"/>
            </w:tcBorders>
            <w:shd w:val="clear" w:color="auto" w:fill="E8EEF5"/>
          </w:tcPr>
          <w:p>
            <w:pPr>
              <w:spacing w:before="0" w:after="100" w:line="288" w:lineRule="auto"/>
            </w:pPr>
            <w:r>
              <w:rPr>
                <w:rFonts w:ascii="Arial" w:hAnsi="Arial"/>
                <w:b/>
                <w:color w:val="1F3A5F"/>
                <w:sz w:val="22"/>
              </w:rPr>
              <w:t>National context: all reports, not just open cases</w:t>
            </w:r>
          </w:p>
          <w:p>
            <w:pPr>
              <w:spacing w:before="0" w:after="120" w:line="288" w:lineRule="auto"/>
            </w:pPr>
            <w:r>
              <w:rPr>
                <w:rFonts w:ascii="Arial" w:hAnsi="Arial"/>
                <w:b/>
                <w:sz w:val="22"/>
              </w:rPr>
              <w:t xml:space="preserve">FBI, 2023: </w:t>
            </w:r>
            <w:r>
              <w:rPr>
                <w:rFonts w:ascii="Arial" w:hAnsi="Arial"/>
                <w:sz w:val="22"/>
              </w:rPr>
              <w:t>563,389 missing-person records were entered into the national NCIC system, and 563,644 were removed, mostly because the person was located or came home. Where a reason was recorded, 95.2% were runaways, 0.9% abduction by a non-custodial parent and 0.1% abduction by a stranger. At the end of 2023, 38,276 active records (39%) were people under 21.</w:t>
            </w:r>
            <w:r>
              <w:rPr>
                <w:rFonts w:ascii="Arial" w:hAnsi="Arial"/>
                <w:color w:val="5A6472"/>
                <w:sz w:val="18"/>
              </w:rPr>
              <w:t xml:space="preserve"> [3]</w:t>
            </w:r>
          </w:p>
          <w:p>
            <w:pPr>
              <w:spacing w:before="0" w:after="120" w:line="288" w:lineRule="auto"/>
            </w:pPr>
            <w:r>
              <w:rPr>
                <w:rFonts w:ascii="Arial" w:hAnsi="Arial"/>
                <w:b/>
                <w:sz w:val="22"/>
              </w:rPr>
              <w:t xml:space="preserve">NCMEC, 2024: </w:t>
            </w:r>
            <w:r>
              <w:rPr>
                <w:rFonts w:ascii="Arial" w:hAnsi="Arial"/>
                <w:sz w:val="22"/>
              </w:rPr>
              <w:t>NCMEC assisted with 29,568 missing-child cases and helped bring 91% of the children home. More than 27,000 of these cases were endangered runaways.</w:t>
            </w:r>
            <w:r>
              <w:rPr>
                <w:rFonts w:ascii="Arial" w:hAnsi="Arial"/>
                <w:color w:val="5A6472"/>
                <w:sz w:val="18"/>
              </w:rPr>
              <w:t xml:space="preserve"> [4], [5]</w:t>
            </w:r>
          </w:p>
        </w:tc>
      </w:tr>
    </w:tbl>
    <w:p>
      <w:pPr>
        <w:spacing w:before="0" w:after="80" w:line="288" w:lineRule="auto"/>
      </w:pPr>
    </w:p>
    <w:p>
      <w:pPr>
        <w:pStyle w:val="Heading1"/>
      </w:pPr>
      <w:r>
        <w:t>Where they were and what they were doing, by age</w:t>
      </w:r>
    </w:p>
    <w:p>
      <w:pPr>
        <w:spacing w:before="0" w:after="140" w:line="288" w:lineRule="auto"/>
      </w:pPr>
      <w:r>
        <w:rPr>
          <w:rFonts w:ascii="Arial" w:hAnsi="Arial"/>
          <w:sz w:val="22"/>
        </w:rPr>
        <w:t>The tables below count how often each kind of place or activity is mentioned in the written account of the disappearance. A case can mention several, or none. Percentages are out of all cases in that age group, including the many that give no details.</w:t>
      </w:r>
      <w:r>
        <w:rPr>
          <w:rFonts w:ascii="Arial" w:hAnsi="Arial"/>
          <w:color w:val="5A6472"/>
          <w:sz w:val="18"/>
        </w:rPr>
        <w:t xml:space="preserve"> [7]</w:t>
      </w:r>
    </w:p>
    <w:p>
      <w:pPr>
        <w:pStyle w:val="Heading2"/>
      </w:pPr>
      <w:r>
        <w:t>Children 11 and under (1,762 cases)</w:t>
      </w:r>
    </w:p>
    <w:p>
      <w:pPr>
        <w:spacing w:before="0" w:after="140" w:line="288" w:lineRule="auto"/>
      </w:pPr>
      <w:r>
        <w:rPr>
          <w:rFonts w:ascii="Arial" w:hAnsi="Arial"/>
          <w:sz w:val="22"/>
        </w:rPr>
        <w:t>The biggest identifiable group is children taken by a parent or relative. These records typically name the parent, mention a custody or kidnapping warrant, and say they “may have traveled to” another state or country. Where a setting is given, it is most often the home, then parks, water and streets. The most common activity is playing outside.</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1,047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59%</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488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92</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391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114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Store / mall / restaurant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School / college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Playing outside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Traveling / moving</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Went to / from school</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41</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bl>
    <w:p>
      <w:pPr>
        <w:spacing w:before="60" w:after="220" w:line="288" w:lineRule="auto"/>
      </w:pPr>
      <w:r>
        <w:rPr>
          <w:rFonts w:ascii="Arial" w:hAnsi="Arial"/>
          <w:i/>
          <w:color w:val="5A6472"/>
          <w:sz w:val="18"/>
        </w:rPr>
        <w:t>782 of 1,762 cases in this group (44%) mention any place or activity.</w:t>
      </w:r>
      <w:r>
        <w:rPr>
          <w:rFonts w:ascii="Arial" w:hAnsi="Arial"/>
          <w:color w:val="5A6472"/>
          <w:sz w:val="18"/>
        </w:rPr>
        <w:t xml:space="preserve"> [7]</w:t>
      </w:r>
    </w:p>
    <w:p>
      <w:pPr>
        <w:pStyle w:val="Heading2"/>
      </w:pPr>
      <w:r>
        <w:t>Teens 12 to 17 (5,861 cases)</w:t>
      </w:r>
    </w:p>
    <w:p>
      <w:pPr>
        <w:spacing w:before="0" w:after="140" w:line="288" w:lineRule="auto"/>
      </w:pPr>
      <w:r>
        <w:rPr>
          <w:rFonts w:ascii="Arial" w:hAnsi="Arial"/>
          <w:sz w:val="22"/>
        </w:rPr>
        <w:t>The typical record describes a teenager who left home, often at night or after an argument, or who left a group home or foster placement. Common settings are home, streets and walking, and school. Common activities are leaving home, walking somewhere, and visiting a friend, boyfriend or girlfriend. Abduction of any kind is rare in this group.</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4,937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636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95</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1,286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360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School / college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244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215</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215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Foster / group home / shelter / facility</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260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248</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Went to / from school</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148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Driving / riding in a vehicle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71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Swimming / hiking /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60" w:after="220" w:line="288" w:lineRule="auto"/>
      </w:pPr>
      <w:r>
        <w:rPr>
          <w:rFonts w:ascii="Arial" w:hAnsi="Arial"/>
          <w:i/>
          <w:color w:val="5A6472"/>
          <w:sz w:val="18"/>
        </w:rPr>
        <w:t>2,062 of 5,861 cases in this group (35%) mention any place or activity.</w:t>
      </w:r>
      <w:r>
        <w:rPr>
          <w:rFonts w:ascii="Arial" w:hAnsi="Arial"/>
          <w:color w:val="5A6472"/>
          <w:sz w:val="18"/>
        </w:rPr>
        <w:t xml:space="preserve"> [7]</w:t>
      </w:r>
    </w:p>
    <w:p>
      <w:pPr>
        <w:pStyle w:val="Heading2"/>
      </w:pPr>
      <w:r>
        <w:t>Young adults 18 to 25 (4,728 cases)</w:t>
      </w:r>
    </w:p>
    <w:p>
      <w:pPr>
        <w:spacing w:before="0" w:after="140" w:line="288" w:lineRule="auto"/>
      </w:pPr>
      <w:r>
        <w:rPr>
          <w:rFonts w:ascii="Arial" w:hAnsi="Arial"/>
          <w:sz w:val="22"/>
        </w:rPr>
        <w:t>Records describe ordinary adult activities: visiting friends or a partner, walking, driving, going out at night, working, hiking or swimming. Cars and roads appear far more often than for younger ages. This group has the most drownings and outdoor accidents, and the most cases of suspected foul play.</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387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230</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1,135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756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529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Workplace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Store / mall / restaurant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221</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384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313</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Driving / riding in a vehicle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216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Party / night out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179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Swimming / hiking /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170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bl>
    <w:p>
      <w:pPr>
        <w:spacing w:before="60" w:after="220" w:line="288" w:lineRule="auto"/>
      </w:pPr>
      <w:r>
        <w:rPr>
          <w:rFonts w:ascii="Arial" w:hAnsi="Arial"/>
          <w:i/>
          <w:color w:val="5A6472"/>
          <w:sz w:val="18"/>
        </w:rPr>
        <w:t>2,650 of 4,728 cases in this group (56%) mention any place or activity.</w:t>
      </w:r>
      <w:r>
        <w:rPr>
          <w:rFonts w:ascii="Arial" w:hAnsi="Arial"/>
          <w:color w:val="5A6472"/>
          <w:sz w:val="18"/>
        </w:rPr>
        <w:t xml:space="preserve"> [7]</w:t>
      </w:r>
    </w:p>
    <w:p>
      <w:pPr>
        <w:pStyle w:val="Heading1"/>
      </w:pPr>
      <w:r>
        <w:t>A closer look at non-family abductions</w:t>
      </w:r>
    </w:p>
    <w:p>
      <w:pPr>
        <w:spacing w:before="0" w:after="140" w:line="288" w:lineRule="auto"/>
      </w:pPr>
      <w:r>
        <w:rPr>
          <w:rFonts w:ascii="Arial" w:hAnsi="Arial"/>
          <w:sz w:val="22"/>
        </w:rPr>
        <w:t>89 open cases describe an abduction by someone outside the family. 40 of them date from before 1990. Most involve young children: 56 aged 0-11, 23 aged 18-25, 10 aged 12-17.</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trPr>
        <w:tc>
          <w:tcPr>
            <w:tcW w:type="dxa" w:w="63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 in these cases</w:t>
            </w:r>
          </w:p>
        </w:tc>
        <w:tc>
          <w:tcPr>
            <w:tcW w:type="dxa" w:w="3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36</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Street / walking / bus</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17</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Vehicle / transit</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13</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School / college</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Store / mall / restaurant</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9</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bl>
    <w:p>
      <w:pPr>
        <w:spacing w:before="0" w:after="80" w:line="288" w:lineRule="auto"/>
      </w:pPr>
    </w:p>
    <w:p>
      <w:pPr>
        <w:spacing w:before="0" w:after="140" w:line="288" w:lineRule="auto"/>
      </w:pPr>
      <w:r>
        <w:rPr>
          <w:rFonts w:ascii="Arial" w:hAnsi="Arial"/>
          <w:sz w:val="22"/>
        </w:rPr>
        <w:t>NCMEC’s research on abductions and attempts matches this pattern. Attempts happen most often on the street while children are playing, walking or riding bikes, and are more common when children are going to or from school.</w:t>
      </w:r>
      <w:r>
        <w:rPr>
          <w:rFonts w:ascii="Arial" w:hAnsi="Arial"/>
          <w:color w:val="5A6472"/>
          <w:sz w:val="18"/>
        </w:rPr>
        <w:t xml:space="preserve"> [6]</w:t>
      </w:r>
    </w:p>
    <w:p>
      <w:pPr>
        <w:pStyle w:val="Heading1"/>
      </w:pPr>
      <w:r>
        <w:t>Insights</w:t>
      </w:r>
    </w:p>
    <w:p>
      <w:pPr>
        <w:spacing w:before="0" w:after="140" w:line="288" w:lineRule="auto"/>
      </w:pPr>
      <w:r>
        <w:rPr>
          <w:rFonts w:ascii="Arial" w:hAnsi="Arial"/>
          <w:sz w:val="22"/>
        </w:rPr>
        <w:t>These findings go beyond the category counts above. They combine the 12,353 case records with U.S. Census population estimates. Each one says how it was measured and what it cannot show.</w:t>
      </w:r>
      <w:r>
        <w:rPr>
          <w:rFonts w:ascii="Arial" w:hAnsi="Arial"/>
          <w:color w:val="5A6472"/>
          <w:sz w:val="18"/>
        </w:rPr>
        <w:t xml:space="preserve"> [7], [8]</w:t>
      </w:r>
    </w:p>
    <w:p>
      <w:pPr>
        <w:pStyle w:val="ListBullet"/>
        <w:spacing w:before="0" w:after="80" w:line="276" w:lineRule="auto"/>
      </w:pPr>
      <w:r>
        <w:rPr>
          <w:rFonts w:ascii="Arial" w:hAnsi="Arial"/>
          <w:b/>
          <w:sz w:val="22"/>
        </w:rPr>
        <w:t xml:space="preserve">Age 16 is the peak. </w:t>
      </w:r>
      <w:r>
        <w:rPr>
          <w:rFonts w:ascii="Arial" w:hAnsi="Arial"/>
          <w:sz w:val="22"/>
        </w:rPr>
        <w:t>Mid-teens (15 to 17) make up 37% of all open cases.</w:t>
      </w:r>
    </w:p>
    <w:p>
      <w:pPr>
        <w:pStyle w:val="ListBullet"/>
        <w:spacing w:before="0" w:after="80" w:line="276" w:lineRule="auto"/>
      </w:pPr>
      <w:r>
        <w:rPr>
          <w:rFonts w:ascii="Arial" w:hAnsi="Arial"/>
          <w:b/>
          <w:sz w:val="22"/>
        </w:rPr>
        <w:t xml:space="preserve">Sex depends on the situation. </w:t>
      </w:r>
      <w:r>
        <w:rPr>
          <w:rFonts w:ascii="Arial" w:hAnsi="Arial"/>
          <w:sz w:val="22"/>
        </w:rPr>
        <w:t>Teen cases are 58% female, but outdoor and water cases are 78% male.</w:t>
      </w:r>
    </w:p>
    <w:p>
      <w:pPr>
        <w:pStyle w:val="ListBullet"/>
        <w:spacing w:before="0" w:after="80" w:line="276" w:lineRule="auto"/>
      </w:pPr>
      <w:r>
        <w:rPr>
          <w:rFonts w:ascii="Arial" w:hAnsi="Arial"/>
          <w:b/>
          <w:sz w:val="22"/>
        </w:rPr>
        <w:t xml:space="preserve">Black, Hispanic and Native American young people are over-represented </w:t>
      </w:r>
      <w:r>
        <w:rPr>
          <w:rFonts w:ascii="Arial" w:hAnsi="Arial"/>
          <w:sz w:val="22"/>
        </w:rPr>
        <w:t>compared with their share of the population (2.2x, 1.5x and 2.6x).</w:t>
      </w:r>
    </w:p>
    <w:p>
      <w:pPr>
        <w:pStyle w:val="ListBullet"/>
        <w:spacing w:before="0" w:after="80" w:line="276" w:lineRule="auto"/>
      </w:pPr>
      <w:r>
        <w:rPr>
          <w:rFonts w:ascii="Arial" w:hAnsi="Arial"/>
          <w:b/>
          <w:sz w:val="22"/>
        </w:rPr>
        <w:t xml:space="preserve">Runaway cases close fast; abductions and suspected homicides stay open for decades </w:t>
      </w:r>
      <w:r>
        <w:rPr>
          <w:rFonts w:ascii="Arial" w:hAnsi="Arial"/>
          <w:sz w:val="22"/>
        </w:rPr>
        <w:t>(median 3 years vs. 34 and 39 years).</w:t>
      </w:r>
    </w:p>
    <w:p>
      <w:pPr>
        <w:pStyle w:val="ListBullet"/>
        <w:spacing w:before="0" w:after="80" w:line="276" w:lineRule="auto"/>
      </w:pPr>
      <w:r>
        <w:rPr>
          <w:rFonts w:ascii="Arial" w:hAnsi="Arial"/>
          <w:b/>
          <w:sz w:val="22"/>
        </w:rPr>
        <w:t xml:space="preserve">Disappearances rise in late spring and summer. </w:t>
      </w:r>
      <w:r>
        <w:rPr>
          <w:rFonts w:ascii="Arial" w:hAnsi="Arial"/>
          <w:sz w:val="22"/>
        </w:rPr>
        <w:t>July has about 52% more cases than February.</w:t>
      </w:r>
    </w:p>
    <w:p>
      <w:pPr>
        <w:pStyle w:val="ListBullet"/>
        <w:spacing w:before="0" w:after="80" w:line="276" w:lineRule="auto"/>
      </w:pPr>
      <w:r>
        <w:rPr>
          <w:rFonts w:ascii="Arial" w:hAnsi="Arial"/>
          <w:b/>
          <w:sz w:val="22"/>
        </w:rPr>
        <w:t xml:space="preserve">Family abductions often cross borders. </w:t>
      </w:r>
      <w:r>
        <w:rPr>
          <w:rFonts w:ascii="Arial" w:hAnsi="Arial"/>
          <w:sz w:val="22"/>
        </w:rPr>
        <w:t>42% name a foreign country, most often Mexico.</w:t>
      </w:r>
    </w:p>
    <w:p>
      <w:pPr>
        <w:pStyle w:val="ListBullet"/>
        <w:spacing w:before="0" w:after="80" w:line="276" w:lineRule="auto"/>
      </w:pPr>
      <w:r>
        <w:rPr>
          <w:rFonts w:ascii="Arial" w:hAnsi="Arial"/>
          <w:b/>
          <w:sz w:val="22"/>
        </w:rPr>
        <w:t xml:space="preserve">Phones and social media now show up in the records </w:t>
      </w:r>
      <w:r>
        <w:rPr>
          <w:rFonts w:ascii="Arial" w:hAnsi="Arial"/>
          <w:sz w:val="22"/>
        </w:rPr>
        <w:t>of about 6% of cases since 2010, up from almost none before 2000.</w:t>
      </w:r>
    </w:p>
    <w:p>
      <w:pPr>
        <w:pStyle w:val="ListBullet"/>
        <w:spacing w:before="0" w:after="80" w:line="276" w:lineRule="auto"/>
      </w:pPr>
      <w:r>
        <w:rPr>
          <w:rFonts w:ascii="Arial" w:hAnsi="Arial"/>
          <w:b/>
          <w:sz w:val="22"/>
        </w:rPr>
        <w:t xml:space="preserve">State-by-state rates mostly reflect reporting practices, </w:t>
      </w:r>
      <w:r>
        <w:rPr>
          <w:rFonts w:ascii="Arial" w:hAnsi="Arial"/>
          <w:sz w:val="22"/>
        </w:rPr>
        <w:t>not where young people are at greater risk.</w:t>
      </w:r>
    </w:p>
    <w:p>
      <w:pPr>
        <w:pStyle w:val="Heading2"/>
      </w:pPr>
      <w:r>
        <w:t>1. The mid-teens are the peak, and girls outnumber boys in the teen years</w:t>
      </w:r>
    </w:p>
    <w:p>
      <w:pPr>
        <w:spacing w:before="0" w:after="140" w:line="288" w:lineRule="auto"/>
      </w:pPr>
      <w:r>
        <w:rPr>
          <w:rFonts w:ascii="Arial" w:hAnsi="Arial"/>
          <w:sz w:val="22"/>
        </w:rPr>
        <w:t>Age 16 is the most common age at disappearance (1,689 open cases), and ages 15 to 17 together account for 37% of all cases. Among children under 12, boys and girls are about equal (49% female). Among teens, girls are the majority (58% female). From about age 20, young men clearly outnumber young women (40% of 18- to 25-year-olds are female).</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468880"/>
            <wp:docPr id="1" name="Picture 1"/>
            <wp:cNvGraphicFramePr>
              <a:graphicFrameLocks noChangeAspect="1"/>
            </wp:cNvGraphicFramePr>
            <a:graphic>
              <a:graphicData uri="http://schemas.openxmlformats.org/drawingml/2006/picture">
                <pic:pic>
                  <pic:nvPicPr>
                    <pic:cNvPr id="0" name="age_sex.png"/>
                    <pic:cNvPicPr/>
                  </pic:nvPicPr>
                  <pic:blipFill>
                    <a:blip r:embed="rId12"/>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1. </w:t>
      </w:r>
      <w:r>
        <w:rPr>
          <w:rFonts w:ascii="Arial" w:hAnsi="Arial"/>
          <w:color w:val="5A6472"/>
          <w:sz w:val="18"/>
        </w:rPr>
        <w:t>Open cases by age at disappearance and sex, all years.</w:t>
      </w:r>
      <w:r>
        <w:rPr>
          <w:rFonts w:ascii="Arial" w:hAnsi="Arial"/>
          <w:color w:val="5A6472"/>
          <w:sz w:val="18"/>
        </w:rPr>
        <w:t xml:space="preserve"> [1], [2], [7]</w:t>
      </w:r>
    </w:p>
    <w:p>
      <w:pPr>
        <w:pStyle w:val="Heading2"/>
      </w:pPr>
      <w:r>
        <w:t>2. Boys and young men dominate outdoor and water cases</w:t>
      </w:r>
    </w:p>
    <w:p>
      <w:pPr>
        <w:spacing w:before="0" w:after="140" w:line="288" w:lineRule="auto"/>
      </w:pPr>
      <w:r>
        <w:rPr>
          <w:rFonts w:ascii="Arial" w:hAnsi="Arial"/>
          <w:sz w:val="22"/>
        </w:rPr>
        <w:t>In cases involving drowning, getting lost or an accident outdoors, 78% of those missing are male (489 of 625). Cases of possible foul play lean female (58%), as do non-family abductions (55%). Runaways and family abductions are close to evenly split.</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011680"/>
            <wp:docPr id="2" name="Picture 2"/>
            <wp:cNvGraphicFramePr>
              <a:graphicFrameLocks noChangeAspect="1"/>
            </wp:cNvGraphicFramePr>
            <a:graphic>
              <a:graphicData uri="http://schemas.openxmlformats.org/drawingml/2006/picture">
                <pic:pic>
                  <pic:nvPicPr>
                    <pic:cNvPr id="0" name="female_share.png"/>
                    <pic:cNvPicPr/>
                  </pic:nvPicPr>
                  <pic:blipFill>
                    <a:blip r:embed="rId13"/>
                    <a:stretch>
                      <a:fillRect/>
                    </a:stretch>
                  </pic:blipFill>
                  <pic:spPr>
                    <a:xfrm>
                      <a:off x="0" y="0"/>
                      <a:ext cx="5943600" cy="2011680"/>
                    </a:xfrm>
                    <a:prstGeom prst="rect"/>
                  </pic:spPr>
                </pic:pic>
              </a:graphicData>
            </a:graphic>
          </wp:inline>
        </w:drawing>
      </w:r>
    </w:p>
    <w:p>
      <w:pPr>
        <w:spacing w:before="0" w:after="240" w:line="288" w:lineRule="auto"/>
      </w:pPr>
      <w:r>
        <w:rPr>
          <w:rFonts w:ascii="Arial" w:hAnsi="Arial"/>
          <w:b/>
          <w:color w:val="5A6472"/>
          <w:sz w:val="18"/>
        </w:rPr>
        <w:t xml:space="preserve">Figure 2. </w:t>
      </w:r>
      <w:r>
        <w:rPr>
          <w:rFonts w:ascii="Arial" w:hAnsi="Arial"/>
          <w:color w:val="5A6472"/>
          <w:sz w:val="18"/>
        </w:rPr>
        <w:t>Share of cases who are female, by how they went missing (all years).</w:t>
      </w:r>
      <w:r>
        <w:rPr>
          <w:rFonts w:ascii="Arial" w:hAnsi="Arial"/>
          <w:color w:val="5A6472"/>
          <w:sz w:val="18"/>
        </w:rPr>
        <w:t xml:space="preserve"> [7]</w:t>
      </w:r>
    </w:p>
    <w:p>
      <w:pPr>
        <w:pStyle w:val="Heading2"/>
      </w:pPr>
      <w:r>
        <w:t>3. Black, Hispanic and Native American young people are over-represented</w:t>
      </w:r>
    </w:p>
    <w:p>
      <w:pPr>
        <w:spacing w:before="0" w:after="140" w:line="288" w:lineRule="auto"/>
      </w:pPr>
      <w:r>
        <w:rPr>
          <w:rFonts w:ascii="Arial" w:hAnsi="Arial"/>
          <w:sz w:val="22"/>
        </w:rPr>
        <w:t>Among open cases since 2016 where race or ethnicity is recorded (5,430 people), 30.8% are Black. Black young people are 13.7% of Americans aged 0 to 25, so their share of cases is 2.2x their share of the population. The ratio is 1.5x for Hispanic young people and 2.6x for American Indian and Alaska Native young people. White (0.5x) and Asian (0.2x) young people are under-represented.</w:t>
      </w:r>
      <w:r>
        <w:rPr>
          <w:rFonts w:ascii="Arial" w:hAnsi="Arial"/>
          <w:color w:val="5A6472"/>
          <w:sz w:val="18"/>
        </w:rPr>
        <w:t xml:space="preserve"> [7], [8]</w:t>
      </w:r>
    </w:p>
    <w:p>
      <w:pPr>
        <w:spacing w:before="0" w:after="140" w:line="288" w:lineRule="auto"/>
      </w:pPr>
      <w:r>
        <w:rPr>
          <w:rFonts w:ascii="Arial" w:hAnsi="Arial"/>
          <w:sz w:val="22"/>
        </w:rPr>
        <w:t>The pattern appears in both databases separately: Black young people are 26% of NamUs cases and 39% of NCMEC cases. It is not explained by migration: only 95 of 2,207 Hispanic cases (4%) mention a border crossing, migrants or unaccompanied minors. This shows who is in the open-case listings, not who is most likely to go missing. Differences in how quickly cases are resolved, reported and publicized could all play a part, and this data can't separate them.</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651760"/>
            <wp:docPr id="3" name="Picture 3"/>
            <wp:cNvGraphicFramePr>
              <a:graphicFrameLocks noChangeAspect="1"/>
            </wp:cNvGraphicFramePr>
            <a:graphic>
              <a:graphicData uri="http://schemas.openxmlformats.org/drawingml/2006/picture">
                <pic:pic>
                  <pic:nvPicPr>
                    <pic:cNvPr id="0" name="race.png"/>
                    <pic:cNvPicPr/>
                  </pic:nvPicPr>
                  <pic:blipFill>
                    <a:blip r:embed="rId14"/>
                    <a:stretch>
                      <a:fillRect/>
                    </a:stretch>
                  </pic:blipFill>
                  <pic:spPr>
                    <a:xfrm>
                      <a:off x="0" y="0"/>
                      <a:ext cx="5943600" cy="2651760"/>
                    </a:xfrm>
                    <a:prstGeom prst="rect"/>
                  </pic:spPr>
                </pic:pic>
              </a:graphicData>
            </a:graphic>
          </wp:inline>
        </w:drawing>
      </w:r>
    </w:p>
    <w:p>
      <w:pPr>
        <w:spacing w:before="0" w:after="240" w:line="288" w:lineRule="auto"/>
      </w:pPr>
      <w:r>
        <w:rPr>
          <w:rFonts w:ascii="Arial" w:hAnsi="Arial"/>
          <w:b/>
          <w:color w:val="5A6472"/>
          <w:sz w:val="18"/>
        </w:rPr>
        <w:t xml:space="preserve">Figure 3. </w:t>
      </w:r>
      <w:r>
        <w:rPr>
          <w:rFonts w:ascii="Arial" w:hAnsi="Arial"/>
          <w:color w:val="5A6472"/>
          <w:sz w:val="18"/>
        </w:rPr>
        <w:t>Share of open cases since 2016 (known race/ethnicity) compared with share of U.S. population aged 0 to 25 (2024 estimate). Hispanic is any race; other groups are non-Hispanic.</w:t>
      </w:r>
      <w:r>
        <w:rPr>
          <w:rFonts w:ascii="Arial" w:hAnsi="Arial"/>
          <w:color w:val="5A6472"/>
          <w:sz w:val="18"/>
        </w:rPr>
        <w:t xml:space="preserve"> [1], [2], [7], [8]</w:t>
      </w:r>
    </w:p>
    <w:p>
      <w:pPr>
        <w:pStyle w:val="Heading2"/>
      </w:pPr>
      <w:r>
        <w:t>4. Runaway cases close quickly; abductions and suspected homicides stay open for decades</w:t>
      </w:r>
    </w:p>
    <w:p>
      <w:pPr>
        <w:spacing w:before="0" w:after="140" w:line="288" w:lineRule="auto"/>
      </w:pPr>
      <w:r>
        <w:rPr>
          <w:rFonts w:ascii="Arial" w:hAnsi="Arial"/>
          <w:sz w:val="22"/>
        </w:rPr>
        <w:t>Among cases that are still open, the typical runaway went missing 2.6 years ago. The typical family abduction has been open 16 years, an outdoor or water case 30 years, a non-family abduction 34 years, and a case of possible foul play 39 years. Most runaways are found, so the open runaway cases are mostly recent; the cases that stay unsolved are the more serious ones.</w:t>
      </w:r>
      <w:r>
        <w:rPr>
          <w:rFonts w:ascii="Arial" w:hAnsi="Arial"/>
          <w:color w:val="5A6472"/>
          <w:sz w:val="18"/>
        </w:rPr>
        <w:t xml:space="preserve"> [7], [4]</w:t>
      </w:r>
    </w:p>
    <w:p>
      <w:pPr>
        <w:spacing w:before="0" w:after="140" w:line="288" w:lineRule="auto"/>
      </w:pPr>
      <w:r>
        <w:rPr>
          <w:rFonts w:ascii="Arial" w:hAnsi="Arial"/>
          <w:sz w:val="22"/>
        </w:rPr>
        <w:t>The two databases capture different stages. 37% of NCMEC's open posters are less than a year old (median 3.7 years), while the median NamUs case is 17 years old.</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94560"/>
            <wp:docPr id="4" name="Picture 4"/>
            <wp:cNvGraphicFramePr>
              <a:graphicFrameLocks noChangeAspect="1"/>
            </wp:cNvGraphicFramePr>
            <a:graphic>
              <a:graphicData uri="http://schemas.openxmlformats.org/drawingml/2006/picture">
                <pic:pic>
                  <pic:nvPicPr>
                    <pic:cNvPr id="0" name="years_open.png"/>
                    <pic:cNvPicPr/>
                  </pic:nvPicPr>
                  <pic:blipFill>
                    <a:blip r:embed="rId15"/>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4. </w:t>
      </w:r>
      <w:r>
        <w:rPr>
          <w:rFonts w:ascii="Arial" w:hAnsi="Arial"/>
          <w:color w:val="5A6472"/>
          <w:sz w:val="18"/>
        </w:rPr>
        <w:t>Median years since last seen for open cases, by how they went missing.</w:t>
      </w:r>
      <w:r>
        <w:rPr>
          <w:rFonts w:ascii="Arial" w:hAnsi="Arial"/>
          <w:color w:val="5A6472"/>
          <w:sz w:val="18"/>
        </w:rPr>
        <w:t xml:space="preserve"> [7]</w:t>
      </w:r>
    </w:p>
    <w:p>
      <w:pPr>
        <w:pStyle w:val="Heading2"/>
      </w:pPr>
      <w:r>
        <w:t>5. Disappearances rise in late spring and summer</w:t>
      </w:r>
    </w:p>
    <w:p>
      <w:pPr>
        <w:spacing w:before="0" w:after="140" w:line="288" w:lineRule="auto"/>
      </w:pPr>
      <w:r>
        <w:rPr>
          <w:rFonts w:ascii="Arial" w:hAnsi="Arial"/>
          <w:sz w:val="22"/>
        </w:rPr>
        <w:t>Across all cases, July has the most disappearances (10.3% of the year) and February the fewest (6.8%), so the peak month has about 52% more. Outdoor and water cases peak earlier, in May and June, which fits swimming, boating and hiking season.</w:t>
      </w:r>
      <w:r>
        <w:rPr>
          <w:rFonts w:ascii="Arial" w:hAnsi="Arial"/>
          <w:color w:val="5A6472"/>
          <w:sz w:val="18"/>
        </w:rPr>
        <w:t xml:space="preserve"> [7]</w:t>
      </w:r>
    </w:p>
    <w:p>
      <w:pPr>
        <w:spacing w:before="60" w:after="220" w:line="288" w:lineRule="auto"/>
      </w:pPr>
      <w:r>
        <w:rPr>
          <w:rFonts w:ascii="Arial" w:hAnsi="Arial"/>
          <w:i/>
          <w:color w:val="5A6472"/>
          <w:sz w:val="18"/>
        </w:rPr>
        <w:t>Cases from the last 12 months are left out because recent open cases pile up in the current month. Dates recorded as January 1 are also left out, since that date is often a placeholder.</w:t>
      </w:r>
    </w:p>
    <w:p>
      <w:pPr>
        <w:keepNext/>
        <w:spacing w:before="80" w:after="40" w:line="240" w:lineRule="auto"/>
      </w:pPr>
      <w:r>
        <w:drawing>
          <wp:inline xmlns:a="http://schemas.openxmlformats.org/drawingml/2006/main" xmlns:pic="http://schemas.openxmlformats.org/drawingml/2006/picture">
            <wp:extent cx="5943600" cy="2286000"/>
            <wp:docPr id="5" name="Picture 5"/>
            <wp:cNvGraphicFramePr>
              <a:graphicFrameLocks noChangeAspect="1"/>
            </wp:cNvGraphicFramePr>
            <a:graphic>
              <a:graphicData uri="http://schemas.openxmlformats.org/drawingml/2006/picture">
                <pic:pic>
                  <pic:nvPicPr>
                    <pic:cNvPr id="0" name="season.png"/>
                    <pic:cNvPicPr/>
                  </pic:nvPicPr>
                  <pic:blipFill>
                    <a:blip r:embed="rId16"/>
                    <a:stretch>
                      <a:fillRect/>
                    </a:stretch>
                  </pic:blipFill>
                  <pic:spPr>
                    <a:xfrm>
                      <a:off x="0" y="0"/>
                      <a:ext cx="5943600" cy="2286000"/>
                    </a:xfrm>
                    <a:prstGeom prst="rect"/>
                  </pic:spPr>
                </pic:pic>
              </a:graphicData>
            </a:graphic>
          </wp:inline>
        </w:drawing>
      </w:r>
    </w:p>
    <w:p>
      <w:pPr>
        <w:spacing w:before="0" w:after="240" w:line="288" w:lineRule="auto"/>
      </w:pPr>
      <w:r>
        <w:rPr>
          <w:rFonts w:ascii="Arial" w:hAnsi="Arial"/>
          <w:b/>
          <w:color w:val="5A6472"/>
          <w:sz w:val="18"/>
        </w:rPr>
        <w:t xml:space="preserve">Figure 5. </w:t>
      </w:r>
      <w:r>
        <w:rPr>
          <w:rFonts w:ascii="Arial" w:hAnsi="Arial"/>
          <w:color w:val="5A6472"/>
          <w:sz w:val="18"/>
        </w:rPr>
        <w:t>Share of cases by month of disappearance. The dashed line marks an even spread (8.3%).</w:t>
      </w:r>
      <w:r>
        <w:rPr>
          <w:rFonts w:ascii="Arial" w:hAnsi="Arial"/>
          <w:color w:val="5A6472"/>
          <w:sz w:val="18"/>
        </w:rPr>
        <w:t xml:space="preserve"> [7]</w:t>
      </w:r>
    </w:p>
    <w:p>
      <w:pPr>
        <w:pStyle w:val="Heading2"/>
      </w:pPr>
      <w:r>
        <w:t>6. When a parent takes a child, it is often across a border</w:t>
      </w:r>
    </w:p>
    <w:p>
      <w:pPr>
        <w:spacing w:before="0" w:after="140" w:line="288" w:lineRule="auto"/>
      </w:pPr>
      <w:r>
        <w:rPr>
          <w:rFonts w:ascii="Arial" w:hAnsi="Arial"/>
          <w:sz w:val="22"/>
        </w:rPr>
        <w:t>219 of the 525 family abductions (42%) name a foreign country where the child may have been taken. Mexico is named most often (107 cases), followed by India (16), Japan (13), Russia (10).</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03120"/>
            <wp:docPr id="6" name="Picture 6"/>
            <wp:cNvGraphicFramePr>
              <a:graphicFrameLocks noChangeAspect="1"/>
            </wp:cNvGraphicFramePr>
            <a:graphic>
              <a:graphicData uri="http://schemas.openxmlformats.org/drawingml/2006/picture">
                <pic:pic>
                  <pic:nvPicPr>
                    <pic:cNvPr id="0" name="countries.png"/>
                    <pic:cNvPicPr/>
                  </pic:nvPicPr>
                  <pic:blipFill>
                    <a:blip r:embed="rId17"/>
                    <a:stretch>
                      <a:fillRect/>
                    </a:stretch>
                  </pic:blipFill>
                  <pic:spPr>
                    <a:xfrm>
                      <a:off x="0" y="0"/>
                      <a:ext cx="5943600" cy="2103120"/>
                    </a:xfrm>
                    <a:prstGeom prst="rect"/>
                  </pic:spPr>
                </pic:pic>
              </a:graphicData>
            </a:graphic>
          </wp:inline>
        </w:drawing>
      </w:r>
    </w:p>
    <w:p>
      <w:pPr>
        <w:spacing w:before="0" w:after="240" w:line="288" w:lineRule="auto"/>
      </w:pPr>
      <w:r>
        <w:rPr>
          <w:rFonts w:ascii="Arial" w:hAnsi="Arial"/>
          <w:b/>
          <w:color w:val="5A6472"/>
          <w:sz w:val="18"/>
        </w:rPr>
        <w:t xml:space="preserve">Figure 6. </w:t>
      </w:r>
      <w:r>
        <w:rPr>
          <w:rFonts w:ascii="Arial" w:hAnsi="Arial"/>
          <w:color w:val="5A6472"/>
          <w:sz w:val="18"/>
        </w:rPr>
        <w:t>Countries named in family-abduction case records (a case can name more than one).</w:t>
      </w:r>
      <w:r>
        <w:rPr>
          <w:rFonts w:ascii="Arial" w:hAnsi="Arial"/>
          <w:color w:val="5A6472"/>
          <w:sz w:val="18"/>
        </w:rPr>
        <w:t xml:space="preserve"> [1], [2], [7]</w:t>
      </w:r>
    </w:p>
    <w:p>
      <w:pPr>
        <w:pStyle w:val="Heading2"/>
      </w:pPr>
      <w:r>
        <w:t>7. Phones and social media now show up in the records</w:t>
      </w:r>
    </w:p>
    <w:p>
      <w:pPr>
        <w:spacing w:before="0" w:after="140" w:line="288" w:lineRule="auto"/>
      </w:pPr>
      <w:r>
        <w:rPr>
          <w:rFonts w:ascii="Arial" w:hAnsi="Arial"/>
          <w:sz w:val="22"/>
        </w:rPr>
        <w:t>Before 2000, only 0.2% of written accounts mention a phone, texts, social media or online activity. Since 2010 it is about 6%. When these details appear, they often place the person somewhere after the last sighting, for example a phone last used near a park, or social media posts from another city. Most records still don't mention them, which may reflect how briefly public summaries are written rather than what investigators know.</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03120"/>
            <wp:docPr id="7" name="Picture 7"/>
            <wp:cNvGraphicFramePr>
              <a:graphicFrameLocks noChangeAspect="1"/>
            </wp:cNvGraphicFramePr>
            <a:graphic>
              <a:graphicData uri="http://schemas.openxmlformats.org/drawingml/2006/picture">
                <pic:pic>
                  <pic:nvPicPr>
                    <pic:cNvPr id="0" name="digital.png"/>
                    <pic:cNvPicPr/>
                  </pic:nvPicPr>
                  <pic:blipFill>
                    <a:blip r:embed="rId18"/>
                    <a:stretch>
                      <a:fillRect/>
                    </a:stretch>
                  </pic:blipFill>
                  <pic:spPr>
                    <a:xfrm>
                      <a:off x="0" y="0"/>
                      <a:ext cx="5943600" cy="2103120"/>
                    </a:xfrm>
                    <a:prstGeom prst="rect"/>
                  </pic:spPr>
                </pic:pic>
              </a:graphicData>
            </a:graphic>
          </wp:inline>
        </w:drawing>
      </w:r>
    </w:p>
    <w:p>
      <w:pPr>
        <w:spacing w:before="0" w:after="240" w:line="288" w:lineRule="auto"/>
      </w:pPr>
      <w:r>
        <w:rPr>
          <w:rFonts w:ascii="Arial" w:hAnsi="Arial"/>
          <w:b/>
          <w:color w:val="5A6472"/>
          <w:sz w:val="18"/>
        </w:rPr>
        <w:t xml:space="preserve">Figure 7. </w:t>
      </w:r>
      <w:r>
        <w:rPr>
          <w:rFonts w:ascii="Arial" w:hAnsi="Arial"/>
          <w:color w:val="5A6472"/>
          <w:sz w:val="18"/>
        </w:rPr>
        <w:t>Share of case accounts (more than one line long) that mention a phone, texts, social media or online activity, by year last seen.</w:t>
      </w:r>
      <w:r>
        <w:rPr>
          <w:rFonts w:ascii="Arial" w:hAnsi="Arial"/>
          <w:color w:val="5A6472"/>
          <w:sz w:val="18"/>
        </w:rPr>
        <w:t xml:space="preserve"> [7]</w:t>
      </w:r>
    </w:p>
    <w:p>
      <w:pPr>
        <w:pStyle w:val="Heading2"/>
      </w:pPr>
      <w:r>
        <w:t>8. State-by-state rates mostly reflect reporting practices</w:t>
      </w:r>
    </w:p>
    <w:p>
      <w:pPr>
        <w:spacing w:before="0" w:after="140" w:line="288" w:lineRule="auto"/>
      </w:pPr>
      <w:r>
        <w:rPr>
          <w:rFonts w:ascii="Arial" w:hAnsi="Arial"/>
          <w:sz w:val="22"/>
        </w:rPr>
        <w:t>Since 2016, the national rate is 5.1 open cases per 100,000 people aged 0 to 25, but states range from under 1 to about 20. The highest rates come from states that post many cases to one database. Virginia's are almost all NCMEC posters (393 of 435), and Tennessee's are almost all NamUs records (403 of 441). A low rate may simply mean a state enters fewer cases into these public systems, so these figures should not be read as risk.</w:t>
      </w:r>
      <w:r>
        <w:rPr>
          <w:rFonts w:ascii="Arial" w:hAnsi="Arial"/>
          <w:color w:val="5A6472"/>
          <w:sz w:val="18"/>
        </w:rPr>
        <w:t xml:space="preserve"> [7],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2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State</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 since 2016</w:t>
            </w:r>
          </w:p>
        </w:tc>
        <w:tc>
          <w:tcPr>
            <w:tcW w:type="dxa" w:w="24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Rate per 100,000 aged 0-25</w:t>
            </w:r>
          </w:p>
        </w:tc>
        <w:tc>
          <w:tcPr>
            <w:tcW w:type="dxa" w:w="20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From NamUs / NCMEC</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Alaska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49</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20.1</w:t>
            </w:r>
          </w:p>
        </w:tc>
        <w:tc>
          <w:tcPr>
            <w:tcW w:type="dxa" w:w="2060"/>
            <w:tcBorders>
              <w:top w:val="single" w:sz="4" w:color="B8C4D2"/>
              <w:left w:val="single" w:sz="4" w:color="B8C4D2"/>
              <w:bottom w:val="single" w:sz="4" w:color="B8C4D2"/>
              <w:right w:val="single" w:sz="4" w:color="B8C4D2"/>
            </w:tcBorders>
          </w:tcPr>
          <w:p>
            <w:r>
              <w:rPr>
                <w:rFonts w:ascii="Arial" w:hAnsi="Arial"/>
                <w:sz w:val="19"/>
              </w:rPr>
              <w:t>47 / 2</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Tennessee</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441</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19.0</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403 / 38</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Virginia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435</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15.6</w:t>
            </w:r>
          </w:p>
        </w:tc>
        <w:tc>
          <w:tcPr>
            <w:tcW w:type="dxa" w:w="2060"/>
            <w:tcBorders>
              <w:top w:val="single" w:sz="4" w:color="B8C4D2"/>
              <w:left w:val="single" w:sz="4" w:color="B8C4D2"/>
              <w:bottom w:val="single" w:sz="4" w:color="B8C4D2"/>
              <w:right w:val="single" w:sz="4" w:color="B8C4D2"/>
            </w:tcBorders>
          </w:tcPr>
          <w:p>
            <w:r>
              <w:rPr>
                <w:rFonts w:ascii="Arial" w:hAnsi="Arial"/>
                <w:sz w:val="19"/>
              </w:rPr>
              <w:t>42 / 393</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Oklahoma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175</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12.3</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151 / 24</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Florida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676</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10.2</w:t>
            </w:r>
          </w:p>
        </w:tc>
        <w:tc>
          <w:tcPr>
            <w:tcW w:type="dxa" w:w="2060"/>
            <w:tcBorders>
              <w:top w:val="single" w:sz="4" w:color="B8C4D2"/>
              <w:left w:val="single" w:sz="4" w:color="B8C4D2"/>
              <w:bottom w:val="single" w:sz="4" w:color="B8C4D2"/>
              <w:right w:val="single" w:sz="4" w:color="B8C4D2"/>
            </w:tcBorders>
          </w:tcPr>
          <w:p>
            <w:r>
              <w:rPr>
                <w:rFonts w:ascii="Arial" w:hAnsi="Arial"/>
                <w:sz w:val="19"/>
              </w:rPr>
              <w:t>579 / 97</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Hawaii</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37</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9.0</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26 / 11</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Texas</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948</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8.5</w:t>
            </w:r>
          </w:p>
        </w:tc>
        <w:tc>
          <w:tcPr>
            <w:tcW w:type="dxa" w:w="2060"/>
            <w:tcBorders>
              <w:top w:val="single" w:sz="4" w:color="B8C4D2"/>
              <w:left w:val="single" w:sz="4" w:color="B8C4D2"/>
              <w:bottom w:val="single" w:sz="4" w:color="B8C4D2"/>
              <w:right w:val="single" w:sz="4" w:color="B8C4D2"/>
            </w:tcBorders>
          </w:tcPr>
          <w:p>
            <w:r>
              <w:rPr>
                <w:rFonts w:ascii="Arial" w:hAnsi="Arial"/>
                <w:sz w:val="19"/>
              </w:rPr>
              <w:t>791 / 157</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Arizona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174</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7.2</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86 / 88</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Minnesota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18</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1.0</w:t>
            </w:r>
          </w:p>
        </w:tc>
        <w:tc>
          <w:tcPr>
            <w:tcW w:type="dxa" w:w="2060"/>
            <w:tcBorders>
              <w:top w:val="single" w:sz="4" w:color="B8C4D2"/>
              <w:left w:val="single" w:sz="4" w:color="B8C4D2"/>
              <w:bottom w:val="single" w:sz="4" w:color="B8C4D2"/>
              <w:right w:val="single" w:sz="4" w:color="B8C4D2"/>
            </w:tcBorders>
          </w:tcPr>
          <w:p>
            <w:r>
              <w:rPr>
                <w:rFonts w:ascii="Arial" w:hAnsi="Arial"/>
                <w:sz w:val="19"/>
              </w:rPr>
              <w:t>5 / 13</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Iowa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0.7</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5 / 3</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Delaware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0.6</w:t>
            </w:r>
          </w:p>
        </w:tc>
        <w:tc>
          <w:tcPr>
            <w:tcW w:type="dxa" w:w="2060"/>
            <w:tcBorders>
              <w:top w:val="single" w:sz="4" w:color="B8C4D2"/>
              <w:left w:val="single" w:sz="4" w:color="B8C4D2"/>
              <w:bottom w:val="single" w:sz="4" w:color="B8C4D2"/>
              <w:right w:val="single" w:sz="4" w:color="B8C4D2"/>
            </w:tcBorders>
          </w:tcPr>
          <w:p>
            <w:r>
              <w:rPr>
                <w:rFonts w:ascii="Arial" w:hAnsi="Arial"/>
                <w:sz w:val="19"/>
              </w:rPr>
              <w:t>1 / 1</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Vermont</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0 / 1</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Maine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tcPr>
          <w:p>
            <w:r>
              <w:rPr>
                <w:rFonts w:ascii="Arial" w:hAnsi="Arial"/>
                <w:sz w:val="19"/>
              </w:rPr>
              <w:t>1 / 1</w:t>
            </w:r>
          </w:p>
        </w:tc>
      </w:tr>
    </w:tbl>
    <w:p>
      <w:pPr>
        <w:spacing w:before="60" w:after="220" w:line="288" w:lineRule="auto"/>
      </w:pPr>
      <w:r>
        <w:rPr>
          <w:rFonts w:ascii="Arial" w:hAnsi="Arial"/>
          <w:i/>
          <w:color w:val="5A6472"/>
          <w:sz w:val="18"/>
        </w:rPr>
        <w:t>Top 8 and bottom 5 states shown. Rates use the Census Bureau's 2024 civilian population estimate for ages 0 to 25.</w:t>
      </w:r>
      <w:r>
        <w:rPr>
          <w:rFonts w:ascii="Arial" w:hAnsi="Arial"/>
          <w:color w:val="5A6472"/>
          <w:sz w:val="18"/>
        </w:rPr>
        <w:t xml:space="preserve"> [7], [8]</w:t>
      </w:r>
    </w:p>
    <w:p>
      <w:pPr>
        <w:pStyle w:val="Heading2"/>
      </w:pPr>
      <w:r>
        <w:t>9. Smaller patterns</w:t>
      </w:r>
    </w:p>
    <w:p>
      <w:pPr>
        <w:pStyle w:val="ListBullet"/>
        <w:spacing w:before="0" w:after="80" w:line="276" w:lineRule="auto"/>
      </w:pPr>
      <w:r>
        <w:rPr>
          <w:rFonts w:ascii="Arial" w:hAnsi="Arial"/>
          <w:b/>
          <w:sz w:val="22"/>
        </w:rPr>
        <w:t xml:space="preserve">Missing together: </w:t>
      </w:r>
      <w:r>
        <w:rPr>
          <w:rFonts w:ascii="Arial" w:hAnsi="Arial"/>
          <w:sz w:val="22"/>
        </w:rPr>
        <w:t>218 of 3,307 NCMEC children (7%) went missing with a sibling or another child.</w:t>
      </w:r>
      <w:r>
        <w:rPr>
          <w:rFonts w:ascii="Arial" w:hAnsi="Arial"/>
          <w:color w:val="5A6472"/>
          <w:sz w:val="18"/>
        </w:rPr>
        <w:t xml:space="preserve"> [2], [7]</w:t>
      </w:r>
    </w:p>
    <w:p>
      <w:pPr>
        <w:pStyle w:val="ListBullet"/>
        <w:spacing w:before="0" w:after="80" w:line="276" w:lineRule="auto"/>
      </w:pPr>
      <w:r>
        <w:rPr>
          <w:rFonts w:ascii="Arial" w:hAnsi="Arial"/>
          <w:b/>
          <w:sz w:val="22"/>
        </w:rPr>
        <w:t xml:space="preserve">Foster care and group homes: </w:t>
      </w:r>
      <w:r>
        <w:rPr>
          <w:rFonts w:ascii="Arial" w:hAnsi="Arial"/>
          <w:sz w:val="22"/>
        </w:rPr>
        <w:t>93 teen records mention foster care, a group home, a shelter or a state placement, including 47 of 636 teen runaway cases (7%). This is a minimum, since most records don't say where the teen lived.</w:t>
      </w:r>
      <w:r>
        <w:rPr>
          <w:rFonts w:ascii="Arial" w:hAnsi="Arial"/>
          <w:color w:val="5A6472"/>
          <w:sz w:val="18"/>
        </w:rPr>
        <w:t xml:space="preserve"> [7]</w:t>
      </w:r>
    </w:p>
    <w:p>
      <w:pPr>
        <w:pStyle w:val="ListBullet"/>
        <w:spacing w:before="0" w:after="80" w:line="276" w:lineRule="auto"/>
      </w:pPr>
      <w:r>
        <w:rPr>
          <w:rFonts w:ascii="Arial" w:hAnsi="Arial"/>
          <w:b/>
          <w:sz w:val="22"/>
        </w:rPr>
        <w:t xml:space="preserve">Unaccompanied minors: </w:t>
      </w:r>
      <w:r>
        <w:rPr>
          <w:rFonts w:ascii="Arial" w:hAnsi="Arial"/>
          <w:sz w:val="22"/>
        </w:rPr>
        <w:t>Some recent records describe teens who crossed the border alone and later left the home of a sponsor or relative.</w:t>
      </w:r>
      <w:r>
        <w:rPr>
          <w:rFonts w:ascii="Arial" w:hAnsi="Arial"/>
          <w:color w:val="5A6472"/>
          <w:sz w:val="18"/>
        </w:rPr>
        <w:t xml:space="preserve"> [7]</w:t>
      </w:r>
    </w:p>
    <w:p>
      <w:pPr>
        <w:pStyle w:val="Heading1"/>
      </w:pPr>
      <w:r>
        <w:t>Example cases</w:t>
      </w:r>
    </w:p>
    <w:p>
      <w:pPr>
        <w:spacing w:before="0" w:after="140" w:line="288" w:lineRule="auto"/>
      </w:pPr>
      <w:r>
        <w:rPr>
          <w:rFonts w:ascii="Arial" w:hAnsi="Arial"/>
          <w:sz w:val="22"/>
        </w:rPr>
        <w:t>Below are short summaries of real case records, one or more per category. Cases are identified by their public case number rather than by name. Each number links to the official record.</w:t>
      </w:r>
      <w:r>
        <w:rPr>
          <w:rFonts w:ascii="Arial" w:hAnsi="Arial"/>
          <w:color w:val="5A6472"/>
          <w:sz w:val="18"/>
        </w:rPr>
        <w:t xml:space="preserve"> [1], [2]</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175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Case</w:t>
            </w:r>
          </w:p>
        </w:tc>
        <w:tc>
          <w:tcPr>
            <w:tcW w:type="dxa" w:w="15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Age, year, state</w:t>
            </w:r>
          </w:p>
        </w:tc>
        <w:tc>
          <w:tcPr>
            <w:tcW w:type="dxa" w:w="441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the record says</w:t>
            </w:r>
          </w:p>
        </w:tc>
        <w:tc>
          <w:tcPr>
            <w:tcW w:type="dxa" w:w="1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Category</w:t>
            </w:r>
          </w:p>
        </w:tc>
      </w:tr>
      <w:tr>
        <w:trPr>
          <w:cantSplit/>
        </w:trPr>
        <w:tc>
          <w:tcPr>
            <w:tcW w:type="dxa" w:w="1750"/>
            <w:tcBorders>
              <w:top w:val="single" w:sz="4" w:color="B8C4D2"/>
              <w:left w:val="single" w:sz="4" w:color="B8C4D2"/>
              <w:bottom w:val="single" w:sz="4" w:color="B8C4D2"/>
              <w:right w:val="single" w:sz="4" w:color="B8C4D2"/>
            </w:tcBorders>
          </w:tcPr>
          <w:p>
            <w:hyperlink r:id="rId19">
              <w:r>
                <w:rPr>
                  <w:rFonts w:ascii="Arial" w:hAnsi="Arial" w:cs="Arial"/>
                  <w:color w:val="1F5FA8"/>
                  <w:sz w:val="19.0"/>
                  <w:u w:val="single"/>
                </w:rPr>
                <w:t xml:space="preserve">NamUs MP4571</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1979, CA</w:t>
            </w:r>
          </w:p>
        </w:tc>
        <w:tc>
          <w:tcPr>
            <w:tcW w:type="dxa" w:w="4410"/>
            <w:tcBorders>
              <w:top w:val="single" w:sz="4" w:color="B8C4D2"/>
              <w:left w:val="single" w:sz="4" w:color="B8C4D2"/>
              <w:bottom w:val="single" w:sz="4" w:color="B8C4D2"/>
              <w:right w:val="single" w:sz="4" w:color="B8C4D2"/>
            </w:tcBorders>
          </w:tcPr>
          <w:p>
            <w:r>
              <w:rPr>
                <w:rFonts w:ascii="Arial" w:hAnsi="Arial"/>
                <w:sz w:val="19"/>
              </w:rPr>
              <w:t>Walking back to her grandmother’s house after a church youth meeting. Two men later confessed to abducting her.</w:t>
            </w:r>
          </w:p>
        </w:tc>
        <w:tc>
          <w:tcPr>
            <w:tcW w:type="dxa" w:w="1700"/>
            <w:tcBorders>
              <w:top w:val="single" w:sz="4" w:color="B8C4D2"/>
              <w:left w:val="single" w:sz="4" w:color="B8C4D2"/>
              <w:bottom w:val="single" w:sz="4" w:color="B8C4D2"/>
              <w:right w:val="single" w:sz="4" w:color="B8C4D2"/>
            </w:tcBorders>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0">
              <w:r>
                <w:rPr>
                  <w:rFonts w:ascii="Arial" w:hAnsi="Arial" w:cs="Arial"/>
                  <w:color w:val="1F5FA8"/>
                  <w:sz w:val="19.0"/>
                  <w:u w:val="single"/>
                </w:rPr>
                <w:t xml:space="preserve">NamUs MP6704</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Infant, 1993, GA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Taken from his hospital room.</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tcPr>
          <w:p>
            <w:hyperlink r:id="rId21">
              <w:r>
                <w:rPr>
                  <w:rFonts w:ascii="Arial" w:hAnsi="Arial" w:cs="Arial"/>
                  <w:color w:val="1F5FA8"/>
                  <w:sz w:val="19.0"/>
                  <w:u w:val="single"/>
                </w:rPr>
                <w:t xml:space="preserve">NamUs MP8554</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21, 1984, TX</w:t>
            </w:r>
          </w:p>
        </w:tc>
        <w:tc>
          <w:tcPr>
            <w:tcW w:type="dxa" w:w="4410"/>
            <w:tcBorders>
              <w:top w:val="single" w:sz="4" w:color="B8C4D2"/>
              <w:left w:val="single" w:sz="4" w:color="B8C4D2"/>
              <w:bottom w:val="single" w:sz="4" w:color="B8C4D2"/>
              <w:right w:val="single" w:sz="4" w:color="B8C4D2"/>
            </w:tcBorders>
          </w:tcPr>
          <w:p>
            <w:r>
              <w:rPr>
                <w:rFonts w:ascii="Arial" w:hAnsi="Arial"/>
                <w:sz w:val="19"/>
              </w:rPr>
              <w:t>Disappeared from her workplace in the late afternoon. Last seen talking with two men outside.</w:t>
            </w:r>
          </w:p>
        </w:tc>
        <w:tc>
          <w:tcPr>
            <w:tcW w:type="dxa" w:w="1700"/>
            <w:tcBorders>
              <w:top w:val="single" w:sz="4" w:color="B8C4D2"/>
              <w:left w:val="single" w:sz="4" w:color="B8C4D2"/>
              <w:bottom w:val="single" w:sz="4" w:color="B8C4D2"/>
              <w:right w:val="single" w:sz="4" w:color="B8C4D2"/>
            </w:tcBorders>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2">
              <w:r>
                <w:rPr>
                  <w:rFonts w:ascii="Arial" w:hAnsi="Arial" w:cs="Arial"/>
                  <w:color w:val="1F5FA8"/>
                  <w:sz w:val="19.0"/>
                  <w:u w:val="single"/>
                </w:rPr>
                <w:t xml:space="preserve">NamUs MP19556</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4, 2005, CA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Allegedly taken by her mother. A federal flight warrant was issued and she is believed to be abroad.</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Family abduction</w:t>
            </w:r>
          </w:p>
        </w:tc>
      </w:tr>
      <w:tr>
        <w:trPr>
          <w:cantSplit/>
        </w:trPr>
        <w:tc>
          <w:tcPr>
            <w:tcW w:type="dxa" w:w="1750"/>
            <w:tcBorders>
              <w:top w:val="single" w:sz="4" w:color="B8C4D2"/>
              <w:left w:val="single" w:sz="4" w:color="B8C4D2"/>
              <w:bottom w:val="single" w:sz="4" w:color="B8C4D2"/>
              <w:right w:val="single" w:sz="4" w:color="B8C4D2"/>
            </w:tcBorders>
          </w:tcPr>
          <w:p>
            <w:hyperlink r:id="rId23">
              <w:r>
                <w:rPr>
                  <w:rFonts w:ascii="Arial" w:hAnsi="Arial" w:cs="Arial"/>
                  <w:color w:val="1F5FA8"/>
                  <w:sz w:val="19.0"/>
                  <w:u w:val="single"/>
                </w:rPr>
                <w:t xml:space="preserve">NamUs MP98717</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9, 2020, OR</w:t>
            </w:r>
          </w:p>
        </w:tc>
        <w:tc>
          <w:tcPr>
            <w:tcW w:type="dxa" w:w="4410"/>
            <w:tcBorders>
              <w:top w:val="single" w:sz="4" w:color="B8C4D2"/>
              <w:left w:val="single" w:sz="4" w:color="B8C4D2"/>
              <w:bottom w:val="single" w:sz="4" w:color="B8C4D2"/>
              <w:right w:val="single" w:sz="4" w:color="B8C4D2"/>
            </w:tcBorders>
          </w:tcPr>
          <w:p>
            <w:r>
              <w:rPr>
                <w:rFonts w:ascii="Arial" w:hAnsi="Arial"/>
                <w:sz w:val="19"/>
              </w:rPr>
              <w:t>Taken from his home between 6 and 8 a.m. May be with non-custodial family.</w:t>
            </w:r>
          </w:p>
        </w:tc>
        <w:tc>
          <w:tcPr>
            <w:tcW w:type="dxa" w:w="1700"/>
            <w:tcBorders>
              <w:top w:val="single" w:sz="4" w:color="B8C4D2"/>
              <w:left w:val="single" w:sz="4" w:color="B8C4D2"/>
              <w:bottom w:val="single" w:sz="4" w:color="B8C4D2"/>
              <w:right w:val="single" w:sz="4" w:color="B8C4D2"/>
            </w:tcBorders>
          </w:tcPr>
          <w:p>
            <w:r>
              <w:rPr>
                <w:rFonts w:ascii="Arial" w:hAnsi="Arial"/>
                <w:sz w:val="19"/>
              </w:rPr>
              <w:t>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4">
              <w:r>
                <w:rPr>
                  <w:rFonts w:ascii="Arial" w:hAnsi="Arial" w:cs="Arial"/>
                  <w:color w:val="1F5FA8"/>
                  <w:sz w:val="19.0"/>
                  <w:u w:val="single"/>
                </w:rPr>
                <w:t xml:space="preserve">NamUs MP103596</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16, 2018, UT</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Packed her belongings and left home. Later leads pointed to two other states.</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tcPr>
          <w:p>
            <w:hyperlink r:id="rId25">
              <w:r>
                <w:rPr>
                  <w:rFonts w:ascii="Arial" w:hAnsi="Arial" w:cs="Arial"/>
                  <w:color w:val="1F5FA8"/>
                  <w:sz w:val="19.0"/>
                  <w:u w:val="single"/>
                </w:rPr>
                <w:t xml:space="preserve">NamUs MP100826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14, 2023, IL</w:t>
            </w:r>
          </w:p>
        </w:tc>
        <w:tc>
          <w:tcPr>
            <w:tcW w:type="dxa" w:w="4410"/>
            <w:tcBorders>
              <w:top w:val="single" w:sz="4" w:color="B8C4D2"/>
              <w:left w:val="single" w:sz="4" w:color="B8C4D2"/>
              <w:bottom w:val="single" w:sz="4" w:color="B8C4D2"/>
              <w:right w:val="single" w:sz="4" w:color="B8C4D2"/>
            </w:tcBorders>
          </w:tcPr>
          <w:p>
            <w:r>
              <w:rPr>
                <w:rFonts w:ascii="Arial" w:hAnsi="Arial"/>
                <w:sz w:val="19"/>
              </w:rPr>
              <w:t>Described as a habitual runaway. Her social media posts later placed her on a Chicago train line.</w:t>
            </w:r>
          </w:p>
        </w:tc>
        <w:tc>
          <w:tcPr>
            <w:tcW w:type="dxa" w:w="1700"/>
            <w:tcBorders>
              <w:top w:val="single" w:sz="4" w:color="B8C4D2"/>
              <w:left w:val="single" w:sz="4" w:color="B8C4D2"/>
              <w:bottom w:val="single" w:sz="4" w:color="B8C4D2"/>
              <w:right w:val="single" w:sz="4" w:color="B8C4D2"/>
            </w:tcBorders>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6">
              <w:r>
                <w:rPr>
                  <w:rFonts w:ascii="Arial" w:hAnsi="Arial" w:cs="Arial"/>
                  <w:color w:val="1F5FA8"/>
                  <w:sz w:val="19.0"/>
                  <w:u w:val="single"/>
                </w:rPr>
                <w:t xml:space="preserve">NamUs MP95886</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17, 2022, VA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while at work.</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tcPr>
          <w:p>
            <w:hyperlink r:id="rId27">
              <w:r>
                <w:rPr>
                  <w:rFonts w:ascii="Arial" w:hAnsi="Arial" w:cs="Arial"/>
                  <w:color w:val="1F5FA8"/>
                  <w:sz w:val="19.0"/>
                  <w:u w:val="single"/>
                </w:rPr>
                <w:t xml:space="preserve">NamUs MP66559</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13, 2004, AK</w:t>
            </w:r>
          </w:p>
        </w:tc>
        <w:tc>
          <w:tcPr>
            <w:tcW w:type="dxa" w:w="4410"/>
            <w:tcBorders>
              <w:top w:val="single" w:sz="4" w:color="B8C4D2"/>
              <w:left w:val="single" w:sz="4" w:color="B8C4D2"/>
              <w:bottom w:val="single" w:sz="4" w:color="B8C4D2"/>
              <w:right w:val="single" w:sz="4" w:color="B8C4D2"/>
            </w:tcBorders>
          </w:tcPr>
          <w:p>
            <w:r>
              <w:rPr>
                <w:rFonts w:ascii="Arial" w:hAnsi="Arial"/>
                <w:sz w:val="19"/>
              </w:rPr>
              <w:t>Playing in a kayak with another boy. His shoes were later found in the overturned kayak; presumed drowned.</w:t>
            </w:r>
          </w:p>
        </w:tc>
        <w:tc>
          <w:tcPr>
            <w:tcW w:type="dxa" w:w="1700"/>
            <w:tcBorders>
              <w:top w:val="single" w:sz="4" w:color="B8C4D2"/>
              <w:left w:val="single" w:sz="4" w:color="B8C4D2"/>
              <w:bottom w:val="single" w:sz="4" w:color="B8C4D2"/>
              <w:right w:val="single" w:sz="4" w:color="B8C4D2"/>
            </w:tcBorders>
          </w:tcPr>
          <w:p>
            <w:r>
              <w:rPr>
                <w:rFonts w:ascii="Arial" w:hAnsi="Arial"/>
                <w:sz w:val="19"/>
              </w:rPr>
              <w:t>Outdoors / water</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8">
              <w:r>
                <w:rPr>
                  <w:rFonts w:ascii="Arial" w:hAnsi="Arial" w:cs="Arial"/>
                  <w:color w:val="1F5FA8"/>
                  <w:sz w:val="19.0"/>
                  <w:u w:val="single"/>
                </w:rPr>
                <w:t xml:space="preserve">NamUs MP124303</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25, 1998, CA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Jumped into a river during a rafting trip and was swept away.</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Outdoors / water</w:t>
            </w:r>
          </w:p>
        </w:tc>
      </w:tr>
      <w:tr>
        <w:trPr>
          <w:cantSplit/>
        </w:trPr>
        <w:tc>
          <w:tcPr>
            <w:tcW w:type="dxa" w:w="1750"/>
            <w:tcBorders>
              <w:top w:val="single" w:sz="4" w:color="B8C4D2"/>
              <w:left w:val="single" w:sz="4" w:color="B8C4D2"/>
              <w:bottom w:val="single" w:sz="4" w:color="B8C4D2"/>
              <w:right w:val="single" w:sz="4" w:color="B8C4D2"/>
            </w:tcBorders>
          </w:tcPr>
          <w:p>
            <w:hyperlink r:id="rId29">
              <w:r>
                <w:rPr>
                  <w:rFonts w:ascii="Arial" w:hAnsi="Arial" w:cs="Arial"/>
                  <w:color w:val="1F5FA8"/>
                  <w:sz w:val="19.0"/>
                  <w:u w:val="single"/>
                </w:rPr>
                <w:t xml:space="preserve">NamUs MP9439</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22, 1998, AZ</w:t>
            </w:r>
          </w:p>
        </w:tc>
        <w:tc>
          <w:tcPr>
            <w:tcW w:type="dxa" w:w="4410"/>
            <w:tcBorders>
              <w:top w:val="single" w:sz="4" w:color="B8C4D2"/>
              <w:left w:val="single" w:sz="4" w:color="B8C4D2"/>
              <w:bottom w:val="single" w:sz="4" w:color="B8C4D2"/>
              <w:right w:val="single" w:sz="4" w:color="B8C4D2"/>
            </w:tcBorders>
          </w:tcPr>
          <w:p>
            <w:r>
              <w:rPr>
                <w:rFonts w:ascii="Arial" w:hAnsi="Arial"/>
                <w:sz w:val="19"/>
              </w:rPr>
              <w:t>Left home around 7 p.m. His car was later found empty in another city.</w:t>
            </w:r>
          </w:p>
        </w:tc>
        <w:tc>
          <w:tcPr>
            <w:tcW w:type="dxa" w:w="1700"/>
            <w:tcBorders>
              <w:top w:val="single" w:sz="4" w:color="B8C4D2"/>
              <w:left w:val="single" w:sz="4" w:color="B8C4D2"/>
              <w:bottom w:val="single" w:sz="4" w:color="B8C4D2"/>
              <w:right w:val="single" w:sz="4" w:color="B8C4D2"/>
            </w:tcBorders>
          </w:tcPr>
          <w:p>
            <w:r>
              <w:rPr>
                <w:rFonts w:ascii="Arial" w:hAnsi="Arial"/>
                <w:sz w:val="19"/>
              </w:rPr>
              <w:t>Possible foul play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30">
              <w:r>
                <w:rPr>
                  <w:rFonts w:ascii="Arial" w:hAnsi="Arial" w:cs="Arial"/>
                  <w:color w:val="1F5FA8"/>
                  <w:sz w:val="19.0"/>
                  <w:u w:val="single"/>
                </w:rPr>
                <w:t xml:space="preserve">NamUs MP8746</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16, 2010, MI</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Went outside to make a phone call and never came back. Two men were later charged in her death.</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w:t>
            </w:r>
          </w:p>
        </w:tc>
      </w:tr>
      <w:tr>
        <w:trPr>
          <w:cantSplit/>
        </w:trPr>
        <w:tc>
          <w:tcPr>
            <w:tcW w:type="dxa" w:w="1750"/>
            <w:tcBorders>
              <w:top w:val="single" w:sz="4" w:color="B8C4D2"/>
              <w:left w:val="single" w:sz="4" w:color="B8C4D2"/>
              <w:bottom w:val="single" w:sz="4" w:color="B8C4D2"/>
              <w:right w:val="single" w:sz="4" w:color="B8C4D2"/>
            </w:tcBorders>
          </w:tcPr>
          <w:p>
            <w:hyperlink r:id="rId31">
              <w:r>
                <w:rPr>
                  <w:rFonts w:ascii="Arial" w:hAnsi="Arial" w:cs="Arial"/>
                  <w:color w:val="1F5FA8"/>
                  <w:sz w:val="19.0"/>
                  <w:u w:val="single"/>
                </w:rPr>
                <w:t xml:space="preserve">NCMEC NCMC-1107030</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 2008, MI</w:t>
            </w:r>
          </w:p>
        </w:tc>
        <w:tc>
          <w:tcPr>
            <w:tcW w:type="dxa" w:w="4410"/>
            <w:tcBorders>
              <w:top w:val="single" w:sz="4" w:color="B8C4D2"/>
              <w:left w:val="single" w:sz="4" w:color="B8C4D2"/>
              <w:bottom w:val="single" w:sz="4" w:color="B8C4D2"/>
              <w:right w:val="single" w:sz="4" w:color="B8C4D2"/>
            </w:tcBorders>
          </w:tcPr>
          <w:p>
            <w:r>
              <w:rPr>
                <w:rFonts w:ascii="Arial" w:hAnsi="Arial"/>
                <w:sz w:val="19"/>
              </w:rPr>
              <w:t>Last seen at a gas station around 9 p.m.</w:t>
            </w:r>
          </w:p>
        </w:tc>
        <w:tc>
          <w:tcPr>
            <w:tcW w:type="dxa" w:w="1700"/>
            <w:tcBorders>
              <w:top w:val="single" w:sz="4" w:color="B8C4D2"/>
              <w:left w:val="single" w:sz="4" w:color="B8C4D2"/>
              <w:bottom w:val="single" w:sz="4" w:color="B8C4D2"/>
              <w:right w:val="single" w:sz="4" w:color="B8C4D2"/>
            </w:tcBorders>
          </w:tcPr>
          <w:p>
            <w:r>
              <w:rPr>
                <w:rFonts w:ascii="Arial" w:hAnsi="Arial"/>
                <w:sz w:val="19"/>
              </w:rPr>
              <w:t>Not stated</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32">
              <w:r>
                <w:rPr>
                  <w:rFonts w:ascii="Arial" w:hAnsi="Arial" w:cs="Arial"/>
                  <w:color w:val="1F5FA8"/>
                  <w:sz w:val="19.0"/>
                  <w:u w:val="single"/>
                </w:rPr>
                <w:t xml:space="preserve">NamUs MP80827</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17, 2021, TX</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Last seen at her sister’s apartment. Social media activity appeared near another city weeks later.</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Not stated</w:t>
            </w:r>
          </w:p>
        </w:tc>
      </w:tr>
    </w:tbl>
    <w:p>
      <w:pPr>
        <w:spacing w:before="60" w:after="220" w:line="288" w:lineRule="auto"/>
      </w:pPr>
      <w:r>
        <w:rPr>
          <w:rFonts w:ascii="Arial" w:hAnsi="Arial"/>
          <w:i/>
          <w:color w:val="5A6472"/>
          <w:sz w:val="18"/>
        </w:rPr>
        <w:t>Summaries paraphrase the official record as of the collection date. Records can change as investigations go on.</w:t>
      </w:r>
      <w:r>
        <w:rPr>
          <w:rFonts w:ascii="Arial" w:hAnsi="Arial"/>
          <w:color w:val="5A6472"/>
          <w:sz w:val="18"/>
        </w:rPr>
        <w:t xml:space="preserve"> [1], [2]</w:t>
      </w:r>
    </w:p>
    <w:p>
      <w:pPr>
        <w:pStyle w:val="Heading1"/>
      </w:pPr>
      <w:r>
        <w:t>Before and after the last sighting</w:t>
      </w:r>
    </w:p>
    <w:p>
      <w:pPr>
        <w:spacing w:before="0" w:after="140" w:line="288" w:lineRule="auto"/>
      </w:pPr>
      <w:r>
        <w:rPr>
          <w:rFonts w:ascii="Arial" w:hAnsi="Arial"/>
          <w:sz w:val="22"/>
        </w:rPr>
        <w:t>Each case was also turned into a timeline. Structured fields give the last date and place seen; the written accounts give earlier and later details.</w:t>
      </w:r>
      <w:r>
        <w:rPr>
          <w:rFonts w:ascii="Arial" w:hAnsi="Arial"/>
          <w:color w:val="5A6472"/>
          <w:sz w:val="18"/>
        </w:rPr>
        <w:t xml:space="preserve"> [7]</w:t>
      </w:r>
    </w:p>
    <w:p>
      <w:pPr>
        <w:pStyle w:val="ListBullet"/>
        <w:spacing w:before="0" w:after="80" w:line="276" w:lineRule="auto"/>
      </w:pPr>
      <w:r>
        <w:rPr>
          <w:rFonts w:ascii="Arial" w:hAnsi="Arial"/>
          <w:b/>
          <w:sz w:val="22"/>
        </w:rPr>
        <w:t xml:space="preserve">Last date and place seen: </w:t>
      </w:r>
      <w:r>
        <w:rPr>
          <w:rFonts w:ascii="Arial" w:hAnsi="Arial"/>
          <w:sz w:val="22"/>
        </w:rPr>
        <w:t>recorded for nearly every case; 9,034 NamUs cases also have map coordinates.</w:t>
      </w:r>
      <w:r>
        <w:rPr>
          <w:rFonts w:ascii="Arial" w:hAnsi="Arial"/>
          <w:color w:val="5A6472"/>
          <w:sz w:val="18"/>
        </w:rPr>
        <w:t xml:space="preserve"> [1], [2]</w:t>
      </w:r>
    </w:p>
    <w:p>
      <w:pPr>
        <w:pStyle w:val="ListBullet"/>
        <w:spacing w:before="0" w:after="80" w:line="276" w:lineRule="auto"/>
      </w:pPr>
      <w:r>
        <w:rPr>
          <w:rFonts w:ascii="Arial" w:hAnsi="Arial"/>
          <w:b/>
          <w:sz w:val="22"/>
        </w:rPr>
        <w:t xml:space="preserve">Before they went missing: </w:t>
      </w:r>
      <w:r>
        <w:rPr>
          <w:rFonts w:ascii="Arial" w:hAnsi="Arial"/>
          <w:sz w:val="22"/>
        </w:rPr>
        <w:t>261 people have an earlier event in their record, such as a previous runaway, a move, a trip, or a previous missing report (46 mention a history of running away).</w:t>
      </w:r>
      <w:r>
        <w:rPr>
          <w:rFonts w:ascii="Arial" w:hAnsi="Arial"/>
          <w:color w:val="5A6472"/>
          <w:sz w:val="18"/>
        </w:rPr>
        <w:t xml:space="preserve"> [7]</w:t>
      </w:r>
    </w:p>
    <w:p>
      <w:pPr>
        <w:pStyle w:val="ListBullet"/>
        <w:spacing w:before="0" w:after="80" w:line="276" w:lineRule="auto"/>
      </w:pPr>
      <w:r>
        <w:rPr>
          <w:rFonts w:ascii="Arial" w:hAnsi="Arial"/>
          <w:b/>
          <w:sz w:val="22"/>
        </w:rPr>
        <w:t xml:space="preserve">After the last sighting: </w:t>
      </w:r>
      <w:r>
        <w:rPr>
          <w:rFonts w:ascii="Arial" w:hAnsi="Arial"/>
          <w:sz w:val="22"/>
        </w:rPr>
        <w:t>2,274 people have later details, such as sightings, phone or social-media activity, “may be traveling to” leads (1,516), or a car or belongings found (479).</w:t>
      </w:r>
      <w:r>
        <w:rPr>
          <w:rFonts w:ascii="Arial" w:hAnsi="Arial"/>
          <w:color w:val="5A6472"/>
          <w:sz w:val="18"/>
        </w:rPr>
        <w:t xml:space="preserve"> [7]</w:t>
      </w:r>
    </w:p>
    <w:p>
      <w:pPr>
        <w:pStyle w:val="ListBullet"/>
        <w:spacing w:before="0" w:after="80" w:line="276" w:lineRule="auto"/>
      </w:pPr>
      <w:r>
        <w:rPr>
          <w:rFonts w:ascii="Arial" w:hAnsi="Arial"/>
          <w:b/>
          <w:sz w:val="22"/>
        </w:rPr>
        <w:t xml:space="preserve">When and where found: </w:t>
      </w:r>
      <w:r>
        <w:rPr>
          <w:rFonts w:ascii="Arial" w:hAnsi="Arial"/>
          <w:sz w:val="22"/>
        </w:rPr>
        <w:t>Neither database publishes this. Both remove a case once the person is located, so outcomes can only be detected by collecting the data repeatedly and noting which cases disappear.</w:t>
      </w:r>
      <w:r>
        <w:rPr>
          <w:rFonts w:ascii="Arial" w:hAnsi="Arial"/>
          <w:color w:val="5A6472"/>
          <w:sz w:val="18"/>
        </w:rPr>
        <w:t xml:space="preserve"> [1], [2], [3]</w:t>
      </w:r>
    </w:p>
    <w:p>
      <w:pPr>
        <w:pStyle w:val="Heading1"/>
      </w:pPr>
      <w:r>
        <w:t>Limitations</w:t>
      </w:r>
    </w:p>
    <w:p>
      <w:pPr>
        <w:pStyle w:val="ListBullet"/>
        <w:spacing w:before="0" w:after="80" w:line="276" w:lineRule="auto"/>
      </w:pPr>
      <w:r>
        <w:rPr>
          <w:rFonts w:ascii="Arial" w:hAnsi="Arial"/>
          <w:sz w:val="22"/>
        </w:rPr>
        <w:t>Categories come from matching keywords in each case’s written account. Samples were checked by hand, but some cases will be misclassified, especially in the smaller categories.</w:t>
      </w:r>
    </w:p>
    <w:p>
      <w:pPr>
        <w:pStyle w:val="ListBullet"/>
        <w:spacing w:before="0" w:after="80" w:line="276" w:lineRule="auto"/>
      </w:pPr>
      <w:r>
        <w:rPr>
          <w:rFonts w:ascii="Arial" w:hAnsi="Arial"/>
          <w:sz w:val="22"/>
        </w:rPr>
        <w:t>Most records are short. 81% don’t say how the person went missing, so the percentages for known categories are minimums, not complete counts.</w:t>
      </w:r>
    </w:p>
    <w:p>
      <w:pPr>
        <w:pStyle w:val="ListBullet"/>
        <w:spacing w:before="0" w:after="80" w:line="276" w:lineRule="auto"/>
      </w:pPr>
      <w:r>
        <w:rPr>
          <w:rFonts w:ascii="Arial" w:hAnsi="Arial"/>
          <w:sz w:val="22"/>
        </w:rPr>
        <w:t>Only cases that were still open on the collection date are included. Runaways who return within days are under-represented, and long-unsolved cases (abductions, drownings, unexplained disappearances) are over-represented compared with all missing-person reports.</w:t>
      </w:r>
    </w:p>
    <w:p>
      <w:pPr>
        <w:pStyle w:val="ListBullet"/>
        <w:spacing w:before="0" w:after="80" w:line="276" w:lineRule="auto"/>
      </w:pPr>
      <w:r>
        <w:rPr>
          <w:rFonts w:ascii="Arial" w:hAnsi="Arial"/>
          <w:sz w:val="22"/>
        </w:rPr>
        <w:t>NamUs and NCMEC overlap only partly. Children listed in both were merged only when NCMEC recorded the NamUs case number, so some duplicates may remain.</w:t>
      </w:r>
    </w:p>
    <w:p>
      <w:pPr>
        <w:pStyle w:val="ListBullet"/>
        <w:spacing w:before="0" w:after="80" w:line="276" w:lineRule="auto"/>
      </w:pPr>
      <w:r>
        <w:rPr>
          <w:rFonts w:ascii="Arial" w:hAnsi="Arial"/>
          <w:sz w:val="22"/>
        </w:rPr>
        <w:t>The national figures are for different years (FBI 2023, NCMEC 2024) and count all reports, not open cases. They are included for context, not as a direct comparison.</w:t>
      </w:r>
    </w:p>
    <w:p>
      <w:pPr>
        <w:pStyle w:val="ListBullet"/>
        <w:spacing w:before="0" w:after="80" w:line="276" w:lineRule="auto"/>
      </w:pPr>
      <w:r>
        <w:rPr>
          <w:rFonts w:ascii="Arial" w:hAnsi="Arial"/>
          <w:sz w:val="22"/>
        </w:rPr>
        <w:t>Population comparisons set open cases since 2016 against 2024 population estimates. Race categories don’t line up exactly: case records rarely record more than one race, so “two or more races” is under-counted in the cases (about 1%) compared with the population (about 4%).</w:t>
      </w:r>
    </w:p>
    <w:p>
      <w:pPr>
        <w:pStyle w:val="ListBullet"/>
        <w:spacing w:before="0" w:after="80" w:line="276" w:lineRule="auto"/>
      </w:pPr>
      <w:r>
        <w:rPr>
          <w:rFonts w:ascii="Arial" w:hAnsi="Arial"/>
          <w:sz w:val="22"/>
        </w:rPr>
        <w:t>NamUs has a field for whether the person went missing from tribal land, but its answers are unreliable (for example, cases in Nashville marked “yes”), so it isn’t used here.</w:t>
      </w:r>
    </w:p>
    <w:p>
      <w:pPr>
        <w:pStyle w:val="Heading1"/>
      </w:pPr>
      <w:r>
        <w:t>Method</w:t>
      </w:r>
    </w:p>
    <w:p>
      <w:pPr>
        <w:spacing w:before="0" w:after="140" w:line="288" w:lineRule="auto"/>
      </w:pPr>
      <w:r>
        <w:rPr>
          <w:rFonts w:ascii="Arial" w:hAnsi="Arial"/>
          <w:sz w:val="22"/>
        </w:rPr>
        <w:t>All open cases were downloaded through the public data feeds behind each site’s search pages: NamUs cases where the person was 25 or younger when they went missing, and all NCMEC child posters. Each case’s written account was split into sentences and checked against keyword lists for how the person went missing (e.g. “ran away”, “non-custodial”, “abducted”, “drowned”), the place (home, school, street, vehicle, workplace and so on) and the activity (walking, leaving home, visiting a friend and so on). NCMEC’s official case type was used where available. For the insights, ages and dates come from the structured fields, race and ethnicity from each database’s coded fields, and population figures from Census Bureau estimates. The scripts and the per-person results are in the project folder.</w:t>
      </w:r>
      <w:r>
        <w:rPr>
          <w:rFonts w:ascii="Arial" w:hAnsi="Arial"/>
          <w:color w:val="5A6472"/>
          <w:sz w:val="18"/>
        </w:rPr>
        <w:t xml:space="preserve"> [7], [8]</w:t>
      </w:r>
    </w:p>
    <w:p>
      <w:pPr>
        <w:pStyle w:val="Heading1"/>
      </w:pPr>
      <w:r>
        <w:t>Sources</w:t>
      </w:r>
    </w:p>
    <w:p>
      <w:pPr>
        <w:spacing w:before="0" w:after="120" w:line="276" w:lineRule="auto"/>
        <w:ind w:left="440" w:hanging="440"/>
      </w:pPr>
      <w:r>
        <w:rPr>
          <w:rFonts w:ascii="Arial" w:hAnsi="Arial"/>
          <w:b/>
          <w:sz w:val="20"/>
        </w:rPr>
        <w:t xml:space="preserve">[1] </w:t>
      </w:r>
      <w:r>
        <w:rPr>
          <w:rFonts w:ascii="Arial" w:hAnsi="Arial"/>
          <w:sz w:val="20"/>
        </w:rPr>
        <w:t xml:space="preserve">NamUs (National Missing and Unidentified Persons System), U.S. Department of Justice, National Institute of Justice. Missing Persons search and public case records. </w:t>
      </w:r>
      <w:hyperlink r:id="rId10">
        <w:r>
          <w:rPr>
            <w:rFonts w:ascii="Arial" w:hAnsi="Arial" w:cs="Arial"/>
            <w:color w:val="1F5FA8"/>
            <w:sz w:val="20"/>
            <w:u w:val="single"/>
          </w:rPr>
          <w:t xml:space="preserve">https://www.namus.gov/MissingPersons/Search</w:t>
        </w:r>
      </w:hyperlink>
      <w:r>
        <w:rPr>
          <w:rFonts w:ascii="Arial" w:hAnsi="Arial"/>
          <w:sz w:val="20"/>
        </w:rPr>
        <w:t xml:space="preserve"> </w:t>
      </w:r>
      <w:r>
        <w:rPr>
          <w:rFonts w:ascii="Arial" w:hAnsi="Arial"/>
          <w:sz w:val="20"/>
        </w:rPr>
        <w:t>Accessed October 21, 2026.</w:t>
      </w:r>
    </w:p>
    <w:p>
      <w:pPr>
        <w:spacing w:before="0" w:after="120" w:line="276" w:lineRule="auto"/>
        <w:ind w:left="440" w:hanging="440"/>
      </w:pPr>
      <w:r>
        <w:rPr>
          <w:rFonts w:ascii="Arial" w:hAnsi="Arial"/>
          <w:b/>
          <w:sz w:val="20"/>
        </w:rPr>
        <w:t xml:space="preserve">[2] </w:t>
      </w:r>
      <w:r>
        <w:rPr>
          <w:rFonts w:ascii="Arial" w:hAnsi="Arial"/>
          <w:sz w:val="20"/>
        </w:rPr>
        <w:t xml:space="preserve">National Center for Missing &amp; Exploited Children (NCMEC). Public missing-child poster search. </w:t>
      </w:r>
      <w:hyperlink r:id="rId11">
        <w:r>
          <w:rPr>
            <w:rFonts w:ascii="Arial" w:hAnsi="Arial" w:cs="Arial"/>
            <w:color w:val="1F5FA8"/>
            <w:sz w:val="20"/>
            <w:u w:val="single"/>
          </w:rPr>
          <w:t xml:space="preserve">https://www.missingkids.org/gethelpnow/search</w:t>
        </w:r>
      </w:hyperlink>
      <w:r>
        <w:rPr>
          <w:rFonts w:ascii="Arial" w:hAnsi="Arial"/>
          <w:sz w:val="20"/>
        </w:rPr>
        <w:t xml:space="preserve"> </w:t>
      </w:r>
      <w:r>
        <w:rPr>
          <w:rFonts w:ascii="Arial" w:hAnsi="Arial"/>
          <w:sz w:val="20"/>
        </w:rPr>
        <w:t>Accessed October 21, 2026.</w:t>
      </w:r>
    </w:p>
    <w:p>
      <w:pPr>
        <w:spacing w:before="0" w:after="120" w:line="276" w:lineRule="auto"/>
        <w:ind w:left="440" w:hanging="440"/>
      </w:pPr>
      <w:r>
        <w:rPr>
          <w:rFonts w:ascii="Arial" w:hAnsi="Arial"/>
          <w:b/>
          <w:sz w:val="20"/>
        </w:rPr>
        <w:t xml:space="preserve">[3] </w:t>
      </w:r>
      <w:r>
        <w:rPr>
          <w:rFonts w:ascii="Arial" w:hAnsi="Arial"/>
          <w:sz w:val="20"/>
        </w:rPr>
        <w:t xml:space="preserve">FBI Criminal Justice Information Services. 2023 NCIC Missing Person and Unidentified Person Statistics (published Feb. 7, 2024). </w:t>
      </w:r>
      <w:hyperlink r:id="rId33">
        <w:r>
          <w:rPr>
            <w:rFonts w:ascii="Arial" w:hAnsi="Arial" w:cs="Arial"/>
            <w:color w:val="1F5FA8"/>
            <w:sz w:val="20"/>
            <w:u w:val="single"/>
          </w:rPr>
          <w:t xml:space="preserve">https://le.fbi.gov/file-repository/2023-ncic-missing-person-and-unidentified-person-statistics.pdf</w:t>
        </w:r>
      </w:hyperlink>
      <w:r>
        <w:rPr>
          <w:rFonts w:ascii="Arial" w:hAnsi="Arial"/>
          <w:sz w:val="20"/>
        </w:rPr>
        <w:t xml:space="preserve"> </w:t>
      </w:r>
    </w:p>
    <w:p>
      <w:pPr>
        <w:spacing w:before="0" w:after="120" w:line="276" w:lineRule="auto"/>
        <w:ind w:left="440" w:hanging="440"/>
      </w:pPr>
      <w:r>
        <w:rPr>
          <w:rFonts w:ascii="Arial" w:hAnsi="Arial"/>
          <w:b/>
          <w:sz w:val="20"/>
        </w:rPr>
        <w:t xml:space="preserve">[4] </w:t>
      </w:r>
      <w:r>
        <w:rPr>
          <w:rFonts w:ascii="Arial" w:hAnsi="Arial"/>
          <w:sz w:val="20"/>
        </w:rPr>
        <w:t xml:space="preserve">NCMEC. “NCMEC Releases New Data: 2024 in Numbers.” May 8, 2025. </w:t>
      </w:r>
      <w:hyperlink r:id="rId34">
        <w:r>
          <w:rPr>
            <w:rFonts w:ascii="Arial" w:hAnsi="Arial" w:cs="Arial"/>
            <w:color w:val="1F5FA8"/>
            <w:sz w:val="20"/>
            <w:u w:val="single"/>
          </w:rPr>
          <w:t xml:space="preserve">https://www.missingkids.org/blog/2025/ncmec-releases-new-data-2024-in-numbers</w:t>
        </w:r>
      </w:hyperlink>
      <w:r>
        <w:rPr>
          <w:rFonts w:ascii="Arial" w:hAnsi="Arial"/>
          <w:sz w:val="20"/>
        </w:rPr>
        <w:t xml:space="preserve"> </w:t>
      </w:r>
    </w:p>
    <w:p>
      <w:pPr>
        <w:spacing w:before="0" w:after="120" w:line="276" w:lineRule="auto"/>
        <w:ind w:left="440" w:hanging="440"/>
      </w:pPr>
      <w:r>
        <w:rPr>
          <w:rFonts w:ascii="Arial" w:hAnsi="Arial"/>
          <w:b/>
          <w:sz w:val="20"/>
        </w:rPr>
        <w:t xml:space="preserve">[5] </w:t>
      </w:r>
      <w:r>
        <w:rPr>
          <w:rFonts w:ascii="Arial" w:hAnsi="Arial"/>
          <w:sz w:val="20"/>
        </w:rPr>
        <w:t xml:space="preserve">NCMEC. “They’re Missing Too: Why Runaway Children Need Our Help.” Nov. 6, 2025. </w:t>
      </w:r>
      <w:hyperlink r:id="rId35">
        <w:r>
          <w:rPr>
            <w:rFonts w:ascii="Arial" w:hAnsi="Arial" w:cs="Arial"/>
            <w:color w:val="1F5FA8"/>
            <w:sz w:val="20"/>
            <w:u w:val="single"/>
          </w:rPr>
          <w:t xml:space="preserve">https://www.missingkids.org/blog/2025/theyre-missing-too-why-runaway-children-need-our-help</w:t>
        </w:r>
      </w:hyperlink>
      <w:r>
        <w:rPr>
          <w:rFonts w:ascii="Arial" w:hAnsi="Arial"/>
          <w:sz w:val="20"/>
        </w:rPr>
        <w:t xml:space="preserve"> </w:t>
      </w:r>
    </w:p>
    <w:p>
      <w:pPr>
        <w:spacing w:before="0" w:after="120" w:line="276" w:lineRule="auto"/>
        <w:ind w:left="440" w:hanging="440"/>
      </w:pPr>
      <w:r>
        <w:rPr>
          <w:rFonts w:ascii="Arial" w:hAnsi="Arial"/>
          <w:b/>
          <w:sz w:val="20"/>
        </w:rPr>
        <w:t xml:space="preserve">[6] </w:t>
      </w:r>
      <w:r>
        <w:rPr>
          <w:rFonts w:ascii="Arial" w:hAnsi="Arial"/>
          <w:sz w:val="20"/>
        </w:rPr>
        <w:t xml:space="preserve">NCMEC. “Non-family Abductions &amp; Attempts.” </w:t>
      </w:r>
      <w:hyperlink r:id="rId36">
        <w:r>
          <w:rPr>
            <w:rFonts w:ascii="Arial" w:hAnsi="Arial" w:cs="Arial"/>
            <w:color w:val="1F5FA8"/>
            <w:sz w:val="20"/>
            <w:u w:val="single"/>
          </w:rPr>
          <w:t xml:space="preserve">https://www.missingkids.org/theissues/nonfamily</w:t>
        </w:r>
      </w:hyperlink>
      <w:r>
        <w:rPr>
          <w:rFonts w:ascii="Arial" w:hAnsi="Arial"/>
          <w:sz w:val="20"/>
        </w:rPr>
        <w:t xml:space="preserve"> </w:t>
      </w:r>
      <w:r>
        <w:rPr>
          <w:rFonts w:ascii="Arial" w:hAnsi="Arial"/>
          <w:sz w:val="20"/>
        </w:rPr>
        <w:t>Accessed October 21, 2026.</w:t>
      </w:r>
    </w:p>
    <w:p>
      <w:pPr>
        <w:spacing w:before="0" w:after="120" w:line="276" w:lineRule="auto"/>
        <w:ind w:left="440" w:hanging="440"/>
      </w:pPr>
      <w:r>
        <w:rPr>
          <w:rFonts w:ascii="Arial" w:hAnsi="Arial"/>
          <w:b/>
          <w:sz w:val="20"/>
        </w:rPr>
        <w:t xml:space="preserve">[7] </w:t>
      </w:r>
      <w:r>
        <w:rPr>
          <w:rFonts w:ascii="Arial" w:hAnsi="Arial"/>
          <w:sz w:val="20"/>
        </w:rPr>
        <w:t xml:space="preserve">This project’s analysis of sources [1] and [2] (and [8] for population comparisons): collect.py (data collection), circumstances.py (classification), insights.py (insights), output/persons.csv, output/events.csv, output/circumstances.csv, report/insights.json. </w:t>
      </w:r>
      <w:r>
        <w:rPr>
          <w:rFonts w:ascii="Arial" w:hAnsi="Arial"/>
          <w:sz w:val="20"/>
        </w:rPr>
        <w:t>Data collected October 21, 2026.</w:t>
      </w:r>
    </w:p>
    <w:p>
      <w:pPr>
        <w:spacing w:before="0" w:after="120" w:line="276" w:lineRule="auto"/>
        <w:ind w:left="440" w:hanging="440"/>
      </w:pPr>
      <w:r>
        <w:rPr>
          <w:rFonts w:ascii="Arial" w:hAnsi="Arial"/>
          <w:b/>
          <w:sz w:val="20"/>
        </w:rPr>
        <w:t xml:space="preserve">[8] </w:t>
      </w:r>
      <w:r>
        <w:rPr>
          <w:rFonts w:ascii="Arial" w:hAnsi="Arial"/>
          <w:sz w:val="20"/>
        </w:rPr>
        <w:t xml:space="preserve">U.S. Census Bureau, Population Estimates Program, Vintage 2024. State population estimates by single year of age and sex (file SC-EST2024-AGESEX-CIV, civilian population) and by age, sex, race and Hispanic origin (file SC-EST2024-ALLDATA6), 2024 estimates. </w:t>
      </w:r>
      <w:hyperlink r:id="rId37">
        <w:r>
          <w:rPr>
            <w:rFonts w:ascii="Arial" w:hAnsi="Arial" w:cs="Arial"/>
            <w:color w:val="1F5FA8"/>
            <w:sz w:val="20"/>
            <w:u w:val="single"/>
          </w:rPr>
          <w:t xml:space="preserve">https://www2.census.gov/programs-surveys/popest/datasets/2020-2024/state/asrh/</w:t>
        </w:r>
      </w:hyperlink>
      <w:r>
        <w:rPr>
          <w:rFonts w:ascii="Arial" w:hAnsi="Arial"/>
          <w:sz w:val="20"/>
        </w:rPr>
        <w:t xml:space="preserve"> </w:t>
      </w:r>
      <w:r>
        <w:rPr>
          <w:rFonts w:ascii="Arial" w:hAnsi="Arial"/>
          <w:sz w:val="20"/>
        </w:rPr>
        <w:t>Accessed October 22, 2026.</w:t>
      </w:r>
    </w:p>
    <w:p>
      <w:pPr>
        <w:spacing w:before="0" w:after="80" w:line="288" w:lineRule="auto"/>
      </w:pPr>
    </w:p>
    <w:p>
      <w:r>
        <w:rPr>
          <w:rFonts w:ascii="Arial" w:hAnsi="Arial"/>
          <w:i/>
          <w:color w:val="5A6472"/>
          <w:sz w:val="20"/>
        </w:rPr>
        <w:t>If you have information about a missing child, contact the agency listed on the case record or NCMEC at 1-800-THE-LOST (1-800-843-5678).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472"/>
        <w:sz w:val="16"/>
      </w:rPr>
      <w:t xml:space="preserve">Missing Children and Young Adults – Circumstances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Arial" w:hAnsi="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namus.gov/MissingPersons/Search" TargetMode="External"/><Relationship Id="rId11" Type="http://schemas.openxmlformats.org/officeDocument/2006/relationships/hyperlink" Target="https://www.missingkids.org/gethelpnow/search"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hyperlink" Target="https://www.namus.gov/MissingPersons/Case#/4571" TargetMode="External"/><Relationship Id="rId20" Type="http://schemas.openxmlformats.org/officeDocument/2006/relationships/hyperlink" Target="https://www.namus.gov/MissingPersons/Case#/6704" TargetMode="External"/><Relationship Id="rId21" Type="http://schemas.openxmlformats.org/officeDocument/2006/relationships/hyperlink" Target="https://www.namus.gov/MissingPersons/Case#/8554" TargetMode="External"/><Relationship Id="rId22" Type="http://schemas.openxmlformats.org/officeDocument/2006/relationships/hyperlink" Target="https://www.namus.gov/MissingPersons/Case#/19556" TargetMode="External"/><Relationship Id="rId23" Type="http://schemas.openxmlformats.org/officeDocument/2006/relationships/hyperlink" Target="https://www.namus.gov/MissingPersons/Case#/98717" TargetMode="External"/><Relationship Id="rId24" Type="http://schemas.openxmlformats.org/officeDocument/2006/relationships/hyperlink" Target="https://www.namus.gov/MissingPersons/Case#/103596" TargetMode="External"/><Relationship Id="rId25" Type="http://schemas.openxmlformats.org/officeDocument/2006/relationships/hyperlink" Target="https://www.namus.gov/MissingPersons/Case#/100826" TargetMode="External"/><Relationship Id="rId26" Type="http://schemas.openxmlformats.org/officeDocument/2006/relationships/hyperlink" Target="https://www.namus.gov/MissingPersons/Case#/95886" TargetMode="External"/><Relationship Id="rId27" Type="http://schemas.openxmlformats.org/officeDocument/2006/relationships/hyperlink" Target="https://www.namus.gov/MissingPersons/Case#/66559" TargetMode="External"/><Relationship Id="rId28" Type="http://schemas.openxmlformats.org/officeDocument/2006/relationships/hyperlink" Target="https://www.namus.gov/MissingPersons/Case#/124303" TargetMode="External"/><Relationship Id="rId29" Type="http://schemas.openxmlformats.org/officeDocument/2006/relationships/hyperlink" Target="https://www.namus.gov/MissingPersons/Case#/9439" TargetMode="External"/><Relationship Id="rId30" Type="http://schemas.openxmlformats.org/officeDocument/2006/relationships/hyperlink" Target="https://www.namus.gov/MissingPersons/Case#/8746" TargetMode="External"/><Relationship Id="rId31" Type="http://schemas.openxmlformats.org/officeDocument/2006/relationships/hyperlink" Target="https://www.missingkids.org/poster/NCMC/1107030/1" TargetMode="External"/><Relationship Id="rId32" Type="http://schemas.openxmlformats.org/officeDocument/2006/relationships/hyperlink" Target="https://www.namus.gov/MissingPersons/Case#/80827" TargetMode="External"/><Relationship Id="rId33" Type="http://schemas.openxmlformats.org/officeDocument/2006/relationships/hyperlink" Target="https://le.fbi.gov/file-repository/2023-ncic-missing-person-and-unidentified-person-statistics.pdf" TargetMode="External"/><Relationship Id="rId34" Type="http://schemas.openxmlformats.org/officeDocument/2006/relationships/hyperlink" Target="https://www.missingkids.org/blog/2025/ncmec-releases-new-data-2024-in-numbers" TargetMode="External"/><Relationship Id="rId35" Type="http://schemas.openxmlformats.org/officeDocument/2006/relationships/hyperlink" Target="https://www.missingkids.org/blog/2025/theyre-missing-too-why-runaway-children-need-our-help" TargetMode="External"/><Relationship Id="rId36" Type="http://schemas.openxmlformats.org/officeDocument/2006/relationships/hyperlink" Target="https://www.missingkids.org/theissues/nonfamily" TargetMode="External"/><Relationship Id="rId37" Type="http://schemas.openxmlformats.org/officeDocument/2006/relationships/hyperlink" Target="https://www2.census.gov/programs-surveys/popest/datasets/2020-2024/state/asr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Missing Children and Young Adults in the United States</dc:title>
  <dc:subject/>
  <dc:creator>Missing persons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