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They Sing – Local Compute &amp; Training Budget (Draft)</w:t>
      </w:r>
    </w:p>
    <w:p>
      <w:r>
        <w:t>Goal:</w:t>
        <w:br/>
        <w:t>Build a local research rig capable of:</w:t>
        <w:br/>
        <w:t>• Running Trinity Mini (MoE) with effective ≥128k context using MCP + retrieval</w:t>
        <w:br/>
        <w:t>• Performing PowerRetention (PowRet) conversion + PEFT fine-tuning</w:t>
        <w:br/>
        <w:t>• Running auxiliary PEFT on Llama 3 8B and Kimi 2 Mini</w:t>
        <w:br/>
        <w:t>• Supporting multi-agent simulations at low marginal cost</w:t>
        <w:br/>
        <w:t>All within a hard cap of ~$25,000 USD.</w:t>
        <w:br/>
      </w:r>
    </w:p>
    <w:p>
      <w:pPr>
        <w:pStyle w:val="Heading2"/>
      </w:pPr>
      <w:r>
        <w:t>1. Hardware Budget</w:t>
      </w:r>
    </w:p>
    <w:p>
      <w:r>
        <w:t>Primary GPUs:</w:t>
        <w:br/>
        <w:t>• 2 × RTX 6000 Ada (48 GB VRAM each)</w:t>
        <w:br/>
        <w:t xml:space="preserve">  Estimated local price (Chile): $9,000 × 2 = $18,000</w:t>
        <w:br/>
        <w:br/>
        <w:t>Rationale:</w:t>
        <w:br/>
        <w:t>• 96 GB total VRAM</w:t>
        <w:br/>
        <w:t>• Strong tensor + memory bandwidth</w:t>
        <w:br/>
        <w:t>• Stable for long-context KV cache</w:t>
        <w:br/>
        <w:t>• Sufficient for Trinity Mini + PowRet + PEFT</w:t>
        <w:br/>
      </w:r>
    </w:p>
    <w:p>
      <w:r>
        <w:t>Host System:</w:t>
        <w:br/>
        <w:t>• CPU: AMD Threadripper / EPYC-class or high-core Ryzen</w:t>
        <w:br/>
        <w:t>• System RAM: 256 GB DDR4/DDR5</w:t>
        <w:br/>
        <w:t>• Storage:</w:t>
        <w:br/>
        <w:t xml:space="preserve">  – 2 × 4 TB NVMe SSD (training + swap)</w:t>
        <w:br/>
        <w:t xml:space="preserve">  – 1 × 2 TB NVMe (OS / logs)</w:t>
        <w:br/>
        <w:br/>
        <w:t>Estimated host + storage: $5,000</w:t>
        <w:br/>
      </w:r>
    </w:p>
    <w:p>
      <w:r>
        <w:t>Cooling, PSU, chassis, misc:</w:t>
        <w:br/>
        <w:t>• 1600–2000W PSU</w:t>
        <w:br/>
        <w:t>• Rack or workstation chassis</w:t>
        <w:br/>
        <w:t>• Active cooling</w:t>
        <w:br/>
        <w:br/>
        <w:t>Estimated: $2,000</w:t>
        <w:br/>
      </w:r>
    </w:p>
    <w:p>
      <w:pPr>
        <w:pStyle w:val="Heading3"/>
      </w:pPr>
      <w:r>
        <w:t>Hardware Subtotal</w:t>
      </w:r>
    </w:p>
    <w:p>
      <w:r>
        <w:t>≈ $25,000 (hard cap)</w:t>
      </w:r>
    </w:p>
    <w:p>
      <w:pPr>
        <w:pStyle w:val="Heading2"/>
      </w:pPr>
      <w:r>
        <w:t>2. Training &amp; Conversion Budget (Compute-Equivalent)</w:t>
      </w:r>
    </w:p>
    <w:p>
      <w:r>
        <w:t>PowerRetention Conversion:</w:t>
        <w:br/>
        <w:t>• Target: Trinity Mini</w:t>
        <w:br/>
        <w:t>• Method: architectural swap + short adaptation run</w:t>
        <w:br/>
        <w:t>• Estimated equivalent GPU cost: ~$3,000</w:t>
        <w:br/>
        <w:br/>
        <w:t>Includes:</w:t>
        <w:br/>
        <w:t>• PowRet layer integration</w:t>
        <w:br/>
        <w:t>• Stability recovery</w:t>
        <w:br/>
        <w:t>• Regression evaluation</w:t>
        <w:br/>
      </w:r>
    </w:p>
    <w:p>
      <w:r>
        <w:t>PEFT / LoRA Training:</w:t>
        <w:br/>
        <w:t>• Trinity Mini (post-PowRet)</w:t>
        <w:br/>
        <w:t>• Llama 3 8B</w:t>
        <w:br/>
        <w:t>• Kimi 2 Mini</w:t>
        <w:br/>
        <w:br/>
        <w:t>Estimated incremental compute: ~$1,000 (local amortized)</w:t>
        <w:br/>
      </w:r>
    </w:p>
    <w:p>
      <w:pPr>
        <w:pStyle w:val="Heading3"/>
      </w:pPr>
      <w:r>
        <w:t>Training Cost Summary</w:t>
      </w:r>
    </w:p>
    <w:p>
      <w:r>
        <w:t>Because training is performed locally, the $4,000 total is treated as</w:t>
        <w:br/>
        <w:t>compute amortization rather than cash outlay.</w:t>
        <w:br/>
      </w:r>
    </w:p>
    <w:p>
      <w:pPr>
        <w:pStyle w:val="Heading2"/>
      </w:pPr>
      <w:r>
        <w:t>3. Operational Model Stack</w:t>
      </w:r>
    </w:p>
    <w:p>
      <w:r>
        <w:t>Tier 2 (Anchor Agents):</w:t>
        <w:br/>
        <w:t>• GPT-5 Mini / Claude Sonnet (API, limited use)</w:t>
        <w:br/>
        <w:br/>
        <w:t>Tier 1 (Strategic Agents):</w:t>
        <w:br/>
        <w:t>• Trinity Mini + PowRet (local)</w:t>
        <w:br/>
        <w:t>• Intellect-3 (API for calibration only)</w:t>
        <w:br/>
        <w:br/>
        <w:t>Tier 0 (Population / NPCs):</w:t>
        <w:br/>
        <w:t>• Llama 3 8B PEFT</w:t>
        <w:br/>
        <w:t>• Kimi 2 Mini PEFT</w:t>
        <w:br/>
      </w:r>
    </w:p>
    <w:p>
      <w:pPr>
        <w:pStyle w:val="Heading2"/>
      </w:pPr>
      <w:r>
        <w:t>4. Context Economy Strategy</w:t>
      </w:r>
    </w:p>
    <w:p>
      <w:r>
        <w:t>Raw context target: 128k tokens</w:t>
        <w:br/>
        <w:t>Achieved via:</w:t>
        <w:br/>
        <w:t>• MCP (Multi-Context Packing)</w:t>
        <w:br/>
        <w:t>• External memory + retrieval</w:t>
        <w:br/>
        <w:t>• Compactified storyworld manifold objects</w:t>
        <w:br/>
        <w:t>• Structured reasoning summaries (no raw CoT)</w:t>
        <w:br/>
      </w:r>
    </w:p>
    <w:p>
      <w:pPr>
        <w:pStyle w:val="Heading2"/>
      </w:pPr>
      <w:r>
        <w:t>5. Risk &amp; Mitigation</w:t>
      </w:r>
    </w:p>
    <w:p>
      <w:r>
        <w:t>Risks:</w:t>
        <w:br/>
        <w:t>• Long-context degradation</w:t>
        <w:br/>
        <w:t>• PowRet instability</w:t>
        <w:br/>
        <w:t>• GPU thermals under sustained load</w:t>
        <w:br/>
        <w:br/>
        <w:t>Mitigations:</w:t>
        <w:br/>
        <w:t>• Pilot conversion runs before full training</w:t>
        <w:br/>
        <w:t>• Retrieval-first design</w:t>
        <w:br/>
        <w:t>• Conservative batch sizes</w:t>
        <w:br/>
      </w:r>
    </w:p>
    <w:p>
      <w:pPr>
        <w:pStyle w:val="Heading2"/>
      </w:pPr>
      <w:r>
        <w:t>6. Summary</w:t>
      </w:r>
    </w:p>
    <w:p>
      <w:r>
        <w:t>This budget enables:</w:t>
        <w:br/>
        <w:t>• Independent multi-agent experimentation</w:t>
        <w:br/>
        <w:t>• Long-context ASI-style simulations without RSI</w:t>
        <w:br/>
        <w:t>• Cost-controlled replayability</w:t>
        <w:br/>
        <w:t>• Clean, defensible research methodology</w:t>
        <w:br/>
        <w:br/>
        <w:t>Total Cash Outlay: ~$25,000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