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rial" w:hAnsi="Arial"/>
          <w:b/>
          <w:color w:val="1F4E79"/>
          <w:sz w:val="54"/>
        </w:rPr>
        <w:t>VRP Corsi Intraday-Enhanced Hybrid v2</w:t>
      </w:r>
    </w:p>
    <w:p>
      <w:pPr>
        <w:jc w:val="center"/>
      </w:pPr>
      <w:r>
        <w:rPr>
          <w:rFonts w:ascii="Arial" w:hAnsi="Arial"/>
          <w:color w:val="404040"/>
          <w:sz w:val="28"/>
        </w:rPr>
        <w:t>Daily Production Runbook and Control Checklist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Lock ID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sz w:val="20"/>
              </w:rPr>
              <w:t>vrp_corsi_intraday_hybrid_v2</w:t>
            </w:r>
          </w:p>
        </w:tc>
      </w:tr>
      <w:tr>
        <w:tc>
          <w:tcPr>
            <w:tcW w:type="dxa" w:w="5184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Locked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sz w:val="20"/>
              </w:rPr>
              <w:t>July 11, 2026</w:t>
            </w:r>
          </w:p>
        </w:tc>
      </w:tr>
      <w:tr>
        <w:tc>
          <w:tcPr>
            <w:tcW w:type="dxa" w:w="5184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Release state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sz w:val="20"/>
              </w:rPr>
              <w:t>PRODUCTION APPROVED MODEL STACK</w:t>
            </w:r>
          </w:p>
        </w:tc>
      </w:tr>
      <w:tr>
        <w:tc>
          <w:tcPr>
            <w:tcW w:type="dxa" w:w="5184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Supersedes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sz w:val="20"/>
              </w:rPr>
              <w:t>vrp_corsi_intraday_full00444_current_sizing_v1</w:t>
            </w:r>
          </w:p>
        </w:tc>
      </w:tr>
      <w:tr>
        <w:tc>
          <w:tcPr>
            <w:tcW w:type="dxa" w:w="5184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Dashboard operational patch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1.0.10 - SOFR lineage and recovery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22"/>
              </w:rPr>
              <w:t>Use this runbook to generate, validate, select, size, and archive the daily trade decision.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Purpose and release boundary</w:t>
      </w:r>
    </w:p>
    <w:p>
      <w:r>
        <w:rPr>
          <w:i w:val="0"/>
        </w:rPr>
        <w:t>This runbook translates the formal v2 model lock into a daily operating sequence. The model produces at most one new SPY put-credit-spread recommendation per eligible date. Portfolio overlap limits, execution approval, and hedging remain external controls that can block or reduce a model recommendation.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Layer</w:t>
            </w:r>
          </w:p>
        </w:tc>
        <w:tc>
          <w:tcPr>
            <w:tcW w:type="dxa" w:w="619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Daily status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Forecast model</w:t>
            </w:r>
          </w:p>
        </w:tc>
        <w:tc>
          <w:tcPr>
            <w:tcW w:type="dxa" w:w="61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intraday_ridge_locked</w:t>
            </w:r>
          </w:p>
        </w:tc>
      </w:tr>
      <w:tr>
        <w:tc>
          <w:tcPr>
            <w:tcW w:type="dxa" w:w="302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Signal rules</w:t>
            </w:r>
          </w:p>
        </w:tc>
        <w:tc>
          <w:tcPr>
            <w:tcW w:type="dxa" w:w="619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hybrid v2 threshold matrix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Per-trade sizing</w:t>
            </w:r>
          </w:p>
        </w:tc>
        <w:tc>
          <w:tcPr>
            <w:tcW w:type="dxa" w:w="61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fixed v2 size matrix</w:t>
            </w:r>
          </w:p>
        </w:tc>
      </w:tr>
      <w:tr>
        <w:tc>
          <w:tcPr>
            <w:tcW w:type="dxa" w:w="302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Selection</w:t>
            </w:r>
          </w:p>
        </w:tc>
        <w:tc>
          <w:tcPr>
            <w:tcW w:type="dxa" w:w="619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revised_size_benchmark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Portfolio overlay</w:t>
            </w:r>
          </w:p>
        </w:tc>
        <w:tc>
          <w:tcPr>
            <w:tcW w:type="dxa" w:w="61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external approval / risk control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Required inputs</w:t>
      </w:r>
    </w:p>
    <w:p>
      <w:pPr>
        <w:pStyle w:val="ListBullet"/>
      </w:pPr>
      <w:r>
        <w:t>Latest validated SPY EOD price and trading calendar.</w:t>
      </w:r>
    </w:p>
    <w:p>
      <w:pPr>
        <w:pStyle w:val="ListBullet"/>
      </w:pPr>
      <w:r>
        <w:t>Latest option-chain and implied-variance inputs for the nine target tenors.</w:t>
      </w:r>
    </w:p>
    <w:p>
      <w:pPr>
        <w:pStyle w:val="ListBullet"/>
      </w:pPr>
      <w:r>
        <w:t>Latest validated canonical FRED SOFR history, including the latest observation expected to be published for the decision date.</w:t>
      </w:r>
    </w:p>
    <w:p>
      <w:pPr>
        <w:pStyle w:val="ListBullet"/>
      </w:pPr>
      <w:r>
        <w:t>Latest repaired Wilder RSI14 and RV21D volatility percentage.</w:t>
      </w:r>
    </w:p>
    <w:p>
      <w:pPr>
        <w:pStyle w:val="ListBullet"/>
      </w:pPr>
      <w:r>
        <w:t>Latest intraday realized-variance component and baseline Corsi feature data.</w:t>
      </w:r>
    </w:p>
    <w:p>
      <w:pPr>
        <w:pStyle w:val="ListBullet"/>
      </w:pPr>
      <w:r>
        <w:t>Canonical fit log, prior historical forecast/VRP series, and approved project paths.</w:t>
      </w:r>
    </w:p>
    <w:p>
      <w:pPr>
        <w:pStyle w:val="ListBullet"/>
      </w:pPr>
      <w:r>
        <w:t>Approved NAV for live risk sizing; $1,000,000 only for locked backtest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1F4E79"/>
              </w:rPr>
              <w:t>Stop condition</w:t>
              <w:br/>
            </w:r>
            <w:r>
              <w:rPr>
                <w:rFonts w:ascii="Arial" w:hAnsi="Arial"/>
              </w:rPr>
              <w:t>Do not issue a trade when any required current-date input is missing, duplicated, stale, non-positive where positivity is required, or inconsistent across sources.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Pre-run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504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#</w:t>
            </w:r>
          </w:p>
        </w:tc>
        <w:tc>
          <w:tcPr>
            <w:tcW w:type="dxa" w:w="223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Control</w:t>
            </w:r>
          </w:p>
        </w:tc>
        <w:tc>
          <w:tcPr>
            <w:tcW w:type="dxa" w:w="691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Pass requirement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 timestamps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 source timestamps correspond to the intended decision date.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Date uniqueness</w:t>
            </w:r>
          </w:p>
        </w:tc>
        <w:tc>
          <w:tcPr>
            <w:tcW w:type="dxa" w:w="691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row per date x tenor in implied variance and forecast panels.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Nine-tenor coverage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9, 12, 15, 18, 21, 24, 27, 30, and 33 are present for forecast checks.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Active sleeve coverage</w:t>
            </w:r>
          </w:p>
        </w:tc>
        <w:tc>
          <w:tcPr>
            <w:tcW w:type="dxa" w:w="691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Exactly 13 active layer x DTE sleeves are evaluated.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Forecast values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Finite positive variance and volatility outputs.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Signal history</w:t>
            </w:r>
          </w:p>
        </w:tc>
        <w:tc>
          <w:tcPr>
            <w:tcW w:type="dxa" w:w="691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Prior-only rolling histories complete for required z-scores.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Auxiliary filters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Wilder RSI14 and RV21D present for the date.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Calendar</w:t>
            </w:r>
          </w:p>
        </w:tc>
        <w:tc>
          <w:tcPr>
            <w:tcW w:type="dxa" w:w="691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Holiday-adjusted expiration utility available.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SOFR publication coverage</w:t>
            </w:r>
          </w:p>
        </w:tc>
        <w:tc>
          <w:tcPr>
            <w:tcW w:type="dxa" w:w="691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Canonical SOFR contains the latest expected published observation; no duplicate dates, invalid rates, or missing expected sessions.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Daily model workflow</w:t>
      </w:r>
    </w:p>
    <w:p>
      <w:pPr>
        <w:pStyle w:val="Heading2"/>
        <w:keepNext/>
      </w:pPr>
      <w:r>
        <w:t>4.1 Update forecast inputs</w:t>
      </w:r>
    </w:p>
    <w:p>
      <w:pPr/>
      <w:r>
        <w:t>Before fitting or scoring forecasts, refresh the exact canonical SOFR cache from FRED and archive the validated update manifest.</w:t>
      </w:r>
    </w:p>
    <w:p>
      <w:pPr/>
      <w:r>
        <w:t>1. Refresh data\external\fred_sofr_history.csv using the standalone SOFR updater.</w:t>
      </w:r>
    </w:p>
    <w:p>
      <w:pPr/>
      <w:r>
        <w:t>2. Validate unique dates, finite rates, sanity bounds, non-truncation, and post-write readback.</w:t>
      </w:r>
    </w:p>
    <w:p>
      <w:pPr/>
      <w:r>
        <w:t>3. When FRED adds or revises observations, rebuild implied variance from first_changed_sofr_date before downstream forecast and signal publication.</w:t>
      </w:r>
    </w:p>
    <w:p>
      <w:pPr>
        <w:ind w:left="259" w:hanging="259"/>
      </w:pPr>
      <w:r>
        <w:t>4. Run or validate the baseline feature-panel update.</w:t>
      </w:r>
    </w:p>
    <w:p>
      <w:pPr>
        <w:ind w:left="259" w:hanging="259"/>
      </w:pPr>
      <w:r>
        <w:t>5. Build the three intraday log-RV predictors using complete 5, 21, and 63-session windows.</w:t>
      </w:r>
    </w:p>
    <w:p>
      <w:pPr>
        <w:ind w:left="259" w:hanging="259"/>
      </w:pPr>
      <w:r>
        <w:t>6. Apply the canonical annual expanding OOS Ridge fit contract for each tenor.</w:t>
      </w:r>
    </w:p>
    <w:p>
      <w:pPr>
        <w:ind w:left="259" w:hanging="259"/>
      </w:pPr>
      <w:r>
        <w:t>7. Write current-date forecast variance and forecast volatility outputs.</w:t>
      </w:r>
    </w:p>
    <w:p>
      <w:pPr>
        <w:pStyle w:val="Heading2"/>
        <w:keepNext/>
      </w:pPr>
      <w:r>
        <w:t>4.2 Build current-date signal values</w:t>
      </w:r>
    </w:p>
    <w:p>
      <w:pPr>
        <w:ind w:left="259" w:hanging="259"/>
      </w:pPr>
      <w:r>
        <w:rPr>
          <w:b w:val="0"/>
        </w:rPr>
        <w:t xml:space="preserve">1. </w:t>
      </w:r>
      <w:r>
        <w:t>Join one positive implied-variance value to each tenor.</w:t>
      </w:r>
    </w:p>
    <w:p>
      <w:pPr>
        <w:ind w:left="259" w:hanging="259"/>
      </w:pPr>
      <w:r>
        <w:rPr>
          <w:b w:val="0"/>
        </w:rPr>
        <w:t xml:space="preserve">2. </w:t>
      </w:r>
      <w:r>
        <w:t>Compute model_vrp_log = ln(implied_variance / forecast_variance).</w:t>
      </w:r>
    </w:p>
    <w:p>
      <w:pPr>
        <w:ind w:left="259" w:hanging="259"/>
      </w:pPr>
      <w:r>
        <w:rPr>
          <w:b w:val="0"/>
        </w:rPr>
        <w:t xml:space="preserve">3. </w:t>
      </w:r>
      <w:r>
        <w:t>Compute z3m and z1y using prior history only, with the current value excluded from rolling moments.</w:t>
      </w:r>
    </w:p>
    <w:p>
      <w:pPr>
        <w:ind w:left="259" w:hanging="259"/>
      </w:pPr>
      <w:r>
        <w:rPr>
          <w:b w:val="0"/>
        </w:rPr>
        <w:t xml:space="preserve">4. </w:t>
      </w:r>
      <w:r>
        <w:t>Join repaired Wilder RSI14 and RV21D volatility percentage.</w:t>
      </w:r>
    </w:p>
    <w:p>
      <w:pPr>
        <w:pStyle w:val="Heading2"/>
        <w:keepNext/>
      </w:pPr>
      <w:r>
        <w:t>4.3 Qualify sleeves</w:t>
      </w:r>
    </w:p>
    <w:p>
      <w:r>
        <w:rPr>
          <w:i w:val="0"/>
        </w:rPr>
        <w:t>Evaluate the exact matrix below using strict operators. Core and Secondary are separate candidate sleeves; a date can have multiple qualifiers before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296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Layer</w:t>
            </w:r>
          </w:p>
        </w:tc>
        <w:tc>
          <w:tcPr>
            <w:tcW w:type="dxa" w:w="115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Bucket</w:t>
            </w:r>
          </w:p>
        </w:tc>
        <w:tc>
          <w:tcPr>
            <w:tcW w:type="dxa" w:w="115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DTE</w:t>
            </w:r>
          </w:p>
        </w:tc>
        <w:tc>
          <w:tcPr>
            <w:tcW w:type="dxa" w:w="108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VRP</w:t>
            </w:r>
          </w:p>
        </w:tc>
        <w:tc>
          <w:tcPr>
            <w:tcW w:type="dxa" w:w="1656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Both z-scores</w:t>
            </w:r>
          </w:p>
        </w:tc>
        <w:tc>
          <w:tcPr>
            <w:tcW w:type="dxa" w:w="108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RSI14</w:t>
            </w:r>
          </w:p>
        </w:tc>
        <w:tc>
          <w:tcPr>
            <w:tcW w:type="dxa" w:w="115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RV21D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Middle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21D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0.65</w:t>
            </w:r>
          </w:p>
        </w:tc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0.85000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69.00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8.0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Middle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24D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0.65</w:t>
            </w:r>
          </w:p>
        </w:tc>
        <w:tc>
          <w:tcPr>
            <w:tcW w:type="dxa" w:w="16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0.83125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68.75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8.0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27D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0.80</w:t>
            </w:r>
          </w:p>
        </w:tc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0.81250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68.50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7.0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30D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0.80</w:t>
            </w:r>
          </w:p>
        </w:tc>
        <w:tc>
          <w:tcPr>
            <w:tcW w:type="dxa" w:w="16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0.79375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68.25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7.0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33D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0.80</w:t>
            </w:r>
          </w:p>
        </w:tc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0.77500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68.00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7.0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Secondary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Front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12D,15D,18D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0.50</w:t>
            </w:r>
          </w:p>
        </w:tc>
        <w:tc>
          <w:tcPr>
            <w:tcW w:type="dxa" w:w="16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0.30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79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8.5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Secondary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Middle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21D,24D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0.55</w:t>
            </w:r>
          </w:p>
        </w:tc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0.25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76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7.0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Secondary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27D,30D,33D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0.70</w:t>
            </w:r>
          </w:p>
        </w:tc>
        <w:tc>
          <w:tcPr>
            <w:tcW w:type="dxa" w:w="16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0.05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72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5.5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Attach locked sizes and select the daily trade</w:t>
      </w:r>
    </w:p>
    <w:p>
      <w:pPr>
        <w:pStyle w:val="Heading2"/>
        <w:keepNext/>
      </w:pPr>
      <w:r>
        <w:t>5.1 Locked size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Sleeve</w:t>
            </w:r>
          </w:p>
        </w:tc>
        <w:tc>
          <w:tcPr>
            <w:tcW w:type="dxa" w:w="115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Size</w:t>
            </w:r>
          </w:p>
        </w:tc>
        <w:tc>
          <w:tcPr>
            <w:tcW w:type="dxa" w:w="252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Sleeve</w:t>
            </w:r>
          </w:p>
        </w:tc>
        <w:tc>
          <w:tcPr>
            <w:tcW w:type="dxa" w:w="115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Size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Core 21D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3.50%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12D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1.50%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Core 24D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4.50%</w:t>
            </w:r>
          </w:p>
        </w:tc>
        <w:tc>
          <w:tcPr>
            <w:tcW w:type="dxa" w:w="25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15D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Core 27D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4.50%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18D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2.50%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Core 30D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4.75%</w:t>
            </w:r>
          </w:p>
        </w:tc>
        <w:tc>
          <w:tcPr>
            <w:tcW w:type="dxa" w:w="25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21D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2.50%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Core 33D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4.25%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24D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2.75%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27D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3.25%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30D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3.50%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33D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3.25%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Selector</w:t>
      </w:r>
    </w:p>
    <w:p>
      <w:pPr>
        <w:ind w:left="259" w:hanging="259"/>
      </w:pPr>
      <w:r>
        <w:rPr>
          <w:b w:val="0"/>
        </w:rPr>
        <w:t xml:space="preserve">1. </w:t>
      </w:r>
      <w:r>
        <w:t>Highest locked size.</w:t>
      </w:r>
    </w:p>
    <w:p>
      <w:pPr>
        <w:ind w:left="259" w:hanging="259"/>
      </w:pPr>
      <w:r>
        <w:rPr>
          <w:b w:val="0"/>
        </w:rPr>
        <w:t xml:space="preserve">2. </w:t>
      </w:r>
      <w:r>
        <w:t>Core before Secondary on a size tie.</w:t>
      </w:r>
    </w:p>
    <w:p>
      <w:pPr>
        <w:ind w:left="259" w:hanging="259"/>
      </w:pPr>
      <w:r>
        <w:rPr>
          <w:b w:val="0"/>
        </w:rPr>
        <w:t xml:space="preserve">3. </w:t>
      </w:r>
      <w:r>
        <w:t>Higher locked continuous sleeve-quality score.</w:t>
      </w:r>
    </w:p>
    <w:p>
      <w:pPr>
        <w:ind w:left="259" w:hanging="259"/>
      </w:pPr>
      <w:r>
        <w:rPr>
          <w:b w:val="0"/>
        </w:rPr>
        <w:t xml:space="preserve">4. </w:t>
      </w:r>
      <w:r>
        <w:t>Higher locked research win rate.</w:t>
      </w:r>
    </w:p>
    <w:p>
      <w:pPr>
        <w:ind w:left="259" w:hanging="259"/>
      </w:pPr>
      <w:r>
        <w:rPr>
          <w:b w:val="0"/>
        </w:rPr>
        <w:t xml:space="preserve">5. </w:t>
      </w:r>
      <w:r>
        <w:t>Better locked research tail result.</w:t>
      </w:r>
    </w:p>
    <w:p>
      <w:pPr>
        <w:ind w:left="259" w:hanging="259"/>
      </w:pPr>
      <w:r>
        <w:rPr>
          <w:b w:val="0"/>
        </w:rPr>
        <w:t xml:space="preserve">6. </w:t>
      </w:r>
      <w:r>
        <w:t>Longer DTE.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1F4E79"/>
              </w:rPr>
              <w:t>Do not add signal-strength rewards</w:t>
              <w:br/>
            </w:r>
            <w:r>
              <w:rPr>
                <w:rFonts w:ascii="Arial" w:hAnsi="Arial"/>
              </w:rPr>
              <w:t>VRP and z excess are qualification information only. Do not prefer a sleeve merely because it is farther above its VRP or z threshold.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Construct the intended spread and target risk</w:t>
      </w:r>
    </w:p>
    <w:p>
      <w:pPr>
        <w:ind w:left="259" w:hanging="259"/>
      </w:pPr>
      <w:r>
        <w:rPr>
          <w:b w:val="0"/>
        </w:rPr>
        <w:t xml:space="preserve">1. </w:t>
      </w:r>
      <w:r>
        <w:t>Select the short put nearest to the current SPY close at a whole-dollar strike.</w:t>
      </w:r>
    </w:p>
    <w:p>
      <w:pPr>
        <w:ind w:left="259" w:hanging="259"/>
      </w:pPr>
      <w:r>
        <w:rPr>
          <w:b w:val="0"/>
        </w:rPr>
        <w:t xml:space="preserve">2. </w:t>
      </w:r>
      <w:r>
        <w:t>Compute the 2-standard-deviation long-strike target using the selected tenor VIX-style volatility and effective DTE.</w:t>
      </w:r>
    </w:p>
    <w:p>
      <w:pPr>
        <w:ind w:left="259" w:hanging="259"/>
      </w:pPr>
      <w:r>
        <w:rPr>
          <w:b w:val="0"/>
        </w:rPr>
        <w:t xml:space="preserve">3. </w:t>
      </w:r>
      <w:r>
        <w:t>Select the nearest listed whole-dollar long strike below the short; use the lower strike on an exact distance tie.</w:t>
      </w:r>
    </w:p>
    <w:p>
      <w:pPr>
        <w:ind w:left="259" w:hanging="259"/>
      </w:pPr>
      <w:r>
        <w:rPr>
          <w:b w:val="0"/>
        </w:rPr>
        <w:t xml:space="preserve">4. </w:t>
      </w:r>
      <w:r>
        <w:t>Price the short at bid and long at ask for the model entry credit.</w:t>
      </w:r>
    </w:p>
    <w:p>
      <w:pPr>
        <w:ind w:left="259" w:hanging="259"/>
      </w:pPr>
      <w:r>
        <w:rPr>
          <w:b w:val="0"/>
        </w:rPr>
        <w:t xml:space="preserve">5. </w:t>
      </w:r>
      <w:r>
        <w:t>Calculate spread width and target max-risk dollars = locked size x approved NAV.</w:t>
      </w:r>
    </w:p>
    <w:p>
      <w:pPr>
        <w:ind w:left="259" w:hanging="259"/>
      </w:pPr>
      <w:r>
        <w:rPr>
          <w:b w:val="0"/>
        </w:rPr>
        <w:t xml:space="preserve">6. </w:t>
      </w:r>
      <w:r>
        <w:t>Calculate fractional contracts = target max-risk dollars / (width x 100).</w:t>
      </w:r>
    </w:p>
    <w:p>
      <w:pPr>
        <w:ind w:left="259" w:hanging="259"/>
      </w:pPr>
      <w:r>
        <w:rPr>
          <w:b w:val="0"/>
        </w:rPr>
        <w:t xml:space="preserve">7. </w:t>
      </w:r>
      <w:r>
        <w:t>Apply the approved execution rounding control and verify actual max risk does not exceed the target without explicit approval.</w:t>
      </w:r>
    </w:p>
    <w:p>
      <w:pPr>
        <w:ind w:left="259" w:hanging="259"/>
      </w:pPr>
      <w:r>
        <w:rPr>
          <w:b w:val="0"/>
        </w:rPr>
        <w:t xml:space="preserve">8. </w:t>
      </w:r>
      <w:r>
        <w:t>Confirm the holiday-adjusted expiration and save all strike, price, DTE, size, and source fields.</w:t>
      </w:r>
    </w:p>
    <w:p>
      <w:pPr>
        <w:pStyle w:val="Heading1"/>
        <w:keepNext/>
      </w:pPr>
      <w:r>
        <w:t>7. Required daily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376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Output</w:t>
            </w:r>
          </w:p>
        </w:tc>
        <w:tc>
          <w:tcPr>
            <w:tcW w:type="dxa" w:w="720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Candidate panel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 13 sleeves, qualification flags, signal values, thresholds, margins, locked size, quality and tie-break fields.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Selected trade / no trade</w:t>
            </w:r>
          </w:p>
        </w:tc>
        <w:tc>
          <w:tcPr>
            <w:tcW w:type="dxa" w:w="720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selected row or an explicit no-qualifier record.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Execution handoff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Underlying, expiration, strikes, bid/ask, width, credit, target risk dollars, fractional contracts, and approved integer contracts.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Validation report</w:t>
            </w:r>
          </w:p>
        </w:tc>
        <w:tc>
          <w:tcPr>
            <w:tcW w:type="dxa" w:w="720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Row counts, missingness, uniqueness, strict-threshold contract, selector result, and source timestamps.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Archive manifest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Lock ID, source paths/hashes, creation timestamp, and output locations.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SOFR update manifest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Source, canonical path, latest observation, rows added or revised, first_changed_sofr_date, validation result, backup path, and audit location.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Daily validation and exception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456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612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Missing implied variance for any required tenor</w:t>
            </w:r>
          </w:p>
        </w:tc>
        <w:tc>
          <w:tcPr>
            <w:tcW w:type="dxa" w:w="61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Block production decision; repair or document approved exception.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Forecast source or feature row missing</w:t>
            </w:r>
          </w:p>
        </w:tc>
        <w:tc>
          <w:tcPr>
            <w:tcW w:type="dxa" w:w="61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Block affected sleeve and escalate; do not backfill ad hoc.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Duplicate date x tenor</w:t>
            </w:r>
          </w:p>
        </w:tc>
        <w:tc>
          <w:tcPr>
            <w:tcW w:type="dxa" w:w="61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Stop run and resolve source duplication.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z-score uses current value in rolling moments</w:t>
            </w:r>
          </w:p>
        </w:tc>
        <w:tc>
          <w:tcPr>
            <w:tcW w:type="dxa" w:w="61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Reject run as leakage.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More than one selected trade</w:t>
            </w:r>
          </w:p>
        </w:tc>
        <w:tc>
          <w:tcPr>
            <w:tcW w:type="dxa" w:w="61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Reject run; selector contract failed.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Selector depends on outcome/P&amp;L</w:t>
            </w:r>
          </w:p>
        </w:tc>
        <w:tc>
          <w:tcPr>
            <w:tcW w:type="dxa" w:w="61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Reject run immediately.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Portfolio overlay blocks trade</w:t>
            </w:r>
          </w:p>
        </w:tc>
        <w:tc>
          <w:tcPr>
            <w:tcW w:type="dxa" w:w="61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Record model recommendation and external block reason separately.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Actual execution differs from model strikes/price</w:t>
            </w:r>
          </w:p>
        </w:tc>
        <w:tc>
          <w:tcPr>
            <w:tcW w:type="dxa" w:w="61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Record slippage and execution difference; do not rewrite model output.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Expected SOFR observation missing</w:t>
            </w:r>
          </w:p>
        </w:tc>
        <w:tc>
          <w:tcPr>
            <w:tcW w:type="dxa" w:w="61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Block implied-variance publication and the production decision; repair the canonical cache before proceeding.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Historical SOFR revision detected</w:t>
            </w:r>
          </w:p>
        </w:tc>
        <w:tc>
          <w:tcPr>
            <w:tcW w:type="dxa" w:w="61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Recalculate implied variance and downstream signals beginning with the earliest revised observation.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End-of-day and periodic controls</w:t>
      </w:r>
    </w:p>
    <w:p>
      <w:pPr>
        <w:pStyle w:val="ListBullet"/>
      </w:pPr>
      <w:r>
        <w:t>Archive the model candidate panel, selection result, and source manifest every decision date.</w:t>
      </w:r>
    </w:p>
    <w:p>
      <w:pPr>
        <w:pStyle w:val="ListBullet"/>
      </w:pPr>
      <w:r>
        <w:t>Track actual execution separately from model bid/ask assumptions.</w:t>
      </w:r>
    </w:p>
    <w:p>
      <w:pPr>
        <w:pStyle w:val="ListBullet"/>
      </w:pPr>
      <w:r>
        <w:t>Reconcile held-to-expiration outcomes to the universal spread methodology.</w:t>
      </w:r>
    </w:p>
    <w:p>
      <w:pPr>
        <w:pStyle w:val="ListBullet"/>
      </w:pPr>
      <w:r>
        <w:t>Review missing dates, source revisions, and schema changes at least monthly.</w:t>
      </w:r>
    </w:p>
    <w:p>
      <w:pPr>
        <w:pStyle w:val="ListBullet"/>
      </w:pPr>
      <w:r>
        <w:t>Review FRED SOFR revisions and confirm that affected implied-variance and signal dates were rebuilt from the earliest changed observation.</w:t>
      </w:r>
    </w:p>
    <w:p>
      <w:pPr>
        <w:pStyle w:val="ListBullet"/>
      </w:pPr>
      <w:r>
        <w:t>Do not recalibrate thresholds, sizes, or tie-break scores from new observations without a new versioned research and lock process.</w:t>
      </w:r>
    </w:p>
    <w:p>
      <w:pPr>
        <w:pStyle w:val="ListBullet"/>
      </w:pPr>
      <w:r>
        <w:t>Portfolio overlap, rolling max-risk, and stress limits should be monitored by the external portfolio-control layer.</w:t>
      </w:r>
    </w:p>
    <w:p>
      <w:pPr>
        <w:pStyle w:val="Heading1"/>
        <w:keepNext/>
      </w:pPr>
      <w:r>
        <w:t>10. Operational implementation patch 1.0.10</w:t>
      </w:r>
    </w:p>
    <w:p>
      <w:pPr/>
      <w:r>
        <w:t>The EOD pipeline now refreshes the exact canonical FRED SOFR cache before implied variance, records first_changed_sofr_date, and recalculates every affected implied-variance date x tenor row before downstream publication. SOFR health is evaluated against the latest observation expected to be published by the prior completed XNYS session rather than an arbitrary calendar-age threshold. The --recalc-start option is reserved for controlled incident recovery; normal runs rely on automatic SOFR lineage.</w:t>
      </w:r>
    </w:p>
    <w:p>
      <w:pPr>
        <w:pStyle w:val="Heading1"/>
        <w:keepNext/>
      </w:pPr>
      <w:r>
        <w:t>11. Release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04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Artifact</w:t>
            </w:r>
          </w:p>
        </w:tc>
        <w:tc>
          <w:tcPr>
            <w:tcW w:type="dxa" w:w="4608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VRP_Corsi_Intraday_Hybrid_v2_Model_Lock.docx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authoritative methodology and change-control specification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vrp_corsi_intraday_hybrid_v2_lock.json</w:t>
            </w:r>
          </w:p>
        </w:tc>
        <w:tc>
          <w:tcPr>
            <w:tcW w:type="dxa" w:w="4608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 machine-readable lock and evidence metadata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vrp_corsi_intraday_hybrid_v2_production_config.json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compact production parameters and selector contract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VRP_Corsi_Intraday_Hybrid_v2_Release_Notes.txt</w:t>
            </w:r>
          </w:p>
        </w:tc>
        <w:tc>
          <w:tcPr>
            <w:tcW w:type="dxa" w:w="4608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v1-to-v2 changes and decision summary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VRP_Corsi_Intraday_Hybrid_v2_Reproduction_Package.zip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documents, configurations, scripts, evidence, and checksums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vrp_sofr_eod_update_v1.py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validated canonical FRED SOFR refresh, revision lineage, backup, and audit manifest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1F4E79"/>
              </w:rPr>
              <w:t>Lock rule</w:t>
              <w:br/>
            </w:r>
            <w:r>
              <w:rPr>
                <w:rFonts w:ascii="Arial" w:hAnsi="Arial"/>
              </w:rPr>
              <w:t>When this runbook conflicts with the formal model-lock document, the formal model-lock document governs interpretation. Exact numeric parameters are duplicated in the production configuration JSON for automated use.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404040"/>
        <w:sz w:val="16"/>
      </w:rPr>
      <w:t>VRP Trades | Hybrid v2 Production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0404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