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4"/>
        </w:rPr>
        <w:t>Corsi / HAR-Downside Forecast Model</w:t>
      </w:r>
    </w:p>
    <w:p>
      <w:pPr>
        <w:jc w:val="center"/>
      </w:pPr>
      <w:r>
        <w:rPr>
          <w:color w:val="5A5A5A"/>
          <w:sz w:val="24"/>
        </w:rPr>
        <w:t>Methodology, Data Lineage, Reproduction Guide, and 30D Backtest Record</w:t>
      </w:r>
    </w:p>
    <w:p/>
    <w:tbl>
      <w:tblPr>
        <w:tblStyle w:val="TableGrid"/>
        <w:tblW w:type="auto" w:w="0"/>
        <w:jc w:val="center"/>
        <w:tblLook w:firstColumn="1" w:firstRow="1" w:lastColumn="0" w:lastRow="0" w:noHBand="0" w:noVBand="1" w:val="04A0"/>
      </w:tblPr>
      <w:tblGrid>
        <w:gridCol w:w="5328"/>
        <w:gridCol w:w="5328"/>
      </w:tblGrid>
      <w:tr>
        <w:tc>
          <w:tcPr>
            <w:tcW w:type="dxa" w:w="2592"/>
            <w:vAlign w:val="top"/>
            <w:shd w:fill="D9EAF7"/>
          </w:tcPr>
          <w:p>
            <w:r/>
            <w:r>
              <w:rPr>
                <w:rFonts w:ascii="Aptos" w:hAnsi="Aptos"/>
                <w:b/>
                <w:sz w:val="17"/>
              </w:rPr>
              <w:t>Item</w:t>
            </w:r>
          </w:p>
        </w:tc>
        <w:tc>
          <w:tcPr>
            <w:tcW w:type="dxa" w:w="8496"/>
            <w:vAlign w:val="top"/>
            <w:shd w:fill="D9EAF7"/>
          </w:tcPr>
          <w:p>
            <w:r/>
            <w:r>
              <w:rPr>
                <w:rFonts w:ascii="Aptos" w:hAnsi="Aptos"/>
                <w:b/>
                <w:sz w:val="17"/>
              </w:rPr>
              <w:t>Value</w:t>
            </w:r>
          </w:p>
        </w:tc>
      </w:tr>
      <w:tr>
        <w:tc>
          <w:tcPr>
            <w:tcW w:type="dxa" w:w="2592"/>
            <w:vAlign w:val="top"/>
          </w:tcPr>
          <w:p>
            <w:r/>
            <w:r>
              <w:rPr>
                <w:rFonts w:ascii="Aptos" w:hAnsi="Aptos"/>
                <w:b w:val="0"/>
                <w:sz w:val="17"/>
              </w:rPr>
              <w:t>Project root</w:t>
            </w:r>
          </w:p>
        </w:tc>
        <w:tc>
          <w:tcPr>
            <w:tcW w:type="dxa" w:w="8496"/>
            <w:vAlign w:val="top"/>
          </w:tcPr>
          <w:p>
            <w:r/>
            <w:r>
              <w:rPr>
                <w:rFonts w:ascii="Aptos" w:hAnsi="Aptos"/>
                <w:b w:val="0"/>
                <w:sz w:val="17"/>
              </w:rPr>
              <w:t>C:\Users\patri\vrp_project</w:t>
            </w:r>
          </w:p>
        </w:tc>
      </w:tr>
      <w:tr>
        <w:tc>
          <w:tcPr>
            <w:tcW w:type="dxa" w:w="2592"/>
            <w:vAlign w:val="top"/>
          </w:tcPr>
          <w:p>
            <w:r/>
            <w:r>
              <w:rPr>
                <w:rFonts w:ascii="Aptos" w:hAnsi="Aptos"/>
                <w:b w:val="0"/>
                <w:sz w:val="17"/>
              </w:rPr>
              <w:t>Model branch</w:t>
            </w:r>
          </w:p>
        </w:tc>
        <w:tc>
          <w:tcPr>
            <w:tcW w:type="dxa" w:w="8496"/>
            <w:vAlign w:val="top"/>
          </w:tcPr>
          <w:p>
            <w:r/>
            <w:r>
              <w:rPr>
                <w:rFonts w:ascii="Aptos" w:hAnsi="Aptos"/>
                <w:b w:val="0"/>
                <w:sz w:val="17"/>
              </w:rPr>
              <w:t>Current cross-tenor har_downside_v1 denominator / Core bucket research branch</w:t>
            </w:r>
          </w:p>
        </w:tc>
      </w:tr>
      <w:tr>
        <w:tc>
          <w:tcPr>
            <w:tcW w:type="dxa" w:w="2592"/>
            <w:vAlign w:val="top"/>
          </w:tcPr>
          <w:p>
            <w:r/>
            <w:r>
              <w:rPr>
                <w:rFonts w:ascii="Aptos" w:hAnsi="Aptos"/>
                <w:b w:val="0"/>
                <w:sz w:val="17"/>
              </w:rPr>
              <w:t>Document generated</w:t>
            </w:r>
          </w:p>
        </w:tc>
        <w:tc>
          <w:tcPr>
            <w:tcW w:type="dxa" w:w="8496"/>
            <w:vAlign w:val="top"/>
          </w:tcPr>
          <w:p>
            <w:r/>
            <w:r>
              <w:rPr>
                <w:rFonts w:ascii="Aptos" w:hAnsi="Aptos"/>
                <w:b w:val="0"/>
                <w:sz w:val="17"/>
              </w:rPr>
              <w:t>2026-07-04 22:20:38</w:t>
            </w:r>
          </w:p>
        </w:tc>
      </w:tr>
      <w:tr>
        <w:tc>
          <w:tcPr>
            <w:tcW w:type="dxa" w:w="2592"/>
            <w:vAlign w:val="top"/>
          </w:tcPr>
          <w:p>
            <w:r/>
            <w:r>
              <w:rPr>
                <w:rFonts w:ascii="Aptos" w:hAnsi="Aptos"/>
                <w:b w:val="0"/>
                <w:sz w:val="17"/>
              </w:rPr>
              <w:t>Latest cross-tenor denominator panel</w:t>
            </w:r>
          </w:p>
        </w:tc>
        <w:tc>
          <w:tcPr>
            <w:tcW w:type="dxa" w:w="8496"/>
            <w:vAlign w:val="top"/>
          </w:tcPr>
          <w:p>
            <w:r/>
            <w:r>
              <w:rPr>
                <w:rFonts w:ascii="Aptos" w:hAnsi="Aptos"/>
                <w:b w:val="0"/>
                <w:sz w:val="17"/>
              </w:rPr>
              <w:t>data\processed\vrp_core_bucket_parameters_v1\02B_cross_tenor_har_downside_denominator_panel_20180924_20260701_20260704_180151.parquet</w:t>
            </w:r>
          </w:p>
        </w:tc>
      </w:tr>
      <w:tr>
        <w:tc>
          <w:tcPr>
            <w:tcW w:type="dxa" w:w="2592"/>
            <w:vAlign w:val="top"/>
          </w:tcPr>
          <w:p>
            <w:r/>
            <w:r>
              <w:rPr>
                <w:rFonts w:ascii="Aptos" w:hAnsi="Aptos"/>
                <w:b w:val="0"/>
                <w:sz w:val="17"/>
              </w:rPr>
              <w:t>Latest signal base panel</w:t>
            </w:r>
          </w:p>
        </w:tc>
        <w:tc>
          <w:tcPr>
            <w:tcW w:type="dxa" w:w="8496"/>
            <w:vAlign w:val="top"/>
          </w:tcPr>
          <w:p>
            <w:r/>
            <w:r>
              <w:rPr>
                <w:rFonts w:ascii="Aptos" w:hAnsi="Aptos"/>
                <w:b w:val="0"/>
                <w:sz w:val="17"/>
              </w:rPr>
              <w:t>data\processed\vrp_core_bucket_parameters_v1\02C_cross_tenor_core_signal_base_panel_20180924_20260701_20260704_181305.parquet</w:t>
            </w:r>
          </w:p>
        </w:tc>
      </w:tr>
    </w:tbl>
    <w:p/>
    <w:p>
      <w:pPr>
        <w:jc w:val="center"/>
      </w:pPr>
      <w:r>
        <w:rPr>
          <w:i/>
          <w:sz w:val="20"/>
        </w:rPr>
        <w:t>Purpose: enable another analyst or developer to reproduce the model and understand every input, transformation, validation, and performance result used to lock the 30D/Core Back denominator.</w:t>
      </w:r>
    </w:p>
    <w:p>
      <w:r>
        <w:br w:type="page"/>
      </w:r>
    </w:p>
    <w:p>
      <w:pPr>
        <w:pStyle w:val="Heading1"/>
      </w:pPr>
      <w:r>
        <w:t>1. Executive summary</w:t>
      </w:r>
    </w:p>
    <w:p>
      <w:r>
        <w:t>This document describes the current reproducible Corsi-model pipeline used in the VRP trades project. In the current branch, “Corsi model” refers to the forecast-denominator pipeline that predicts forward Corsi-style realized variance across the fixed 9-tenor grid. The locked 30D denominator is named har_downside_v1. It is a StandardScaler + Ridge model using a locked set of realized-volatility and downside-realized-volatility features. The model output is used as the denominator in model-based VRP: log(implied_variance / forecast_variance).</w:t>
      </w:r>
    </w:p>
    <w:p>
      <w:pPr>
        <w:pStyle w:val="ListBullet"/>
      </w:pPr>
      <w:r>
        <w:t>The exact tenor grid is 9, 12, 15, 18, 21, 24, 27, 30, and 33 DTE.</w:t>
      </w:r>
    </w:p>
    <w:p>
      <w:pPr>
        <w:pStyle w:val="ListBullet"/>
      </w:pPr>
      <w:r>
        <w:t>Tenor buckets are Front = 9/12/15, Middle = 18/21/24, and Back = 27/30/33.</w:t>
      </w:r>
    </w:p>
    <w:p>
      <w:pPr>
        <w:pStyle w:val="ListBullet"/>
      </w:pPr>
      <w:r>
        <w:t>The forecast model uses only realized-price-derived inputs; implied volatility, VRP, z-scores, RSI, actual DTE, outcome, and P&amp;L are forbidden as forecast-model features.</w:t>
      </w:r>
    </w:p>
    <w:p>
      <w:pPr>
        <w:pStyle w:val="ListBullet"/>
      </w:pPr>
      <w:r>
        <w:t>Model fitting is expanding walk-forward by calendar year, with last_forward_rv_date used as the leakage guard.</w:t>
      </w:r>
    </w:p>
    <w:p>
      <w:pPr>
        <w:pStyle w:val="ListBullet"/>
      </w:pPr>
      <w:r>
        <w:t>The locked 30D/Core Back threshold set is model_vrp_log &gt; 0.70, model_vrp_z_3m &gt; 0.70, model_vrp_z_1y &gt; 0.70, RSI14 &lt; 70, and forecast_vol_pct &gt; 8.5.</w:t>
      </w:r>
    </w:p>
    <w:p>
      <w:pPr>
        <w:pStyle w:val="ListBullet"/>
      </w:pPr>
      <w:r>
        <w:t>Core Back is frozen. Future cells research Core Front first, then Core Middle constrained between Front and Back.</w:t>
      </w:r>
    </w:p>
    <w:p>
      <w:pPr>
        <w:pStyle w:val="Heading1"/>
      </w:pPr>
      <w:r>
        <w:t>2. High-level lineage</w:t>
      </w:r>
    </w:p>
    <w:p>
      <w:r>
        <w:t>The full data path is:</w:t>
      </w:r>
    </w:p>
    <w:p>
      <w:pPr>
        <w:pStyle w:val="CodeBlock"/>
      </w:pPr>
      <w:r>
        <w:rPr>
          <w:rFonts w:ascii="Consolas" w:hAnsi="Consolas"/>
          <w:sz w:val="17"/>
        </w:rPr>
        <w:t>ThetaData SPX option chains + SOFR + SPX closes</w:t>
        <w:br/>
        <w:t xml:space="preserve">    -&gt; VIX-style implied variance term structure</w:t>
        <w:br/>
        <w:t xml:space="preserve">    -&gt; Corsi forward realized variance targets</w:t>
        <w:br/>
        <w:t xml:space="preserve">    -&gt; locked date-level realized/downside features</w:t>
        <w:br/>
        <w:t xml:space="preserve">    -&gt; cross-tenor har_downside_v1 forecast denominator</w:t>
        <w:br/>
        <w:t xml:space="preserve">    -&gt; model VRP and prior-only z-scores</w:t>
        <w:br/>
        <w:t xml:space="preserve">    -&gt; Core signal base panel with RSI and outcome fields</w:t>
        <w:br/>
        <w:t xml:space="preserve">    -&gt; parameter research and backtest evaluation</w:t>
      </w:r>
    </w:p>
    <w:p>
      <w:r>
        <w:br w:type="page"/>
      </w:r>
    </w:p>
    <w:p>
      <w:pPr>
        <w:pStyle w:val="Heading1"/>
      </w:pPr>
      <w:r>
        <w:t>3. Canonical source and output files</w:t>
      </w:r>
    </w:p>
    <w:tbl>
      <w:tblPr>
        <w:tblStyle w:val="TableGrid"/>
        <w:tblW w:type="auto" w:w="0"/>
        <w:jc w:val="center"/>
        <w:tblLook w:firstColumn="1" w:firstRow="1" w:lastColumn="0" w:lastRow="0" w:noHBand="0" w:noVBand="1" w:val="04A0"/>
      </w:tblPr>
      <w:tblGrid>
        <w:gridCol w:w="3552"/>
        <w:gridCol w:w="3552"/>
        <w:gridCol w:w="3552"/>
      </w:tblGrid>
      <w:tr>
        <w:tc>
          <w:tcPr>
            <w:tcW w:type="dxa" w:w="1944"/>
            <w:vAlign w:val="top"/>
            <w:shd w:fill="D9EAF7"/>
          </w:tcPr>
          <w:p>
            <w:r/>
            <w:r>
              <w:rPr>
                <w:rFonts w:ascii="Aptos" w:hAnsi="Aptos"/>
                <w:b/>
                <w:sz w:val="14"/>
              </w:rPr>
              <w:t>Stage</w:t>
            </w:r>
          </w:p>
        </w:tc>
        <w:tc>
          <w:tcPr>
            <w:tcW w:type="dxa" w:w="4464"/>
            <w:vAlign w:val="top"/>
            <w:shd w:fill="D9EAF7"/>
          </w:tcPr>
          <w:p>
            <w:r/>
            <w:r>
              <w:rPr>
                <w:rFonts w:ascii="Aptos" w:hAnsi="Aptos"/>
                <w:b/>
                <w:sz w:val="14"/>
              </w:rPr>
              <w:t>Path</w:t>
            </w:r>
          </w:p>
        </w:tc>
        <w:tc>
          <w:tcPr>
            <w:tcW w:type="dxa" w:w="4680"/>
            <w:vAlign w:val="top"/>
            <w:shd w:fill="D9EAF7"/>
          </w:tcPr>
          <w:p>
            <w:r/>
            <w:r>
              <w:rPr>
                <w:rFonts w:ascii="Aptos" w:hAnsi="Aptos"/>
                <w:b/>
                <w:sz w:val="14"/>
              </w:rPr>
              <w:t>Role</w:t>
            </w:r>
          </w:p>
        </w:tc>
      </w:tr>
      <w:tr>
        <w:tc>
          <w:tcPr>
            <w:tcW w:type="dxa" w:w="1944"/>
            <w:vAlign w:val="top"/>
          </w:tcPr>
          <w:p>
            <w:r/>
            <w:r>
              <w:rPr>
                <w:rFonts w:ascii="Aptos" w:hAnsi="Aptos"/>
                <w:b w:val="0"/>
                <w:sz w:val="14"/>
              </w:rPr>
              <w:t>Raw option chains</w:t>
            </w:r>
          </w:p>
        </w:tc>
        <w:tc>
          <w:tcPr>
            <w:tcW w:type="dxa" w:w="4464"/>
            <w:vAlign w:val="top"/>
          </w:tcPr>
          <w:p>
            <w:r/>
            <w:r>
              <w:rPr>
                <w:rFonts w:ascii="Aptos" w:hAnsi="Aptos"/>
                <w:b w:val="0"/>
                <w:sz w:val="14"/>
              </w:rPr>
              <w:t>data\raw\thetadata_chains\{ROOT}_{TRADE_DATE}_{EXPIRATION}_{QUOTE_TIME}.pkl</w:t>
            </w:r>
          </w:p>
        </w:tc>
        <w:tc>
          <w:tcPr>
            <w:tcW w:type="dxa" w:w="4680"/>
            <w:vAlign w:val="top"/>
          </w:tcPr>
          <w:p>
            <w:r/>
            <w:r>
              <w:rPr>
                <w:rFonts w:ascii="Aptos" w:hAnsi="Aptos"/>
                <w:b w:val="0"/>
                <w:sz w:val="14"/>
              </w:rPr>
              <w:t>SPX option-chain cache by root/date/expiration/quote time. Used upstream to build VIX-style implied variance.</w:t>
            </w:r>
          </w:p>
        </w:tc>
      </w:tr>
      <w:tr>
        <w:tc>
          <w:tcPr>
            <w:tcW w:type="dxa" w:w="1944"/>
            <w:vAlign w:val="top"/>
          </w:tcPr>
          <w:p>
            <w:r/>
            <w:r>
              <w:rPr>
                <w:rFonts w:ascii="Aptos" w:hAnsi="Aptos"/>
                <w:b w:val="0"/>
                <w:sz w:val="14"/>
              </w:rPr>
              <w:t>SOFR history</w:t>
            </w:r>
          </w:p>
        </w:tc>
        <w:tc>
          <w:tcPr>
            <w:tcW w:type="dxa" w:w="4464"/>
            <w:vAlign w:val="top"/>
          </w:tcPr>
          <w:p>
            <w:r/>
            <w:r>
              <w:rPr>
                <w:rFonts w:ascii="Aptos" w:hAnsi="Aptos"/>
                <w:b w:val="0"/>
                <w:sz w:val="14"/>
              </w:rPr>
              <w:t>data\external\sofr_daily.parquet or equivalent external source</w:t>
            </w:r>
          </w:p>
        </w:tc>
        <w:tc>
          <w:tcPr>
            <w:tcW w:type="dxa" w:w="4680"/>
            <w:vAlign w:val="top"/>
          </w:tcPr>
          <w:p>
            <w:r/>
            <w:r>
              <w:rPr>
                <w:rFonts w:ascii="Aptos" w:hAnsi="Aptos"/>
                <w:b w:val="0"/>
                <w:sz w:val="14"/>
              </w:rPr>
              <w:t>Risk-free rate input for VIX-style variance construction. Convert percent to decimal and carry forward latest valid observation.</w:t>
            </w:r>
          </w:p>
        </w:tc>
      </w:tr>
      <w:tr>
        <w:tc>
          <w:tcPr>
            <w:tcW w:type="dxa" w:w="1944"/>
            <w:vAlign w:val="top"/>
          </w:tcPr>
          <w:p>
            <w:r/>
            <w:r>
              <w:rPr>
                <w:rFonts w:ascii="Aptos" w:hAnsi="Aptos"/>
                <w:b w:val="0"/>
                <w:sz w:val="14"/>
              </w:rPr>
              <w:t>SPX close history</w:t>
            </w:r>
          </w:p>
        </w:tc>
        <w:tc>
          <w:tcPr>
            <w:tcW w:type="dxa" w:w="4464"/>
            <w:vAlign w:val="top"/>
          </w:tcPr>
          <w:p>
            <w:r/>
            <w:r>
              <w:rPr>
                <w:rFonts w:ascii="Aptos" w:hAnsi="Aptos"/>
                <w:b w:val="0"/>
                <w:sz w:val="14"/>
              </w:rPr>
              <w:t>data\external\spx_daily.parquet or equivalent SPX daily close file</w:t>
            </w:r>
          </w:p>
        </w:tc>
        <w:tc>
          <w:tcPr>
            <w:tcW w:type="dxa" w:w="4680"/>
            <w:vAlign w:val="top"/>
          </w:tcPr>
          <w:p>
            <w:r/>
            <w:r>
              <w:rPr>
                <w:rFonts w:ascii="Aptos" w:hAnsi="Aptos"/>
                <w:b w:val="0"/>
                <w:sz w:val="14"/>
              </w:rPr>
              <w:t>SPX official close history for log returns, realized-volatility features, RSI, and forward target construction.</w:t>
            </w:r>
          </w:p>
        </w:tc>
      </w:tr>
      <w:tr>
        <w:tc>
          <w:tcPr>
            <w:tcW w:type="dxa" w:w="1944"/>
            <w:vAlign w:val="top"/>
          </w:tcPr>
          <w:p>
            <w:r/>
            <w:r>
              <w:rPr>
                <w:rFonts w:ascii="Aptos" w:hAnsi="Aptos"/>
                <w:b w:val="0"/>
                <w:sz w:val="14"/>
              </w:rPr>
              <w:t>VIX-style term structure</w:t>
            </w:r>
          </w:p>
        </w:tc>
        <w:tc>
          <w:tcPr>
            <w:tcW w:type="dxa" w:w="4464"/>
            <w:vAlign w:val="top"/>
          </w:tcPr>
          <w:p>
            <w:r/>
            <w:r>
              <w:rPr>
                <w:rFonts w:ascii="Aptos" w:hAnsi="Aptos"/>
                <w:b w:val="0"/>
                <w:sz w:val="14"/>
              </w:rPr>
              <w:t>data\processed\forecast_model_corsi_v1\corsi_model_feature_panel_v1_20180625_20260702_utp_cta_20260703_211350.parquet</w:t>
            </w:r>
          </w:p>
        </w:tc>
        <w:tc>
          <w:tcPr>
            <w:tcW w:type="dxa" w:w="4680"/>
            <w:vAlign w:val="top"/>
          </w:tcPr>
          <w:p>
            <w:r/>
            <w:r>
              <w:rPr>
                <w:rFonts w:ascii="Aptos" w:hAnsi="Aptos"/>
                <w:b w:val="0"/>
                <w:sz w:val="14"/>
              </w:rPr>
              <w:t>Cross-tenor implied_variance and vix_style_vol context across the 9-tenor grid.</w:t>
            </w:r>
          </w:p>
        </w:tc>
      </w:tr>
      <w:tr>
        <w:tc>
          <w:tcPr>
            <w:tcW w:type="dxa" w:w="1944"/>
            <w:vAlign w:val="top"/>
          </w:tcPr>
          <w:p>
            <w:r/>
            <w:r>
              <w:rPr>
                <w:rFonts w:ascii="Aptos" w:hAnsi="Aptos"/>
                <w:b w:val="0"/>
                <w:sz w:val="14"/>
              </w:rPr>
              <w:t>Cross-tenor target source</w:t>
            </w:r>
          </w:p>
        </w:tc>
        <w:tc>
          <w:tcPr>
            <w:tcW w:type="dxa" w:w="4464"/>
            <w:vAlign w:val="top"/>
          </w:tcPr>
          <w:p>
            <w:r/>
            <w:r>
              <w:rPr>
                <w:rFonts w:ascii="Aptos" w:hAnsi="Aptos"/>
                <w:b w:val="0"/>
                <w:sz w:val="14"/>
              </w:rPr>
              <w:t>data\processed\forecast_model_corsi_v1\corsi_forward_realized_variance_targets_v1_20180625_20260702_utp_cta_20260703_211350.parquet</w:t>
            </w:r>
          </w:p>
        </w:tc>
        <w:tc>
          <w:tcPr>
            <w:tcW w:type="dxa" w:w="4680"/>
            <w:vAlign w:val="top"/>
          </w:tcPr>
          <w:p>
            <w:r/>
            <w:r>
              <w:rPr>
                <w:rFonts w:ascii="Aptos" w:hAnsi="Aptos"/>
                <w:b w:val="0"/>
                <w:sz w:val="14"/>
              </w:rPr>
              <w:t>Forward Corsi realized-variance target source with last_forward_rv_date leakage guard.</w:t>
            </w:r>
          </w:p>
        </w:tc>
      </w:tr>
      <w:tr>
        <w:tc>
          <w:tcPr>
            <w:tcW w:type="dxa" w:w="1944"/>
            <w:vAlign w:val="top"/>
          </w:tcPr>
          <w:p>
            <w:r/>
            <w:r>
              <w:rPr>
                <w:rFonts w:ascii="Aptos" w:hAnsi="Aptos"/>
                <w:b w:val="0"/>
                <w:sz w:val="14"/>
              </w:rPr>
              <w:t>Locked 30D feature source</w:t>
            </w:r>
          </w:p>
        </w:tc>
        <w:tc>
          <w:tcPr>
            <w:tcW w:type="dxa" w:w="4464"/>
            <w:vAlign w:val="top"/>
          </w:tcPr>
          <w:p>
            <w:r/>
            <w:r>
              <w:rPr>
                <w:rFonts w:ascii="Aptos" w:hAnsi="Aptos"/>
                <w:b w:val="0"/>
                <w:sz w:val="14"/>
              </w:rPr>
              <w:t>data\processed\vrp_30d_corsi_v1\02B_30d_corsi_extended_feature_target_panel_20180625_20260702_20260704_130914.parquet</w:t>
            </w:r>
          </w:p>
        </w:tc>
        <w:tc>
          <w:tcPr>
            <w:tcW w:type="dxa" w:w="4680"/>
            <w:vAlign w:val="top"/>
          </w:tcPr>
          <w:p>
            <w:r/>
            <w:r>
              <w:rPr>
                <w:rFonts w:ascii="Aptos" w:hAnsi="Aptos"/>
                <w:b w:val="0"/>
                <w:sz w:val="14"/>
              </w:rPr>
              <w:t>Date-level realized/downside features used exactly for har_downside_v1.</w:t>
            </w:r>
          </w:p>
        </w:tc>
      </w:tr>
      <w:tr>
        <w:tc>
          <w:tcPr>
            <w:tcW w:type="dxa" w:w="1944"/>
            <w:vAlign w:val="top"/>
          </w:tcPr>
          <w:p>
            <w:r/>
            <w:r>
              <w:rPr>
                <w:rFonts w:ascii="Aptos" w:hAnsi="Aptos"/>
                <w:b w:val="0"/>
                <w:sz w:val="14"/>
              </w:rPr>
              <w:t>Cell 2B denominator output</w:t>
            </w:r>
          </w:p>
        </w:tc>
        <w:tc>
          <w:tcPr>
            <w:tcW w:type="dxa" w:w="4464"/>
            <w:vAlign w:val="top"/>
          </w:tcPr>
          <w:p>
            <w:r/>
            <w:r>
              <w:rPr>
                <w:rFonts w:ascii="Aptos" w:hAnsi="Aptos"/>
                <w:b w:val="0"/>
                <w:sz w:val="14"/>
              </w:rPr>
              <w:t>data\processed\vrp_core_bucket_parameters_v1\02B_cross_tenor_har_downside_denominator_panel_20180924_20260701_20260704_180151.parquet</w:t>
            </w:r>
          </w:p>
        </w:tc>
        <w:tc>
          <w:tcPr>
            <w:tcW w:type="dxa" w:w="4680"/>
            <w:vAlign w:val="top"/>
          </w:tcPr>
          <w:p>
            <w:r/>
            <w:r>
              <w:rPr>
                <w:rFonts w:ascii="Aptos" w:hAnsi="Aptos"/>
                <w:b w:val="0"/>
                <w:sz w:val="14"/>
              </w:rPr>
              <w:t>Cross-tenor OOS har_downside_v1 forecast denominator panel.</w:t>
            </w:r>
          </w:p>
        </w:tc>
      </w:tr>
      <w:tr>
        <w:tc>
          <w:tcPr>
            <w:tcW w:type="dxa" w:w="1944"/>
            <w:vAlign w:val="top"/>
          </w:tcPr>
          <w:p>
            <w:r/>
            <w:r>
              <w:rPr>
                <w:rFonts w:ascii="Aptos" w:hAnsi="Aptos"/>
                <w:b w:val="0"/>
                <w:sz w:val="14"/>
              </w:rPr>
              <w:t>Cell 2C signal base output</w:t>
            </w:r>
          </w:p>
        </w:tc>
        <w:tc>
          <w:tcPr>
            <w:tcW w:type="dxa" w:w="4464"/>
            <w:vAlign w:val="top"/>
          </w:tcPr>
          <w:p>
            <w:r/>
            <w:r>
              <w:rPr>
                <w:rFonts w:ascii="Aptos" w:hAnsi="Aptos"/>
                <w:b w:val="0"/>
                <w:sz w:val="14"/>
              </w:rPr>
              <w:t>data\processed\vrp_core_bucket_parameters_v1\02C_cross_tenor_core_signal_base_panel_20180924_20260701_20260704_181305.parquet</w:t>
            </w:r>
          </w:p>
        </w:tc>
        <w:tc>
          <w:tcPr>
            <w:tcW w:type="dxa" w:w="4680"/>
            <w:vAlign w:val="top"/>
          </w:tcPr>
          <w:p>
            <w:r/>
            <w:r>
              <w:rPr>
                <w:rFonts w:ascii="Aptos" w:hAnsi="Aptos"/>
                <w:b w:val="0"/>
                <w:sz w:val="14"/>
              </w:rPr>
              <w:t>Research-ready date x tenor Core signal base with VRP, z-scores, RSI, outcomes, and actual DTE.</w:t>
            </w:r>
          </w:p>
        </w:tc>
      </w:tr>
      <w:tr>
        <w:tc>
          <w:tcPr>
            <w:tcW w:type="dxa" w:w="1944"/>
            <w:vAlign w:val="top"/>
          </w:tcPr>
          <w:p>
            <w:r/>
            <w:r>
              <w:rPr>
                <w:rFonts w:ascii="Aptos" w:hAnsi="Aptos"/>
                <w:b w:val="0"/>
                <w:sz w:val="14"/>
              </w:rPr>
              <w:t>Outcome source</w:t>
            </w:r>
          </w:p>
        </w:tc>
        <w:tc>
          <w:tcPr>
            <w:tcW w:type="dxa" w:w="4464"/>
            <w:vAlign w:val="top"/>
          </w:tcPr>
          <w:p>
            <w:r/>
            <w:r>
              <w:rPr>
                <w:rFonts w:ascii="Aptos" w:hAnsi="Aptos"/>
                <w:b w:val="0"/>
                <w:sz w:val="14"/>
              </w:rPr>
              <w:t>data\processed\old\put_candidate_universe_pricing_v0_1.parquet</w:t>
            </w:r>
          </w:p>
        </w:tc>
        <w:tc>
          <w:tcPr>
            <w:tcW w:type="dxa" w:w="4680"/>
            <w:vAlign w:val="top"/>
          </w:tcPr>
          <w:p>
            <w:r/>
            <w:r>
              <w:rPr>
                <w:rFonts w:ascii="Aptos" w:hAnsi="Aptos"/>
                <w:b w:val="0"/>
                <w:sz w:val="14"/>
              </w:rPr>
              <w:t>Candidate put pricing/outcome source joined in Cell 2C for actual_dte, win, normalized P&amp;L, strike, expiry, and credit fields.</w:t>
            </w:r>
          </w:p>
        </w:tc>
      </w:tr>
    </w:tbl>
    <w:p>
      <w:r>
        <w:br w:type="page"/>
      </w:r>
    </w:p>
    <w:p>
      <w:pPr>
        <w:pStyle w:val="Heading1"/>
      </w:pPr>
      <w:r>
        <w:t>4. VIX-style implied variance methodology</w:t>
      </w:r>
    </w:p>
    <w:p>
      <w:r>
        <w:t>The implied-variance numerator is a VIX-style variance calculation generalized across the fixed target tenor grid. The production method should reproduce the research methodology exactly and preserve enough metadata to audit every output row.</w:t>
      </w:r>
    </w:p>
    <w:p>
      <w:pPr>
        <w:pStyle w:val="ListNumber"/>
      </w:pPr>
      <w:r>
        <w:t>Load SPX option chain snapshots from the ThetaData raw-chain cache.</w:t>
      </w:r>
    </w:p>
    <w:p>
      <w:pPr>
        <w:pStyle w:val="ListNumber"/>
      </w:pPr>
      <w:r>
        <w:t>Clean calls and puts; remove invalid or duplicated quotes and strikes.</w:t>
      </w:r>
    </w:p>
    <w:p>
      <w:pPr>
        <w:pStyle w:val="ListNumber"/>
      </w:pPr>
      <w:r>
        <w:t>Compute option mid prices.</w:t>
      </w:r>
    </w:p>
    <w:p>
      <w:pPr>
        <w:pStyle w:val="ListNumber"/>
      </w:pPr>
      <w:r>
        <w:t>Estimate the forward level using call-put parity.</w:t>
      </w:r>
    </w:p>
    <w:p>
      <w:pPr>
        <w:pStyle w:val="ListNumber"/>
      </w:pPr>
      <w:r>
        <w:t>Choose K0, the strike immediately below the estimated forward.</w:t>
      </w:r>
    </w:p>
    <w:p>
      <w:pPr>
        <w:pStyle w:val="ListNumber"/>
      </w:pPr>
      <w:r>
        <w:t>Select the OTM option strip: puts below K0 and calls above K0, with the appropriate K0 treatment.</w:t>
      </w:r>
    </w:p>
    <w:p>
      <w:pPr>
        <w:pStyle w:val="ListNumber"/>
      </w:pPr>
      <w:r>
        <w:t>Apply the zero-bid stopping rule to avoid stale far-wing quotes.</w:t>
      </w:r>
    </w:p>
    <w:p>
      <w:pPr>
        <w:pStyle w:val="ListNumber"/>
      </w:pPr>
      <w:r>
        <w:t>Compute single-expiration variance using the VIX-style option-strip formula.</w:t>
      </w:r>
    </w:p>
    <w:p>
      <w:pPr>
        <w:pStyle w:val="ListNumber"/>
      </w:pPr>
      <w:r>
        <w:t>Interpolate to target tenors in total-variance space, not volatility space.</w:t>
      </w:r>
    </w:p>
    <w:p>
      <w:pPr>
        <w:pStyle w:val="ListNumber"/>
      </w:pPr>
      <w:r>
        <w:t>Output annualized implied_variance and vix_style_vol for each target_days tenor.</w:t>
      </w:r>
    </w:p>
    <w:p>
      <w:r>
        <w:rPr>
          <w:i/>
          <w:color w:val="5A5A5A"/>
          <w:sz w:val="18"/>
        </w:rPr>
        <w:t>Required tenors for this branch: 9, 12, 15, 18, 21, 24, 27, 30, and 33 DTE. The term structure must be complete before downstream model research is considered valid.</w:t>
      </w:r>
    </w:p>
    <w:p>
      <w:pPr>
        <w:pStyle w:val="Heading1"/>
      </w:pPr>
      <w:r>
        <w:t>5. Forward realized-variance target</w:t>
      </w:r>
    </w:p>
    <w:p>
      <w:r>
        <w:t>The forecast target is log forward realized variance over the selected tenor. The target source supplies last_forward_rv_date, which is the final date in the realized-return window. This field is mandatory because it provides the leakage guard for expanding walk-forward fitting.</w:t>
      </w:r>
    </w:p>
    <w:p>
      <w:pPr>
        <w:pStyle w:val="CodeBlock"/>
      </w:pPr>
      <w:r>
        <w:rPr>
          <w:rFonts w:ascii="Consolas" w:hAnsi="Consolas"/>
          <w:sz w:val="17"/>
        </w:rPr>
        <w:t>target_log_variance = log_forward_realized_variance_corsi</w:t>
        <w:br/>
        <w:t>or, if only the level is present:</w:t>
        <w:br/>
        <w:t>target_log_variance = log(forward_realized_variance_corsi)</w:t>
        <w:br/>
        <w:br/>
        <w:t>For a row to be allowed in a training set for test year Y:</w:t>
        <w:br/>
        <w:t xml:space="preserve">    last_forward_rv_date &lt; Timestamp(f"{Y}-01-01")</w:t>
        <w:br/>
        <w:t xml:space="preserve">    and trade_date &lt; Timestamp(f"{Y}-01-01")</w:t>
      </w:r>
    </w:p>
    <w:p>
      <w:r>
        <w:t>The current target source contained 18,144 rows across the exact tenor grid before joining to locked features. After filtering and required-field joins, Cell 2B produced 17,568 model-panel rows from 2018-09-24 through 2026-07-01. Terminal incomplete target rows are expected near the end of the sample and are dropped when last_forward_rv_date is missing.</w:t>
      </w:r>
    </w:p>
    <w:p>
      <w:pPr>
        <w:pStyle w:val="Heading1"/>
      </w:pPr>
      <w:r>
        <w:t>6. Locked har_downside_v1 feature set</w:t>
      </w:r>
    </w:p>
    <w:p>
      <w:r>
        <w:t>The model feature set is locked from the 30D branch and must be used by exact column name. Do not perform loose name mapping. The features are date-level SPX realized/downside features and are joined to every tenor by trade_date.</w:t>
      </w:r>
    </w:p>
    <w:tbl>
      <w:tblPr>
        <w:tblStyle w:val="TableGrid"/>
        <w:tblW w:type="auto" w:w="0"/>
        <w:jc w:val="center"/>
        <w:tblLook w:firstColumn="1" w:firstRow="1" w:lastColumn="0" w:lastRow="0" w:noHBand="0" w:noVBand="1" w:val="04A0"/>
      </w:tblPr>
      <w:tblGrid>
        <w:gridCol w:w="10656"/>
      </w:tblGrid>
      <w:tr>
        <w:tc>
          <w:tcPr>
            <w:tcW w:type="dxa" w:w="4320"/>
            <w:vAlign w:val="top"/>
            <w:shd w:fill="D9EAF7"/>
          </w:tcPr>
          <w:p>
            <w:r/>
            <w:r>
              <w:rPr>
                <w:rFonts w:ascii="Aptos" w:hAnsi="Aptos"/>
                <w:b/>
                <w:sz w:val="17"/>
              </w:rPr>
              <w:t>Locked model feature</w:t>
            </w:r>
          </w:p>
        </w:tc>
      </w:tr>
      <w:tr>
        <w:tc>
          <w:tcPr>
            <w:tcW w:type="dxa" w:w="4320"/>
            <w:vAlign w:val="top"/>
          </w:tcPr>
          <w:p>
            <w:r/>
            <w:r>
              <w:rPr>
                <w:rFonts w:ascii="Aptos" w:hAnsi="Aptos"/>
                <w:b w:val="0"/>
                <w:sz w:val="17"/>
              </w:rPr>
              <w:t>log_rv_1d</w:t>
            </w:r>
          </w:p>
        </w:tc>
      </w:tr>
      <w:tr>
        <w:tc>
          <w:tcPr>
            <w:tcW w:type="dxa" w:w="4320"/>
            <w:vAlign w:val="top"/>
          </w:tcPr>
          <w:p>
            <w:r/>
            <w:r>
              <w:rPr>
                <w:rFonts w:ascii="Aptos" w:hAnsi="Aptos"/>
                <w:b w:val="0"/>
                <w:sz w:val="17"/>
              </w:rPr>
              <w:t>log_rv_std_5d</w:t>
            </w:r>
          </w:p>
        </w:tc>
      </w:tr>
      <w:tr>
        <w:tc>
          <w:tcPr>
            <w:tcW w:type="dxa" w:w="4320"/>
            <w:vAlign w:val="top"/>
          </w:tcPr>
          <w:p>
            <w:r/>
            <w:r>
              <w:rPr>
                <w:rFonts w:ascii="Aptos" w:hAnsi="Aptos"/>
                <w:b w:val="0"/>
                <w:sz w:val="17"/>
              </w:rPr>
              <w:t>log_rv_std_21d</w:t>
            </w:r>
          </w:p>
        </w:tc>
      </w:tr>
      <w:tr>
        <w:tc>
          <w:tcPr>
            <w:tcW w:type="dxa" w:w="4320"/>
            <w:vAlign w:val="top"/>
          </w:tcPr>
          <w:p>
            <w:r/>
            <w:r>
              <w:rPr>
                <w:rFonts w:ascii="Aptos" w:hAnsi="Aptos"/>
                <w:b w:val="0"/>
                <w:sz w:val="17"/>
              </w:rPr>
              <w:t>log_rv_std_63d</w:t>
            </w:r>
          </w:p>
        </w:tc>
      </w:tr>
      <w:tr>
        <w:tc>
          <w:tcPr>
            <w:tcW w:type="dxa" w:w="4320"/>
            <w:vAlign w:val="top"/>
          </w:tcPr>
          <w:p>
            <w:r/>
            <w:r>
              <w:rPr>
                <w:rFonts w:ascii="Aptos" w:hAnsi="Aptos"/>
                <w:b w:val="0"/>
                <w:sz w:val="17"/>
              </w:rPr>
              <w:t>log_downside_rv_5d</w:t>
            </w:r>
          </w:p>
        </w:tc>
      </w:tr>
      <w:tr>
        <w:tc>
          <w:tcPr>
            <w:tcW w:type="dxa" w:w="4320"/>
            <w:vAlign w:val="top"/>
          </w:tcPr>
          <w:p>
            <w:r/>
            <w:r>
              <w:rPr>
                <w:rFonts w:ascii="Aptos" w:hAnsi="Aptos"/>
                <w:b w:val="0"/>
                <w:sz w:val="17"/>
              </w:rPr>
              <w:t>log_downside_rv_21d</w:t>
            </w:r>
          </w:p>
        </w:tc>
      </w:tr>
      <w:tr>
        <w:tc>
          <w:tcPr>
            <w:tcW w:type="dxa" w:w="4320"/>
            <w:vAlign w:val="top"/>
          </w:tcPr>
          <w:p>
            <w:r/>
            <w:r>
              <w:rPr>
                <w:rFonts w:ascii="Aptos" w:hAnsi="Aptos"/>
                <w:b w:val="0"/>
                <w:sz w:val="17"/>
              </w:rPr>
              <w:t>log_downside_rv_63d</w:t>
            </w:r>
          </w:p>
        </w:tc>
      </w:tr>
      <w:tr>
        <w:tc>
          <w:tcPr>
            <w:tcW w:type="dxa" w:w="4320"/>
            <w:vAlign w:val="top"/>
          </w:tcPr>
          <w:p>
            <w:r/>
            <w:r>
              <w:rPr>
                <w:rFonts w:ascii="Aptos" w:hAnsi="Aptos"/>
                <w:b w:val="0"/>
                <w:sz w:val="17"/>
              </w:rPr>
              <w:t>downside_share_21d</w:t>
            </w:r>
          </w:p>
        </w:tc>
      </w:tr>
      <w:tr>
        <w:tc>
          <w:tcPr>
            <w:tcW w:type="dxa" w:w="4320"/>
            <w:vAlign w:val="top"/>
          </w:tcPr>
          <w:p>
            <w:r/>
            <w:r>
              <w:rPr>
                <w:rFonts w:ascii="Aptos" w:hAnsi="Aptos"/>
                <w:b w:val="0"/>
                <w:sz w:val="17"/>
              </w:rPr>
              <w:t>negative_return_count_21d</w:t>
            </w:r>
          </w:p>
        </w:tc>
      </w:tr>
    </w:tbl>
    <w:p>
      <w:r>
        <w:t>Forbidden forecast-model inputs include implied volatility, VIX-style vol, VRP, rolling z-scores, RSI, tenor, bucket, actual DTE, forward/target fields other than the target being predicted, trade outcome, P&amp;L, strike fields, and option-pricing fields.</w:t>
      </w:r>
    </w:p>
    <w:p>
      <w:pPr>
        <w:pStyle w:val="Heading1"/>
      </w:pPr>
      <w:r>
        <w:t>7. Forecast model specification</w:t>
      </w:r>
    </w:p>
    <w:tbl>
      <w:tblPr>
        <w:tblStyle w:val="TableGrid"/>
        <w:tblW w:type="auto" w:w="0"/>
        <w:jc w:val="center"/>
        <w:tblLook w:firstColumn="1" w:firstRow="1" w:lastColumn="0" w:lastRow="0" w:noHBand="0" w:noVBand="1" w:val="04A0"/>
      </w:tblPr>
      <w:tblGrid>
        <w:gridCol w:w="5328"/>
        <w:gridCol w:w="5328"/>
      </w:tblGrid>
      <w:tr>
        <w:tc>
          <w:tcPr>
            <w:tcW w:type="dxa" w:w="3168"/>
            <w:vAlign w:val="top"/>
            <w:shd w:fill="D9EAF7"/>
          </w:tcPr>
          <w:p>
            <w:r/>
            <w:r>
              <w:rPr>
                <w:rFonts w:ascii="Aptos" w:hAnsi="Aptos"/>
                <w:b/>
                <w:sz w:val="16"/>
              </w:rPr>
              <w:t>Item</w:t>
            </w:r>
          </w:p>
        </w:tc>
        <w:tc>
          <w:tcPr>
            <w:tcW w:type="dxa" w:w="7920"/>
            <w:vAlign w:val="top"/>
            <w:shd w:fill="D9EAF7"/>
          </w:tcPr>
          <w:p>
            <w:r/>
            <w:r>
              <w:rPr>
                <w:rFonts w:ascii="Aptos" w:hAnsi="Aptos"/>
                <w:b/>
                <w:sz w:val="16"/>
              </w:rPr>
              <w:t>Specification</w:t>
            </w:r>
          </w:p>
        </w:tc>
      </w:tr>
      <w:tr>
        <w:tc>
          <w:tcPr>
            <w:tcW w:type="dxa" w:w="3168"/>
            <w:vAlign w:val="top"/>
          </w:tcPr>
          <w:p>
            <w:r/>
            <w:r>
              <w:rPr>
                <w:rFonts w:ascii="Aptos" w:hAnsi="Aptos"/>
                <w:b w:val="0"/>
                <w:sz w:val="16"/>
              </w:rPr>
              <w:t>Model name</w:t>
            </w:r>
          </w:p>
        </w:tc>
        <w:tc>
          <w:tcPr>
            <w:tcW w:type="dxa" w:w="7920"/>
            <w:vAlign w:val="top"/>
          </w:tcPr>
          <w:p>
            <w:r/>
            <w:r>
              <w:rPr>
                <w:rFonts w:ascii="Aptos" w:hAnsi="Aptos"/>
                <w:b w:val="0"/>
                <w:sz w:val="16"/>
              </w:rPr>
              <w:t>har_downside_v1</w:t>
            </w:r>
          </w:p>
        </w:tc>
      </w:tr>
      <w:tr>
        <w:tc>
          <w:tcPr>
            <w:tcW w:type="dxa" w:w="3168"/>
            <w:vAlign w:val="top"/>
          </w:tcPr>
          <w:p>
            <w:r/>
            <w:r>
              <w:rPr>
                <w:rFonts w:ascii="Aptos" w:hAnsi="Aptos"/>
                <w:b w:val="0"/>
                <w:sz w:val="16"/>
              </w:rPr>
              <w:t>Model class</w:t>
            </w:r>
          </w:p>
        </w:tc>
        <w:tc>
          <w:tcPr>
            <w:tcW w:type="dxa" w:w="7920"/>
            <w:vAlign w:val="top"/>
          </w:tcPr>
          <w:p>
            <w:r/>
            <w:r>
              <w:rPr>
                <w:rFonts w:ascii="Aptos" w:hAnsi="Aptos"/>
                <w:b w:val="0"/>
                <w:sz w:val="16"/>
              </w:rPr>
              <w:t>StandardScaler + Ridge regression</w:t>
            </w:r>
          </w:p>
        </w:tc>
      </w:tr>
      <w:tr>
        <w:tc>
          <w:tcPr>
            <w:tcW w:type="dxa" w:w="3168"/>
            <w:vAlign w:val="top"/>
          </w:tcPr>
          <w:p>
            <w:r/>
            <w:r>
              <w:rPr>
                <w:rFonts w:ascii="Aptos" w:hAnsi="Aptos"/>
                <w:b w:val="0"/>
                <w:sz w:val="16"/>
              </w:rPr>
              <w:t>Target</w:t>
            </w:r>
          </w:p>
        </w:tc>
        <w:tc>
          <w:tcPr>
            <w:tcW w:type="dxa" w:w="7920"/>
            <w:vAlign w:val="top"/>
          </w:tcPr>
          <w:p>
            <w:r/>
            <w:r>
              <w:rPr>
                <w:rFonts w:ascii="Aptos" w:hAnsi="Aptos"/>
                <w:b w:val="0"/>
                <w:sz w:val="16"/>
              </w:rPr>
              <w:t>log_forward_realized_variance_corsi</w:t>
            </w:r>
          </w:p>
        </w:tc>
      </w:tr>
      <w:tr>
        <w:tc>
          <w:tcPr>
            <w:tcW w:type="dxa" w:w="3168"/>
            <w:vAlign w:val="top"/>
          </w:tcPr>
          <w:p>
            <w:r/>
            <w:r>
              <w:rPr>
                <w:rFonts w:ascii="Aptos" w:hAnsi="Aptos"/>
                <w:b w:val="0"/>
                <w:sz w:val="16"/>
              </w:rPr>
              <w:t>Fit unit</w:t>
            </w:r>
          </w:p>
        </w:tc>
        <w:tc>
          <w:tcPr>
            <w:tcW w:type="dxa" w:w="7920"/>
            <w:vAlign w:val="top"/>
          </w:tcPr>
          <w:p>
            <w:r/>
            <w:r>
              <w:rPr>
                <w:rFonts w:ascii="Aptos" w:hAnsi="Aptos"/>
                <w:b w:val="0"/>
                <w:sz w:val="16"/>
              </w:rPr>
              <w:t>Separate model per tenor</w:t>
            </w:r>
          </w:p>
        </w:tc>
      </w:tr>
      <w:tr>
        <w:tc>
          <w:tcPr>
            <w:tcW w:type="dxa" w:w="3168"/>
            <w:vAlign w:val="top"/>
          </w:tcPr>
          <w:p>
            <w:r/>
            <w:r>
              <w:rPr>
                <w:rFonts w:ascii="Aptos" w:hAnsi="Aptos"/>
                <w:b w:val="0"/>
                <w:sz w:val="16"/>
              </w:rPr>
              <w:t>Tenors</w:t>
            </w:r>
          </w:p>
        </w:tc>
        <w:tc>
          <w:tcPr>
            <w:tcW w:type="dxa" w:w="7920"/>
            <w:vAlign w:val="top"/>
          </w:tcPr>
          <w:p>
            <w:r/>
            <w:r>
              <w:rPr>
                <w:rFonts w:ascii="Aptos" w:hAnsi="Aptos"/>
                <w:b w:val="0"/>
                <w:sz w:val="16"/>
              </w:rPr>
              <w:t>9, 12, 15, 18, 21, 24, 27, 30, 33</w:t>
            </w:r>
          </w:p>
        </w:tc>
      </w:tr>
      <w:tr>
        <w:tc>
          <w:tcPr>
            <w:tcW w:type="dxa" w:w="3168"/>
            <w:vAlign w:val="top"/>
          </w:tcPr>
          <w:p>
            <w:r/>
            <w:r>
              <w:rPr>
                <w:rFonts w:ascii="Aptos" w:hAnsi="Aptos"/>
                <w:b w:val="0"/>
                <w:sz w:val="16"/>
              </w:rPr>
              <w:t>Training design</w:t>
            </w:r>
          </w:p>
        </w:tc>
        <w:tc>
          <w:tcPr>
            <w:tcW w:type="dxa" w:w="7920"/>
            <w:vAlign w:val="top"/>
          </w:tcPr>
          <w:p>
            <w:r/>
            <w:r>
              <w:rPr>
                <w:rFonts w:ascii="Aptos" w:hAnsi="Aptos"/>
                <w:b w:val="0"/>
                <w:sz w:val="16"/>
              </w:rPr>
              <w:t>Expanding yearly out-of-sample</w:t>
            </w:r>
          </w:p>
        </w:tc>
      </w:tr>
      <w:tr>
        <w:tc>
          <w:tcPr>
            <w:tcW w:type="dxa" w:w="3168"/>
            <w:vAlign w:val="top"/>
          </w:tcPr>
          <w:p>
            <w:r/>
            <w:r>
              <w:rPr>
                <w:rFonts w:ascii="Aptos" w:hAnsi="Aptos"/>
                <w:b w:val="0"/>
                <w:sz w:val="16"/>
              </w:rPr>
              <w:t>Leakage guard</w:t>
            </w:r>
          </w:p>
        </w:tc>
        <w:tc>
          <w:tcPr>
            <w:tcW w:type="dxa" w:w="7920"/>
            <w:vAlign w:val="top"/>
          </w:tcPr>
          <w:p>
            <w:r/>
            <w:r>
              <w:rPr>
                <w:rFonts w:ascii="Aptos" w:hAnsi="Aptos"/>
                <w:b w:val="0"/>
                <w:sz w:val="16"/>
              </w:rPr>
              <w:t>last_forward_rv_date &lt; test-year start and trade_date &lt; test-year start</w:t>
            </w:r>
          </w:p>
        </w:tc>
      </w:tr>
      <w:tr>
        <w:tc>
          <w:tcPr>
            <w:tcW w:type="dxa" w:w="3168"/>
            <w:vAlign w:val="top"/>
          </w:tcPr>
          <w:p>
            <w:r/>
            <w:r>
              <w:rPr>
                <w:rFonts w:ascii="Aptos" w:hAnsi="Aptos"/>
                <w:b w:val="0"/>
                <w:sz w:val="16"/>
              </w:rPr>
              <w:t>Alpha grid</w:t>
            </w:r>
          </w:p>
        </w:tc>
        <w:tc>
          <w:tcPr>
            <w:tcW w:type="dxa" w:w="7920"/>
            <w:vAlign w:val="top"/>
          </w:tcPr>
          <w:p>
            <w:r/>
            <w:r>
              <w:rPr>
                <w:rFonts w:ascii="Aptos" w:hAnsi="Aptos"/>
                <w:b w:val="0"/>
                <w:sz w:val="16"/>
              </w:rPr>
              <w:t>0.01, 0.1, 1.0, 10.0, 100.0</w:t>
            </w:r>
          </w:p>
        </w:tc>
      </w:tr>
      <w:tr>
        <w:tc>
          <w:tcPr>
            <w:tcW w:type="dxa" w:w="3168"/>
            <w:vAlign w:val="top"/>
          </w:tcPr>
          <w:p>
            <w:r/>
            <w:r>
              <w:rPr>
                <w:rFonts w:ascii="Aptos" w:hAnsi="Aptos"/>
                <w:b w:val="0"/>
                <w:sz w:val="16"/>
              </w:rPr>
              <w:t>Alpha selection</w:t>
            </w:r>
          </w:p>
        </w:tc>
        <w:tc>
          <w:tcPr>
            <w:tcW w:type="dxa" w:w="7920"/>
            <w:vAlign w:val="top"/>
          </w:tcPr>
          <w:p>
            <w:r/>
            <w:r>
              <w:rPr>
                <w:rFonts w:ascii="Aptos" w:hAnsi="Aptos"/>
                <w:b w:val="0"/>
                <w:sz w:val="16"/>
              </w:rPr>
              <w:t>Train-only inner yearly walk-forward; fallback alpha = 1.0 if no folds</w:t>
            </w:r>
          </w:p>
        </w:tc>
      </w:tr>
      <w:tr>
        <w:tc>
          <w:tcPr>
            <w:tcW w:type="dxa" w:w="3168"/>
            <w:vAlign w:val="top"/>
          </w:tcPr>
          <w:p>
            <w:r/>
            <w:r>
              <w:rPr>
                <w:rFonts w:ascii="Aptos" w:hAnsi="Aptos"/>
                <w:b w:val="0"/>
                <w:sz w:val="16"/>
              </w:rPr>
              <w:t>Output variance</w:t>
            </w:r>
          </w:p>
        </w:tc>
        <w:tc>
          <w:tcPr>
            <w:tcW w:type="dxa" w:w="7920"/>
            <w:vAlign w:val="top"/>
          </w:tcPr>
          <w:p>
            <w:r/>
            <w:r>
              <w:rPr>
                <w:rFonts w:ascii="Aptos" w:hAnsi="Aptos"/>
                <w:b w:val="0"/>
                <w:sz w:val="16"/>
              </w:rPr>
              <w:t>forecast_variance_har_downside_v1 = exp(predicted_log_variance_har_downside_v1)</w:t>
            </w:r>
          </w:p>
        </w:tc>
      </w:tr>
      <w:tr>
        <w:tc>
          <w:tcPr>
            <w:tcW w:type="dxa" w:w="3168"/>
            <w:vAlign w:val="top"/>
          </w:tcPr>
          <w:p>
            <w:r/>
            <w:r>
              <w:rPr>
                <w:rFonts w:ascii="Aptos" w:hAnsi="Aptos"/>
                <w:b w:val="0"/>
                <w:sz w:val="16"/>
              </w:rPr>
              <w:t>Output vol</w:t>
            </w:r>
          </w:p>
        </w:tc>
        <w:tc>
          <w:tcPr>
            <w:tcW w:type="dxa" w:w="7920"/>
            <w:vAlign w:val="top"/>
          </w:tcPr>
          <w:p>
            <w:r/>
            <w:r>
              <w:rPr>
                <w:rFonts w:ascii="Aptos" w:hAnsi="Aptos"/>
                <w:b w:val="0"/>
                <w:sz w:val="16"/>
              </w:rPr>
              <w:t>forecast_vol_har_downside_v1 = sqrt(forecast_variance_har_downside_v1) * 100</w:t>
            </w:r>
          </w:p>
        </w:tc>
      </w:tr>
    </w:tbl>
    <w:p>
      <w:r>
        <w:br w:type="page"/>
      </w:r>
    </w:p>
    <w:p>
      <w:pPr>
        <w:pStyle w:val="Heading1"/>
      </w:pPr>
      <w:r>
        <w:t>8. Cell 2B cross-tenor denominator build</w:t>
      </w:r>
    </w:p>
    <w:p>
      <w:r>
        <w:t>Cell 2B creates the cross-tenor denominator panel. It is the bridge from the locked 30D feature design to the full 9-tenor research grid.</w:t>
      </w:r>
    </w:p>
    <w:p>
      <w:pPr>
        <w:pStyle w:val="ListBullet"/>
      </w:pPr>
      <w:r>
        <w:t>Loaded the exact locked 30D feature source with 2,016 unique dates from 2018-06-25 to 2026-07-02.</w:t>
      </w:r>
    </w:p>
    <w:p>
      <w:pPr>
        <w:pStyle w:val="ListBullet"/>
      </w:pPr>
      <w:r>
        <w:t>Loaded the cross-tenor target source with the exact tenor grid and last_forward_rv_date.</w:t>
      </w:r>
    </w:p>
    <w:p>
      <w:pPr>
        <w:pStyle w:val="ListBullet"/>
      </w:pPr>
      <w:r>
        <w:t>Joined locked date-level features to each tenor target row.</w:t>
      </w:r>
    </w:p>
    <w:p>
      <w:pPr>
        <w:pStyle w:val="ListBullet"/>
      </w:pPr>
      <w:r>
        <w:t>Fit expanding yearly OOS StandardScaler + Ridge models separately for each tenor.</w:t>
      </w:r>
    </w:p>
    <w:p>
      <w:pPr>
        <w:pStyle w:val="ListBullet"/>
      </w:pPr>
      <w:r>
        <w:t>Joined implied_variance and vix_style_vol context from the Corsi model feature panel.</w:t>
      </w:r>
    </w:p>
    <w:p>
      <w:pPr>
        <w:pStyle w:val="ListBullet"/>
      </w:pPr>
      <w:r>
        <w:t>Saved denominator, model summary, validation, 30D anchor comparison, inner-CV, and manifest audit files.</w:t>
      </w:r>
    </w:p>
    <w:tbl>
      <w:tblPr>
        <w:tblStyle w:val="TableGrid"/>
        <w:tblW w:type="auto" w:w="0"/>
        <w:jc w:val="center"/>
        <w:tblLook w:firstColumn="1" w:firstRow="1" w:lastColumn="0" w:lastRow="0" w:noHBand="0" w:noVBand="1" w:val="04A0"/>
      </w:tblPr>
      <w:tblGrid>
        <w:gridCol w:w="5328"/>
        <w:gridCol w:w="5328"/>
      </w:tblGrid>
      <w:tr>
        <w:tc>
          <w:tcPr>
            <w:tcW w:type="dxa" w:w="4896"/>
            <w:vAlign w:val="top"/>
            <w:shd w:fill="D9EAF7"/>
          </w:tcPr>
          <w:p>
            <w:r/>
            <w:r>
              <w:rPr>
                <w:rFonts w:ascii="Aptos" w:hAnsi="Aptos"/>
                <w:b/>
                <w:sz w:val="16"/>
              </w:rPr>
              <w:t>Cell 2B item</w:t>
            </w:r>
          </w:p>
        </w:tc>
        <w:tc>
          <w:tcPr>
            <w:tcW w:type="dxa" w:w="6192"/>
            <w:vAlign w:val="top"/>
            <w:shd w:fill="D9EAF7"/>
          </w:tcPr>
          <w:p>
            <w:r/>
            <w:r>
              <w:rPr>
                <w:rFonts w:ascii="Aptos" w:hAnsi="Aptos"/>
                <w:b/>
                <w:sz w:val="16"/>
              </w:rPr>
              <w:t>Result</w:t>
            </w:r>
          </w:p>
        </w:tc>
      </w:tr>
      <w:tr>
        <w:tc>
          <w:tcPr>
            <w:tcW w:type="dxa" w:w="4896"/>
            <w:vAlign w:val="top"/>
          </w:tcPr>
          <w:p>
            <w:r/>
            <w:r>
              <w:rPr>
                <w:rFonts w:ascii="Aptos" w:hAnsi="Aptos"/>
                <w:b w:val="0"/>
                <w:sz w:val="16"/>
              </w:rPr>
              <w:t>Rows after exact-grid target filter</w:t>
            </w:r>
          </w:p>
        </w:tc>
        <w:tc>
          <w:tcPr>
            <w:tcW w:type="dxa" w:w="6192"/>
            <w:vAlign w:val="top"/>
          </w:tcPr>
          <w:p>
            <w:r/>
            <w:r>
              <w:rPr>
                <w:rFonts w:ascii="Aptos" w:hAnsi="Aptos"/>
                <w:b w:val="0"/>
                <w:sz w:val="16"/>
              </w:rPr>
              <w:t>18,144</w:t>
            </w:r>
          </w:p>
        </w:tc>
      </w:tr>
      <w:tr>
        <w:tc>
          <w:tcPr>
            <w:tcW w:type="dxa" w:w="4896"/>
            <w:vAlign w:val="top"/>
          </w:tcPr>
          <w:p>
            <w:r/>
            <w:r>
              <w:rPr>
                <w:rFonts w:ascii="Aptos" w:hAnsi="Aptos"/>
                <w:b w:val="0"/>
                <w:sz w:val="16"/>
              </w:rPr>
              <w:t>Rows after locked-feature join and required-field drop</w:t>
            </w:r>
          </w:p>
        </w:tc>
        <w:tc>
          <w:tcPr>
            <w:tcW w:type="dxa" w:w="6192"/>
            <w:vAlign w:val="top"/>
          </w:tcPr>
          <w:p>
            <w:r/>
            <w:r>
              <w:rPr>
                <w:rFonts w:ascii="Aptos" w:hAnsi="Aptos"/>
                <w:b w:val="0"/>
                <w:sz w:val="16"/>
              </w:rPr>
              <w:t>17,568</w:t>
            </w:r>
          </w:p>
        </w:tc>
      </w:tr>
      <w:tr>
        <w:tc>
          <w:tcPr>
            <w:tcW w:type="dxa" w:w="4896"/>
            <w:vAlign w:val="top"/>
          </w:tcPr>
          <w:p>
            <w:r/>
            <w:r>
              <w:rPr>
                <w:rFonts w:ascii="Aptos" w:hAnsi="Aptos"/>
                <w:b w:val="0"/>
                <w:sz w:val="16"/>
              </w:rPr>
              <w:t>Date range after join</w:t>
            </w:r>
          </w:p>
        </w:tc>
        <w:tc>
          <w:tcPr>
            <w:tcW w:type="dxa" w:w="6192"/>
            <w:vAlign w:val="top"/>
          </w:tcPr>
          <w:p>
            <w:r/>
            <w:r>
              <w:rPr>
                <w:rFonts w:ascii="Aptos" w:hAnsi="Aptos"/>
                <w:b w:val="0"/>
                <w:sz w:val="16"/>
              </w:rPr>
              <w:t>2018-09-24 to 2026-07-01</w:t>
            </w:r>
          </w:p>
        </w:tc>
      </w:tr>
      <w:tr>
        <w:tc>
          <w:tcPr>
            <w:tcW w:type="dxa" w:w="4896"/>
            <w:vAlign w:val="top"/>
          </w:tcPr>
          <w:p>
            <w:r/>
            <w:r>
              <w:rPr>
                <w:rFonts w:ascii="Aptos" w:hAnsi="Aptos"/>
                <w:b w:val="0"/>
                <w:sz w:val="16"/>
              </w:rPr>
              <w:t>Exact tenor grid validation</w:t>
            </w:r>
          </w:p>
        </w:tc>
        <w:tc>
          <w:tcPr>
            <w:tcW w:type="dxa" w:w="6192"/>
            <w:vAlign w:val="top"/>
          </w:tcPr>
          <w:p>
            <w:r/>
            <w:r>
              <w:rPr>
                <w:rFonts w:ascii="Aptos" w:hAnsi="Aptos"/>
                <w:b w:val="0"/>
                <w:sz w:val="16"/>
              </w:rPr>
              <w:t>PASS</w:t>
            </w:r>
          </w:p>
        </w:tc>
      </w:tr>
      <w:tr>
        <w:tc>
          <w:tcPr>
            <w:tcW w:type="dxa" w:w="4896"/>
            <w:vAlign w:val="top"/>
          </w:tcPr>
          <w:p>
            <w:r/>
            <w:r>
              <w:rPr>
                <w:rFonts w:ascii="Aptos" w:hAnsi="Aptos"/>
                <w:b w:val="0"/>
                <w:sz w:val="16"/>
              </w:rPr>
              <w:t>No target-overlap leakage</w:t>
            </w:r>
          </w:p>
        </w:tc>
        <w:tc>
          <w:tcPr>
            <w:tcW w:type="dxa" w:w="6192"/>
            <w:vAlign w:val="top"/>
          </w:tcPr>
          <w:p>
            <w:r/>
            <w:r>
              <w:rPr>
                <w:rFonts w:ascii="Aptos" w:hAnsi="Aptos"/>
                <w:b w:val="0"/>
                <w:sz w:val="16"/>
              </w:rPr>
              <w:t>PASS</w:t>
            </w:r>
          </w:p>
        </w:tc>
      </w:tr>
      <w:tr>
        <w:tc>
          <w:tcPr>
            <w:tcW w:type="dxa" w:w="4896"/>
            <w:vAlign w:val="top"/>
          </w:tcPr>
          <w:p>
            <w:r/>
            <w:r>
              <w:rPr>
                <w:rFonts w:ascii="Aptos" w:hAnsi="Aptos"/>
                <w:b w:val="0"/>
                <w:sz w:val="16"/>
              </w:rPr>
              <w:t>Every tenor has OOS forecasts</w:t>
            </w:r>
          </w:p>
        </w:tc>
        <w:tc>
          <w:tcPr>
            <w:tcW w:type="dxa" w:w="6192"/>
            <w:vAlign w:val="top"/>
          </w:tcPr>
          <w:p>
            <w:r/>
            <w:r>
              <w:rPr>
                <w:rFonts w:ascii="Aptos" w:hAnsi="Aptos"/>
                <w:b w:val="0"/>
                <w:sz w:val="16"/>
              </w:rPr>
              <w:t>PASS</w:t>
            </w:r>
          </w:p>
        </w:tc>
      </w:tr>
      <w:tr>
        <w:tc>
          <w:tcPr>
            <w:tcW w:type="dxa" w:w="4896"/>
            <w:vAlign w:val="top"/>
          </w:tcPr>
          <w:p>
            <w:r/>
            <w:r>
              <w:rPr>
                <w:rFonts w:ascii="Aptos" w:hAnsi="Aptos"/>
                <w:b w:val="0"/>
                <w:sz w:val="16"/>
              </w:rPr>
              <w:t>Forecast variance positive/finite</w:t>
            </w:r>
          </w:p>
        </w:tc>
        <w:tc>
          <w:tcPr>
            <w:tcW w:type="dxa" w:w="6192"/>
            <w:vAlign w:val="top"/>
          </w:tcPr>
          <w:p>
            <w:r/>
            <w:r>
              <w:rPr>
                <w:rFonts w:ascii="Aptos" w:hAnsi="Aptos"/>
                <w:b w:val="0"/>
                <w:sz w:val="16"/>
              </w:rPr>
              <w:t>PASS</w:t>
            </w:r>
          </w:p>
        </w:tc>
      </w:tr>
      <w:tr>
        <w:tc>
          <w:tcPr>
            <w:tcW w:type="dxa" w:w="4896"/>
            <w:vAlign w:val="top"/>
          </w:tcPr>
          <w:p>
            <w:r/>
            <w:r>
              <w:rPr>
                <w:rFonts w:ascii="Aptos" w:hAnsi="Aptos"/>
                <w:b w:val="0"/>
                <w:sz w:val="16"/>
              </w:rPr>
              <w:t>No duplicate date x tenor rows</w:t>
            </w:r>
          </w:p>
        </w:tc>
        <w:tc>
          <w:tcPr>
            <w:tcW w:type="dxa" w:w="6192"/>
            <w:vAlign w:val="top"/>
          </w:tcPr>
          <w:p>
            <w:r/>
            <w:r>
              <w:rPr>
                <w:rFonts w:ascii="Aptos" w:hAnsi="Aptos"/>
                <w:b w:val="0"/>
                <w:sz w:val="16"/>
              </w:rPr>
              <w:t>PASS</w:t>
            </w:r>
          </w:p>
        </w:tc>
      </w:tr>
      <w:tr>
        <w:tc>
          <w:tcPr>
            <w:tcW w:type="dxa" w:w="4896"/>
            <w:vAlign w:val="top"/>
          </w:tcPr>
          <w:p>
            <w:r/>
            <w:r>
              <w:rPr>
                <w:rFonts w:ascii="Aptos" w:hAnsi="Aptos"/>
                <w:b w:val="0"/>
                <w:sz w:val="16"/>
              </w:rPr>
              <w:t>30D anchor rows</w:t>
            </w:r>
          </w:p>
        </w:tc>
        <w:tc>
          <w:tcPr>
            <w:tcW w:type="dxa" w:w="6192"/>
            <w:vAlign w:val="top"/>
          </w:tcPr>
          <w:p>
            <w:r/>
            <w:r>
              <w:rPr>
                <w:rFonts w:ascii="Aptos" w:hAnsi="Aptos"/>
                <w:b w:val="0"/>
                <w:sz w:val="16"/>
              </w:rPr>
              <w:t>1,952</w:t>
            </w:r>
          </w:p>
        </w:tc>
      </w:tr>
    </w:tbl>
    <w:p>
      <w:pPr>
        <w:pStyle w:val="Heading1"/>
      </w:pPr>
      <w:r>
        <w:t>9. Cell 2C signal-base construction</w:t>
      </w:r>
    </w:p>
    <w:p>
      <w:r>
        <w:t>Cell 2C takes the Cell 2B denominator and builds the research-ready Core signal base panel. This is not a parameter sweep; it only constructs the panel used by future parameter-research cells.</w:t>
      </w:r>
    </w:p>
    <w:p>
      <w:pPr>
        <w:pStyle w:val="CodeBlock"/>
      </w:pPr>
      <w:r>
        <w:rPr>
          <w:rFonts w:ascii="Consolas" w:hAnsi="Consolas"/>
          <w:sz w:val="17"/>
        </w:rPr>
        <w:t>model_vrp_log = log(implied_variance / forecast_variance_har_downside_v1)</w:t>
        <w:br/>
        <w:br/>
        <w:t>model_vrp_z_3m = prior-only rolling 63-trading-day z-score by tenor, ddof=1</w:t>
        <w:br/>
        <w:t>model_vrp_z_1y = prior-only rolling 252-trading-day z-score by tenor, ddof=1</w:t>
      </w:r>
    </w:p>
    <w:p>
      <w:r>
        <w:t>Prior-only means the current row is not included in its own rolling mean or standard deviation. Cell 2C explicitly compares against an inclusive-current bug-check z-score and validates that the production z-score is not using the inclusive-current calculation.</w:t>
      </w:r>
    </w:p>
    <w:tbl>
      <w:tblPr>
        <w:tblStyle w:val="TableGrid"/>
        <w:tblW w:type="auto" w:w="0"/>
        <w:jc w:val="center"/>
        <w:tblLook w:firstColumn="1" w:firstRow="1" w:lastColumn="0" w:lastRow="0" w:noHBand="0" w:noVBand="1" w:val="04A0"/>
      </w:tblPr>
      <w:tblGrid>
        <w:gridCol w:w="5328"/>
        <w:gridCol w:w="5328"/>
      </w:tblGrid>
      <w:tr>
        <w:tc>
          <w:tcPr>
            <w:tcW w:type="dxa" w:w="4608"/>
            <w:vAlign w:val="top"/>
            <w:shd w:fill="D9EAF7"/>
          </w:tcPr>
          <w:p>
            <w:r/>
            <w:r>
              <w:rPr>
                <w:rFonts w:ascii="Aptos" w:hAnsi="Aptos"/>
                <w:b/>
                <w:sz w:val="16"/>
              </w:rPr>
              <w:t>Cell 2C item</w:t>
            </w:r>
          </w:p>
        </w:tc>
        <w:tc>
          <w:tcPr>
            <w:tcW w:type="dxa" w:w="6480"/>
            <w:vAlign w:val="top"/>
            <w:shd w:fill="D9EAF7"/>
          </w:tcPr>
          <w:p>
            <w:r/>
            <w:r>
              <w:rPr>
                <w:rFonts w:ascii="Aptos" w:hAnsi="Aptos"/>
                <w:b/>
                <w:sz w:val="16"/>
              </w:rPr>
              <w:t>Result</w:t>
            </w:r>
          </w:p>
        </w:tc>
      </w:tr>
      <w:tr>
        <w:tc>
          <w:tcPr>
            <w:tcW w:type="dxa" w:w="4608"/>
            <w:vAlign w:val="top"/>
          </w:tcPr>
          <w:p>
            <w:r/>
            <w:r>
              <w:rPr>
                <w:rFonts w:ascii="Aptos" w:hAnsi="Aptos"/>
                <w:b w:val="0"/>
                <w:sz w:val="16"/>
              </w:rPr>
              <w:t>Signal base rows</w:t>
            </w:r>
          </w:p>
        </w:tc>
        <w:tc>
          <w:tcPr>
            <w:tcW w:type="dxa" w:w="6480"/>
            <w:vAlign w:val="top"/>
          </w:tcPr>
          <w:p>
            <w:r/>
            <w:r>
              <w:rPr>
                <w:rFonts w:ascii="Aptos" w:hAnsi="Aptos"/>
                <w:b w:val="0"/>
                <w:sz w:val="16"/>
              </w:rPr>
              <w:t>17,568</w:t>
            </w:r>
          </w:p>
        </w:tc>
      </w:tr>
      <w:tr>
        <w:tc>
          <w:tcPr>
            <w:tcW w:type="dxa" w:w="4608"/>
            <w:vAlign w:val="top"/>
          </w:tcPr>
          <w:p>
            <w:r/>
            <w:r>
              <w:rPr>
                <w:rFonts w:ascii="Aptos" w:hAnsi="Aptos"/>
                <w:b w:val="0"/>
                <w:sz w:val="16"/>
              </w:rPr>
              <w:t>Date range</w:t>
            </w:r>
          </w:p>
        </w:tc>
        <w:tc>
          <w:tcPr>
            <w:tcW w:type="dxa" w:w="6480"/>
            <w:vAlign w:val="top"/>
          </w:tcPr>
          <w:p>
            <w:r/>
            <w:r>
              <w:rPr>
                <w:rFonts w:ascii="Aptos" w:hAnsi="Aptos"/>
                <w:b w:val="0"/>
                <w:sz w:val="16"/>
              </w:rPr>
              <w:t>2018-09-24 to 2026-07-01</w:t>
            </w:r>
          </w:p>
        </w:tc>
      </w:tr>
      <w:tr>
        <w:tc>
          <w:tcPr>
            <w:tcW w:type="dxa" w:w="4608"/>
            <w:vAlign w:val="top"/>
          </w:tcPr>
          <w:p>
            <w:r/>
            <w:r>
              <w:rPr>
                <w:rFonts w:ascii="Aptos" w:hAnsi="Aptos"/>
                <w:b w:val="0"/>
                <w:sz w:val="16"/>
              </w:rPr>
              <w:t>Implied variance positive rows</w:t>
            </w:r>
          </w:p>
        </w:tc>
        <w:tc>
          <w:tcPr>
            <w:tcW w:type="dxa" w:w="6480"/>
            <w:vAlign w:val="top"/>
          </w:tcPr>
          <w:p>
            <w:r/>
            <w:r>
              <w:rPr>
                <w:rFonts w:ascii="Aptos" w:hAnsi="Aptos"/>
                <w:b w:val="0"/>
                <w:sz w:val="16"/>
              </w:rPr>
              <w:t>17,568 / 17,568</w:t>
            </w:r>
          </w:p>
        </w:tc>
      </w:tr>
      <w:tr>
        <w:tc>
          <w:tcPr>
            <w:tcW w:type="dxa" w:w="4608"/>
            <w:vAlign w:val="top"/>
          </w:tcPr>
          <w:p>
            <w:r/>
            <w:r>
              <w:rPr>
                <w:rFonts w:ascii="Aptos" w:hAnsi="Aptos"/>
                <w:b w:val="0"/>
                <w:sz w:val="16"/>
              </w:rPr>
              <w:t>Forecast variance positive rows</w:t>
            </w:r>
          </w:p>
        </w:tc>
        <w:tc>
          <w:tcPr>
            <w:tcW w:type="dxa" w:w="6480"/>
            <w:vAlign w:val="top"/>
          </w:tcPr>
          <w:p>
            <w:r/>
            <w:r>
              <w:rPr>
                <w:rFonts w:ascii="Aptos" w:hAnsi="Aptos"/>
                <w:b w:val="0"/>
                <w:sz w:val="16"/>
              </w:rPr>
              <w:t>16,452 / 17,568</w:t>
            </w:r>
          </w:p>
        </w:tc>
      </w:tr>
      <w:tr>
        <w:tc>
          <w:tcPr>
            <w:tcW w:type="dxa" w:w="4608"/>
            <w:vAlign w:val="top"/>
          </w:tcPr>
          <w:p>
            <w:r/>
            <w:r>
              <w:rPr>
                <w:rFonts w:ascii="Aptos" w:hAnsi="Aptos"/>
                <w:b w:val="0"/>
                <w:sz w:val="16"/>
              </w:rPr>
              <w:t>Finite model_vrp_log rows</w:t>
            </w:r>
          </w:p>
        </w:tc>
        <w:tc>
          <w:tcPr>
            <w:tcW w:type="dxa" w:w="6480"/>
            <w:vAlign w:val="top"/>
          </w:tcPr>
          <w:p>
            <w:r/>
            <w:r>
              <w:rPr>
                <w:rFonts w:ascii="Aptos" w:hAnsi="Aptos"/>
                <w:b w:val="0"/>
                <w:sz w:val="16"/>
              </w:rPr>
              <w:t>16,452 / 17,568</w:t>
            </w:r>
          </w:p>
        </w:tc>
      </w:tr>
      <w:tr>
        <w:tc>
          <w:tcPr>
            <w:tcW w:type="dxa" w:w="4608"/>
            <w:vAlign w:val="top"/>
          </w:tcPr>
          <w:p>
            <w:r/>
            <w:r>
              <w:rPr>
                <w:rFonts w:ascii="Aptos" w:hAnsi="Aptos"/>
                <w:b w:val="0"/>
                <w:sz w:val="16"/>
              </w:rPr>
              <w:t>Non-null model_vrp_z_3m rows</w:t>
            </w:r>
          </w:p>
        </w:tc>
        <w:tc>
          <w:tcPr>
            <w:tcW w:type="dxa" w:w="6480"/>
            <w:vAlign w:val="top"/>
          </w:tcPr>
          <w:p>
            <w:r/>
            <w:r>
              <w:rPr>
                <w:rFonts w:ascii="Aptos" w:hAnsi="Aptos"/>
                <w:b w:val="0"/>
                <w:sz w:val="16"/>
              </w:rPr>
              <w:t>15,885</w:t>
            </w:r>
          </w:p>
        </w:tc>
      </w:tr>
      <w:tr>
        <w:tc>
          <w:tcPr>
            <w:tcW w:type="dxa" w:w="4608"/>
            <w:vAlign w:val="top"/>
          </w:tcPr>
          <w:p>
            <w:r/>
            <w:r>
              <w:rPr>
                <w:rFonts w:ascii="Aptos" w:hAnsi="Aptos"/>
                <w:b w:val="0"/>
                <w:sz w:val="16"/>
              </w:rPr>
              <w:t>Non-null model_vrp_z_1y rows</w:t>
            </w:r>
          </w:p>
        </w:tc>
        <w:tc>
          <w:tcPr>
            <w:tcW w:type="dxa" w:w="6480"/>
            <w:vAlign w:val="top"/>
          </w:tcPr>
          <w:p>
            <w:r/>
            <w:r>
              <w:rPr>
                <w:rFonts w:ascii="Aptos" w:hAnsi="Aptos"/>
                <w:b w:val="0"/>
                <w:sz w:val="16"/>
              </w:rPr>
              <w:t>14,184</w:t>
            </w:r>
          </w:p>
        </w:tc>
      </w:tr>
      <w:tr>
        <w:tc>
          <w:tcPr>
            <w:tcW w:type="dxa" w:w="4608"/>
            <w:vAlign w:val="top"/>
          </w:tcPr>
          <w:p>
            <w:r/>
            <w:r>
              <w:rPr>
                <w:rFonts w:ascii="Aptos" w:hAnsi="Aptos"/>
                <w:b w:val="0"/>
                <w:sz w:val="16"/>
              </w:rPr>
              <w:t>RSI14 source</w:t>
            </w:r>
          </w:p>
        </w:tc>
        <w:tc>
          <w:tcPr>
            <w:tcW w:type="dxa" w:w="6480"/>
            <w:vAlign w:val="top"/>
          </w:tcPr>
          <w:p>
            <w:r/>
            <w:r>
              <w:rPr>
                <w:rFonts w:ascii="Aptos" w:hAnsi="Aptos"/>
                <w:b w:val="0"/>
                <w:sz w:val="16"/>
              </w:rPr>
              <w:t>data\processed\staging\production_feature_panel_v0_1_candidate_20180625_20260702.parquet; source column rsi14</w:t>
            </w:r>
          </w:p>
        </w:tc>
      </w:tr>
      <w:tr>
        <w:tc>
          <w:tcPr>
            <w:tcW w:type="dxa" w:w="4608"/>
            <w:vAlign w:val="top"/>
          </w:tcPr>
          <w:p>
            <w:r/>
            <w:r>
              <w:rPr>
                <w:rFonts w:ascii="Aptos" w:hAnsi="Aptos"/>
                <w:b w:val="0"/>
                <w:sz w:val="16"/>
              </w:rPr>
              <w:t>RSI14 non-null rows</w:t>
            </w:r>
          </w:p>
        </w:tc>
        <w:tc>
          <w:tcPr>
            <w:tcW w:type="dxa" w:w="6480"/>
            <w:vAlign w:val="top"/>
          </w:tcPr>
          <w:p>
            <w:r/>
            <w:r>
              <w:rPr>
                <w:rFonts w:ascii="Aptos" w:hAnsi="Aptos"/>
                <w:b w:val="0"/>
                <w:sz w:val="16"/>
              </w:rPr>
              <w:t>17,568 / 17,568</w:t>
            </w:r>
          </w:p>
        </w:tc>
      </w:tr>
      <w:tr>
        <w:tc>
          <w:tcPr>
            <w:tcW w:type="dxa" w:w="4608"/>
            <w:vAlign w:val="top"/>
          </w:tcPr>
          <w:p>
            <w:r/>
            <w:r>
              <w:rPr>
                <w:rFonts w:ascii="Aptos" w:hAnsi="Aptos"/>
                <w:b w:val="0"/>
                <w:sz w:val="16"/>
              </w:rPr>
              <w:t>Outcome source</w:t>
            </w:r>
          </w:p>
        </w:tc>
        <w:tc>
          <w:tcPr>
            <w:tcW w:type="dxa" w:w="6480"/>
            <w:vAlign w:val="top"/>
          </w:tcPr>
          <w:p>
            <w:r/>
            <w:r>
              <w:rPr>
                <w:rFonts w:ascii="Aptos" w:hAnsi="Aptos"/>
                <w:b w:val="0"/>
                <w:sz w:val="16"/>
              </w:rPr>
              <w:t>data\processed\old\put_candidate_universe_pricing_v0_1.parquet</w:t>
            </w:r>
          </w:p>
        </w:tc>
      </w:tr>
      <w:tr>
        <w:tc>
          <w:tcPr>
            <w:tcW w:type="dxa" w:w="4608"/>
            <w:vAlign w:val="top"/>
          </w:tcPr>
          <w:p>
            <w:r/>
            <w:r>
              <w:rPr>
                <w:rFonts w:ascii="Aptos" w:hAnsi="Aptos"/>
                <w:b w:val="0"/>
                <w:sz w:val="16"/>
              </w:rPr>
              <w:t>Actual DTE non-null rows</w:t>
            </w:r>
          </w:p>
        </w:tc>
        <w:tc>
          <w:tcPr>
            <w:tcW w:type="dxa" w:w="6480"/>
            <w:vAlign w:val="top"/>
          </w:tcPr>
          <w:p>
            <w:r/>
            <w:r>
              <w:rPr>
                <w:rFonts w:ascii="Aptos" w:hAnsi="Aptos"/>
                <w:b w:val="0"/>
                <w:sz w:val="16"/>
              </w:rPr>
              <w:t>17,532 / 17,568</w:t>
            </w:r>
          </w:p>
        </w:tc>
      </w:tr>
      <w:tr>
        <w:tc>
          <w:tcPr>
            <w:tcW w:type="dxa" w:w="4608"/>
            <w:vAlign w:val="top"/>
          </w:tcPr>
          <w:p>
            <w:r/>
            <w:r>
              <w:rPr>
                <w:rFonts w:ascii="Aptos" w:hAnsi="Aptos"/>
                <w:b w:val="0"/>
                <w:sz w:val="16"/>
              </w:rPr>
              <w:t>Cell status</w:t>
            </w:r>
          </w:p>
        </w:tc>
        <w:tc>
          <w:tcPr>
            <w:tcW w:type="dxa" w:w="6480"/>
            <w:vAlign w:val="top"/>
          </w:tcPr>
          <w:p>
            <w:r/>
            <w:r>
              <w:rPr>
                <w:rFonts w:ascii="Aptos" w:hAnsi="Aptos"/>
                <w:b w:val="0"/>
                <w:sz w:val="16"/>
              </w:rPr>
              <w:t>CELL 2C PASSED</w:t>
            </w:r>
          </w:p>
        </w:tc>
      </w:tr>
    </w:tbl>
    <w:p>
      <w:pPr>
        <w:pStyle w:val="Heading1"/>
      </w:pPr>
      <w:r>
        <w:t>10. Required columns for downstream parameter research</w:t>
      </w:r>
    </w:p>
    <w:tbl>
      <w:tblPr>
        <w:tblStyle w:val="TableGrid"/>
        <w:tblW w:type="auto" w:w="0"/>
        <w:jc w:val="center"/>
        <w:tblLook w:firstColumn="1" w:firstRow="1" w:lastColumn="0" w:lastRow="0" w:noHBand="0" w:noVBand="1" w:val="04A0"/>
      </w:tblPr>
      <w:tblGrid>
        <w:gridCol w:w="5328"/>
        <w:gridCol w:w="5328"/>
      </w:tblGrid>
      <w:tr>
        <w:tc>
          <w:tcPr>
            <w:tcW w:type="dxa" w:w="3168"/>
            <w:vAlign w:val="top"/>
            <w:shd w:fill="D9EAF7"/>
          </w:tcPr>
          <w:p>
            <w:r/>
            <w:r>
              <w:rPr>
                <w:rFonts w:ascii="Aptos" w:hAnsi="Aptos"/>
                <w:b/>
                <w:sz w:val="16"/>
              </w:rPr>
              <w:t>Column group</w:t>
            </w:r>
          </w:p>
        </w:tc>
        <w:tc>
          <w:tcPr>
            <w:tcW w:type="dxa" w:w="7920"/>
            <w:vAlign w:val="top"/>
            <w:shd w:fill="D9EAF7"/>
          </w:tcPr>
          <w:p>
            <w:r/>
            <w:r>
              <w:rPr>
                <w:rFonts w:ascii="Aptos" w:hAnsi="Aptos"/>
                <w:b/>
                <w:sz w:val="16"/>
              </w:rPr>
              <w:t>Columns</w:t>
            </w:r>
          </w:p>
        </w:tc>
      </w:tr>
      <w:tr>
        <w:tc>
          <w:tcPr>
            <w:tcW w:type="dxa" w:w="3168"/>
            <w:vAlign w:val="top"/>
          </w:tcPr>
          <w:p>
            <w:r/>
            <w:r>
              <w:rPr>
                <w:rFonts w:ascii="Aptos" w:hAnsi="Aptos"/>
                <w:b w:val="0"/>
                <w:sz w:val="16"/>
              </w:rPr>
              <w:t>Identification</w:t>
            </w:r>
          </w:p>
        </w:tc>
        <w:tc>
          <w:tcPr>
            <w:tcW w:type="dxa" w:w="7920"/>
            <w:vAlign w:val="top"/>
          </w:tcPr>
          <w:p>
            <w:r/>
            <w:r>
              <w:rPr>
                <w:rFonts w:ascii="Aptos" w:hAnsi="Aptos"/>
                <w:b w:val="0"/>
                <w:sz w:val="16"/>
              </w:rPr>
              <w:t>date, trade_date, tenor, tenor_bucket</w:t>
            </w:r>
          </w:p>
        </w:tc>
      </w:tr>
      <w:tr>
        <w:tc>
          <w:tcPr>
            <w:tcW w:type="dxa" w:w="3168"/>
            <w:vAlign w:val="top"/>
          </w:tcPr>
          <w:p>
            <w:r/>
            <w:r>
              <w:rPr>
                <w:rFonts w:ascii="Aptos" w:hAnsi="Aptos"/>
                <w:b w:val="0"/>
                <w:sz w:val="16"/>
              </w:rPr>
              <w:t>Implied variance</w:t>
            </w:r>
          </w:p>
        </w:tc>
        <w:tc>
          <w:tcPr>
            <w:tcW w:type="dxa" w:w="7920"/>
            <w:vAlign w:val="top"/>
          </w:tcPr>
          <w:p>
            <w:r/>
            <w:r>
              <w:rPr>
                <w:rFonts w:ascii="Aptos" w:hAnsi="Aptos"/>
                <w:b w:val="0"/>
                <w:sz w:val="16"/>
              </w:rPr>
              <w:t>implied_variance, vix_style_vol</w:t>
            </w:r>
          </w:p>
        </w:tc>
      </w:tr>
      <w:tr>
        <w:tc>
          <w:tcPr>
            <w:tcW w:type="dxa" w:w="3168"/>
            <w:vAlign w:val="top"/>
          </w:tcPr>
          <w:p>
            <w:r/>
            <w:r>
              <w:rPr>
                <w:rFonts w:ascii="Aptos" w:hAnsi="Aptos"/>
                <w:b w:val="0"/>
                <w:sz w:val="16"/>
              </w:rPr>
              <w:t>Forecast denominator</w:t>
            </w:r>
          </w:p>
        </w:tc>
        <w:tc>
          <w:tcPr>
            <w:tcW w:type="dxa" w:w="7920"/>
            <w:vAlign w:val="top"/>
          </w:tcPr>
          <w:p>
            <w:r/>
            <w:r>
              <w:rPr>
                <w:rFonts w:ascii="Aptos" w:hAnsi="Aptos"/>
                <w:b w:val="0"/>
                <w:sz w:val="16"/>
              </w:rPr>
              <w:t>forecast_variance_har_downside_v1, forecast_vol_har_downside_v1, forecast_vol_pct</w:t>
            </w:r>
          </w:p>
        </w:tc>
      </w:tr>
      <w:tr>
        <w:tc>
          <w:tcPr>
            <w:tcW w:type="dxa" w:w="3168"/>
            <w:vAlign w:val="top"/>
          </w:tcPr>
          <w:p>
            <w:r/>
            <w:r>
              <w:rPr>
                <w:rFonts w:ascii="Aptos" w:hAnsi="Aptos"/>
                <w:b w:val="0"/>
                <w:sz w:val="16"/>
              </w:rPr>
              <w:t>VRP signal</w:t>
            </w:r>
          </w:p>
        </w:tc>
        <w:tc>
          <w:tcPr>
            <w:tcW w:type="dxa" w:w="7920"/>
            <w:vAlign w:val="top"/>
          </w:tcPr>
          <w:p>
            <w:r/>
            <w:r>
              <w:rPr>
                <w:rFonts w:ascii="Aptos" w:hAnsi="Aptos"/>
                <w:b w:val="0"/>
                <w:sz w:val="16"/>
              </w:rPr>
              <w:t>model_vrp_log, model_vrp_z_3m, model_vrp_z_1y</w:t>
            </w:r>
          </w:p>
        </w:tc>
      </w:tr>
      <w:tr>
        <w:tc>
          <w:tcPr>
            <w:tcW w:type="dxa" w:w="3168"/>
            <w:vAlign w:val="top"/>
          </w:tcPr>
          <w:p>
            <w:r/>
            <w:r>
              <w:rPr>
                <w:rFonts w:ascii="Aptos" w:hAnsi="Aptos"/>
                <w:b w:val="0"/>
                <w:sz w:val="16"/>
              </w:rPr>
              <w:t>Signal filter</w:t>
            </w:r>
          </w:p>
        </w:tc>
        <w:tc>
          <w:tcPr>
            <w:tcW w:type="dxa" w:w="7920"/>
            <w:vAlign w:val="top"/>
          </w:tcPr>
          <w:p>
            <w:r/>
            <w:r>
              <w:rPr>
                <w:rFonts w:ascii="Aptos" w:hAnsi="Aptos"/>
                <w:b w:val="0"/>
                <w:sz w:val="16"/>
              </w:rPr>
              <w:t>RSI14</w:t>
            </w:r>
          </w:p>
        </w:tc>
      </w:tr>
      <w:tr>
        <w:tc>
          <w:tcPr>
            <w:tcW w:type="dxa" w:w="3168"/>
            <w:vAlign w:val="top"/>
          </w:tcPr>
          <w:p>
            <w:r/>
            <w:r>
              <w:rPr>
                <w:rFonts w:ascii="Aptos" w:hAnsi="Aptos"/>
                <w:b w:val="0"/>
                <w:sz w:val="16"/>
              </w:rPr>
              <w:t>Model audit fields</w:t>
            </w:r>
          </w:p>
        </w:tc>
        <w:tc>
          <w:tcPr>
            <w:tcW w:type="dxa" w:w="7920"/>
            <w:vAlign w:val="top"/>
          </w:tcPr>
          <w:p>
            <w:r/>
            <w:r>
              <w:rPr>
                <w:rFonts w:ascii="Aptos" w:hAnsi="Aptos"/>
                <w:b w:val="0"/>
                <w:sz w:val="16"/>
              </w:rPr>
              <w:t>fit_status, selected_alpha, train_rows_used, last_forward_rv_date, target_log_variance, test_year</w:t>
            </w:r>
          </w:p>
        </w:tc>
      </w:tr>
      <w:tr>
        <w:tc>
          <w:tcPr>
            <w:tcW w:type="dxa" w:w="3168"/>
            <w:vAlign w:val="top"/>
          </w:tcPr>
          <w:p>
            <w:r/>
            <w:r>
              <w:rPr>
                <w:rFonts w:ascii="Aptos" w:hAnsi="Aptos"/>
                <w:b w:val="0"/>
                <w:sz w:val="16"/>
              </w:rPr>
              <w:t>Outcome/trade fields</w:t>
            </w:r>
          </w:p>
        </w:tc>
        <w:tc>
          <w:tcPr>
            <w:tcW w:type="dxa" w:w="7920"/>
            <w:vAlign w:val="top"/>
          </w:tcPr>
          <w:p>
            <w:r/>
            <w:r>
              <w:rPr>
                <w:rFonts w:ascii="Aptos" w:hAnsi="Aptos"/>
                <w:b w:val="0"/>
                <w:sz w:val="16"/>
              </w:rPr>
              <w:t>actual_dte, win, normalized_pnl_dollars, normalized_pnl_pct, entry_credit_points, short_option_pnl_points, strike/expiry/mapping fields</w:t>
            </w:r>
          </w:p>
        </w:tc>
      </w:tr>
    </w:tbl>
    <w:p>
      <w:r>
        <w:br w:type="page"/>
      </w:r>
    </w:p>
    <w:p>
      <w:pPr>
        <w:pStyle w:val="Heading1"/>
      </w:pPr>
      <w:r>
        <w:t>11. 30D/Core Back optimization and backtest record</w:t>
      </w:r>
    </w:p>
    <w:p>
      <w:r>
        <w:t>The 30D/Core Back setup is locked and is not reopened by the current cross-tenor research. The locked rules were selected because the har_downside_v1 denominator materially improved the 30D Core performance versus the baseline denominator while reducing tail losses and drawdown.</w:t>
      </w:r>
    </w:p>
    <w:tbl>
      <w:tblPr>
        <w:tblStyle w:val="TableGrid"/>
        <w:tblW w:type="auto" w:w="0"/>
        <w:jc w:val="center"/>
        <w:tblLook w:firstColumn="1" w:firstRow="1" w:lastColumn="0" w:lastRow="0" w:noHBand="0" w:noVBand="1" w:val="04A0"/>
      </w:tblPr>
      <w:tblGrid>
        <w:gridCol w:w="5328"/>
        <w:gridCol w:w="5328"/>
      </w:tblGrid>
      <w:tr>
        <w:tc>
          <w:tcPr>
            <w:tcW w:type="dxa" w:w="3456"/>
            <w:vAlign w:val="top"/>
            <w:shd w:fill="D9EAF7"/>
          </w:tcPr>
          <w:p>
            <w:r/>
            <w:r>
              <w:rPr>
                <w:rFonts w:ascii="Aptos" w:hAnsi="Aptos"/>
                <w:b/>
                <w:sz w:val="16"/>
              </w:rPr>
              <w:t>Rule item</w:t>
            </w:r>
          </w:p>
        </w:tc>
        <w:tc>
          <w:tcPr>
            <w:tcW w:type="dxa" w:w="7632"/>
            <w:vAlign w:val="top"/>
            <w:shd w:fill="D9EAF7"/>
          </w:tcPr>
          <w:p>
            <w:r/>
            <w:r>
              <w:rPr>
                <w:rFonts w:ascii="Aptos" w:hAnsi="Aptos"/>
                <w:b/>
                <w:sz w:val="16"/>
              </w:rPr>
              <w:t>Locked value</w:t>
            </w:r>
          </w:p>
        </w:tc>
      </w:tr>
      <w:tr>
        <w:tc>
          <w:tcPr>
            <w:tcW w:type="dxa" w:w="3456"/>
            <w:vAlign w:val="top"/>
          </w:tcPr>
          <w:p>
            <w:r/>
            <w:r>
              <w:rPr>
                <w:rFonts w:ascii="Aptos" w:hAnsi="Aptos"/>
                <w:b w:val="0"/>
                <w:sz w:val="16"/>
              </w:rPr>
              <w:t>Tenor bucket</w:t>
            </w:r>
          </w:p>
        </w:tc>
        <w:tc>
          <w:tcPr>
            <w:tcW w:type="dxa" w:w="7632"/>
            <w:vAlign w:val="top"/>
          </w:tcPr>
          <w:p>
            <w:r/>
            <w:r>
              <w:rPr>
                <w:rFonts w:ascii="Aptos" w:hAnsi="Aptos"/>
                <w:b w:val="0"/>
                <w:sz w:val="16"/>
              </w:rPr>
              <w:t>Back: 27D, 30D, 33D</w:t>
            </w:r>
          </w:p>
        </w:tc>
      </w:tr>
      <w:tr>
        <w:tc>
          <w:tcPr>
            <w:tcW w:type="dxa" w:w="3456"/>
            <w:vAlign w:val="top"/>
          </w:tcPr>
          <w:p>
            <w:r/>
            <w:r>
              <w:rPr>
                <w:rFonts w:ascii="Aptos" w:hAnsi="Aptos"/>
                <w:b w:val="0"/>
                <w:sz w:val="16"/>
              </w:rPr>
              <w:t>Primary anchor</w:t>
            </w:r>
          </w:p>
        </w:tc>
        <w:tc>
          <w:tcPr>
            <w:tcW w:type="dxa" w:w="7632"/>
            <w:vAlign w:val="top"/>
          </w:tcPr>
          <w:p>
            <w:r/>
            <w:r>
              <w:rPr>
                <w:rFonts w:ascii="Aptos" w:hAnsi="Aptos"/>
                <w:b w:val="0"/>
                <w:sz w:val="16"/>
              </w:rPr>
              <w:t>30D Core / Core Back</w:t>
            </w:r>
          </w:p>
        </w:tc>
      </w:tr>
      <w:tr>
        <w:tc>
          <w:tcPr>
            <w:tcW w:type="dxa" w:w="3456"/>
            <w:vAlign w:val="top"/>
          </w:tcPr>
          <w:p>
            <w:r/>
            <w:r>
              <w:rPr>
                <w:rFonts w:ascii="Aptos" w:hAnsi="Aptos"/>
                <w:b w:val="0"/>
                <w:sz w:val="16"/>
              </w:rPr>
              <w:t>model_vrp_log</w:t>
            </w:r>
          </w:p>
        </w:tc>
        <w:tc>
          <w:tcPr>
            <w:tcW w:type="dxa" w:w="7632"/>
            <w:vAlign w:val="top"/>
          </w:tcPr>
          <w:p>
            <w:r/>
            <w:r>
              <w:rPr>
                <w:rFonts w:ascii="Aptos" w:hAnsi="Aptos"/>
                <w:b w:val="0"/>
                <w:sz w:val="16"/>
              </w:rPr>
              <w:t>&gt; 0.70</w:t>
            </w:r>
          </w:p>
        </w:tc>
      </w:tr>
      <w:tr>
        <w:tc>
          <w:tcPr>
            <w:tcW w:type="dxa" w:w="3456"/>
            <w:vAlign w:val="top"/>
          </w:tcPr>
          <w:p>
            <w:r/>
            <w:r>
              <w:rPr>
                <w:rFonts w:ascii="Aptos" w:hAnsi="Aptos"/>
                <w:b w:val="0"/>
                <w:sz w:val="16"/>
              </w:rPr>
              <w:t>model_vrp_z_3m</w:t>
            </w:r>
          </w:p>
        </w:tc>
        <w:tc>
          <w:tcPr>
            <w:tcW w:type="dxa" w:w="7632"/>
            <w:vAlign w:val="top"/>
          </w:tcPr>
          <w:p>
            <w:r/>
            <w:r>
              <w:rPr>
                <w:rFonts w:ascii="Aptos" w:hAnsi="Aptos"/>
                <w:b w:val="0"/>
                <w:sz w:val="16"/>
              </w:rPr>
              <w:t>&gt; 0.70</w:t>
            </w:r>
          </w:p>
        </w:tc>
      </w:tr>
      <w:tr>
        <w:tc>
          <w:tcPr>
            <w:tcW w:type="dxa" w:w="3456"/>
            <w:vAlign w:val="top"/>
          </w:tcPr>
          <w:p>
            <w:r/>
            <w:r>
              <w:rPr>
                <w:rFonts w:ascii="Aptos" w:hAnsi="Aptos"/>
                <w:b w:val="0"/>
                <w:sz w:val="16"/>
              </w:rPr>
              <w:t>model_vrp_z_1y</w:t>
            </w:r>
          </w:p>
        </w:tc>
        <w:tc>
          <w:tcPr>
            <w:tcW w:type="dxa" w:w="7632"/>
            <w:vAlign w:val="top"/>
          </w:tcPr>
          <w:p>
            <w:r/>
            <w:r>
              <w:rPr>
                <w:rFonts w:ascii="Aptos" w:hAnsi="Aptos"/>
                <w:b w:val="0"/>
                <w:sz w:val="16"/>
              </w:rPr>
              <w:t>&gt; 0.70</w:t>
            </w:r>
          </w:p>
        </w:tc>
      </w:tr>
      <w:tr>
        <w:tc>
          <w:tcPr>
            <w:tcW w:type="dxa" w:w="3456"/>
            <w:vAlign w:val="top"/>
          </w:tcPr>
          <w:p>
            <w:r/>
            <w:r>
              <w:rPr>
                <w:rFonts w:ascii="Aptos" w:hAnsi="Aptos"/>
                <w:b w:val="0"/>
                <w:sz w:val="16"/>
              </w:rPr>
              <w:t>RSI14</w:t>
            </w:r>
          </w:p>
        </w:tc>
        <w:tc>
          <w:tcPr>
            <w:tcW w:type="dxa" w:w="7632"/>
            <w:vAlign w:val="top"/>
          </w:tcPr>
          <w:p>
            <w:r/>
            <w:r>
              <w:rPr>
                <w:rFonts w:ascii="Aptos" w:hAnsi="Aptos"/>
                <w:b w:val="0"/>
                <w:sz w:val="16"/>
              </w:rPr>
              <w:t>&lt; 70</w:t>
            </w:r>
          </w:p>
        </w:tc>
      </w:tr>
      <w:tr>
        <w:tc>
          <w:tcPr>
            <w:tcW w:type="dxa" w:w="3456"/>
            <w:vAlign w:val="top"/>
          </w:tcPr>
          <w:p>
            <w:r/>
            <w:r>
              <w:rPr>
                <w:rFonts w:ascii="Aptos" w:hAnsi="Aptos"/>
                <w:b w:val="0"/>
                <w:sz w:val="16"/>
              </w:rPr>
              <w:t>forecast_vol_pct</w:t>
            </w:r>
          </w:p>
        </w:tc>
        <w:tc>
          <w:tcPr>
            <w:tcW w:type="dxa" w:w="7632"/>
            <w:vAlign w:val="top"/>
          </w:tcPr>
          <w:p>
            <w:r/>
            <w:r>
              <w:rPr>
                <w:rFonts w:ascii="Aptos" w:hAnsi="Aptos"/>
                <w:b w:val="0"/>
                <w:sz w:val="16"/>
              </w:rPr>
              <w:t>&gt; 8.5</w:t>
            </w:r>
          </w:p>
        </w:tc>
      </w:tr>
      <w:tr>
        <w:tc>
          <w:tcPr>
            <w:tcW w:type="dxa" w:w="3456"/>
            <w:vAlign w:val="top"/>
          </w:tcPr>
          <w:p>
            <w:r/>
            <w:r>
              <w:rPr>
                <w:rFonts w:ascii="Aptos" w:hAnsi="Aptos"/>
                <w:b w:val="0"/>
                <w:sz w:val="16"/>
              </w:rPr>
              <w:t>Status</w:t>
            </w:r>
          </w:p>
        </w:tc>
        <w:tc>
          <w:tcPr>
            <w:tcW w:type="dxa" w:w="7632"/>
            <w:vAlign w:val="top"/>
          </w:tcPr>
          <w:p>
            <w:r/>
            <w:r>
              <w:rPr>
                <w:rFonts w:ascii="Aptos" w:hAnsi="Aptos"/>
                <w:b w:val="0"/>
                <w:sz w:val="16"/>
              </w:rPr>
              <w:t>LOCKED / frozen; do not re-optimize unless future portfolio-level combined testing exposes a specific issue.</w:t>
            </w:r>
          </w:p>
        </w:tc>
      </w:tr>
    </w:tbl>
    <w:tbl>
      <w:tblPr>
        <w:tblStyle w:val="TableGrid"/>
        <w:tblW w:type="auto" w:w="0"/>
        <w:jc w:val="center"/>
        <w:tblLook w:firstColumn="1" w:firstRow="1" w:lastColumn="0" w:lastRow="0" w:noHBand="0" w:noVBand="1" w:val="04A0"/>
      </w:tblPr>
      <w:tblGrid>
        <w:gridCol w:w="3552"/>
        <w:gridCol w:w="3552"/>
        <w:gridCol w:w="3552"/>
      </w:tblGrid>
      <w:tr>
        <w:tc>
          <w:tcPr>
            <w:tcW w:type="dxa" w:w="3744"/>
            <w:vAlign w:val="top"/>
            <w:shd w:fill="D9EAF7"/>
          </w:tcPr>
          <w:p>
            <w:r/>
            <w:r>
              <w:rPr>
                <w:rFonts w:ascii="Aptos" w:hAnsi="Aptos"/>
                <w:b/>
                <w:sz w:val="16"/>
              </w:rPr>
              <w:t>Metric</w:t>
            </w:r>
          </w:p>
        </w:tc>
        <w:tc>
          <w:tcPr>
            <w:tcW w:type="dxa" w:w="3456"/>
            <w:vAlign w:val="top"/>
            <w:shd w:fill="D9EAF7"/>
          </w:tcPr>
          <w:p>
            <w:r/>
            <w:r>
              <w:rPr>
                <w:rFonts w:ascii="Aptos" w:hAnsi="Aptos"/>
                <w:b/>
                <w:sz w:val="16"/>
              </w:rPr>
              <w:t>Baseline</w:t>
            </w:r>
          </w:p>
        </w:tc>
        <w:tc>
          <w:tcPr>
            <w:tcW w:type="dxa" w:w="3456"/>
            <w:vAlign w:val="top"/>
            <w:shd w:fill="D9EAF7"/>
          </w:tcPr>
          <w:p>
            <w:r/>
            <w:r>
              <w:rPr>
                <w:rFonts w:ascii="Aptos" w:hAnsi="Aptos"/>
                <w:b/>
                <w:sz w:val="16"/>
              </w:rPr>
              <w:t>har_downside_v1</w:t>
            </w:r>
          </w:p>
        </w:tc>
      </w:tr>
      <w:tr>
        <w:tc>
          <w:tcPr>
            <w:tcW w:type="dxa" w:w="3744"/>
            <w:vAlign w:val="top"/>
          </w:tcPr>
          <w:p>
            <w:r/>
            <w:r>
              <w:rPr>
                <w:rFonts w:ascii="Aptos" w:hAnsi="Aptos"/>
                <w:b w:val="0"/>
                <w:sz w:val="16"/>
              </w:rPr>
              <w:t>Trades</w:t>
            </w:r>
          </w:p>
        </w:tc>
        <w:tc>
          <w:tcPr>
            <w:tcW w:type="dxa" w:w="3456"/>
            <w:vAlign w:val="top"/>
          </w:tcPr>
          <w:p>
            <w:r/>
            <w:r>
              <w:rPr>
                <w:rFonts w:ascii="Aptos" w:hAnsi="Aptos"/>
                <w:b w:val="0"/>
                <w:sz w:val="16"/>
              </w:rPr>
              <w:t>177</w:t>
            </w:r>
          </w:p>
        </w:tc>
        <w:tc>
          <w:tcPr>
            <w:tcW w:type="dxa" w:w="3456"/>
            <w:vAlign w:val="top"/>
          </w:tcPr>
          <w:p>
            <w:r/>
            <w:r>
              <w:rPr>
                <w:rFonts w:ascii="Aptos" w:hAnsi="Aptos"/>
                <w:b w:val="0"/>
                <w:sz w:val="16"/>
              </w:rPr>
              <w:t>156</w:t>
            </w:r>
          </w:p>
        </w:tc>
      </w:tr>
      <w:tr>
        <w:tc>
          <w:tcPr>
            <w:tcW w:type="dxa" w:w="3744"/>
            <w:vAlign w:val="top"/>
          </w:tcPr>
          <w:p>
            <w:r/>
            <w:r>
              <w:rPr>
                <w:rFonts w:ascii="Aptos" w:hAnsi="Aptos"/>
                <w:b w:val="0"/>
                <w:sz w:val="16"/>
              </w:rPr>
              <w:t>Trade retention</w:t>
            </w:r>
          </w:p>
        </w:tc>
        <w:tc>
          <w:tcPr>
            <w:tcW w:type="dxa" w:w="3456"/>
            <w:vAlign w:val="top"/>
          </w:tcPr>
          <w:p>
            <w:r/>
            <w:r>
              <w:rPr>
                <w:rFonts w:ascii="Aptos" w:hAnsi="Aptos"/>
                <w:b w:val="0"/>
                <w:sz w:val="16"/>
              </w:rPr>
              <w:t>100.00%</w:t>
            </w:r>
          </w:p>
        </w:tc>
        <w:tc>
          <w:tcPr>
            <w:tcW w:type="dxa" w:w="3456"/>
            <w:vAlign w:val="top"/>
          </w:tcPr>
          <w:p>
            <w:r/>
            <w:r>
              <w:rPr>
                <w:rFonts w:ascii="Aptos" w:hAnsi="Aptos"/>
                <w:b w:val="0"/>
                <w:sz w:val="16"/>
              </w:rPr>
              <w:t>88.14%</w:t>
            </w:r>
          </w:p>
        </w:tc>
      </w:tr>
      <w:tr>
        <w:tc>
          <w:tcPr>
            <w:tcW w:type="dxa" w:w="3744"/>
            <w:vAlign w:val="top"/>
          </w:tcPr>
          <w:p>
            <w:r/>
            <w:r>
              <w:rPr>
                <w:rFonts w:ascii="Aptos" w:hAnsi="Aptos"/>
                <w:b w:val="0"/>
                <w:sz w:val="16"/>
              </w:rPr>
              <w:t>Signal frequency</w:t>
            </w:r>
          </w:p>
        </w:tc>
        <w:tc>
          <w:tcPr>
            <w:tcW w:type="dxa" w:w="3456"/>
            <w:vAlign w:val="top"/>
          </w:tcPr>
          <w:p>
            <w:r/>
            <w:r>
              <w:rPr>
                <w:rFonts w:ascii="Aptos" w:hAnsi="Aptos"/>
                <w:b w:val="0"/>
                <w:sz w:val="16"/>
              </w:rPr>
              <w:t>13.07%</w:t>
            </w:r>
          </w:p>
        </w:tc>
        <w:tc>
          <w:tcPr>
            <w:tcW w:type="dxa" w:w="3456"/>
            <w:vAlign w:val="top"/>
          </w:tcPr>
          <w:p>
            <w:r/>
            <w:r>
              <w:rPr>
                <w:rFonts w:ascii="Aptos" w:hAnsi="Aptos"/>
                <w:b w:val="0"/>
                <w:sz w:val="16"/>
              </w:rPr>
              <w:t>11.52%</w:t>
            </w:r>
          </w:p>
        </w:tc>
      </w:tr>
      <w:tr>
        <w:tc>
          <w:tcPr>
            <w:tcW w:type="dxa" w:w="3744"/>
            <w:vAlign w:val="top"/>
          </w:tcPr>
          <w:p>
            <w:r/>
            <w:r>
              <w:rPr>
                <w:rFonts w:ascii="Aptos" w:hAnsi="Aptos"/>
                <w:b w:val="0"/>
                <w:sz w:val="16"/>
              </w:rPr>
              <w:t>Win rate</w:t>
            </w:r>
          </w:p>
        </w:tc>
        <w:tc>
          <w:tcPr>
            <w:tcW w:type="dxa" w:w="3456"/>
            <w:vAlign w:val="top"/>
          </w:tcPr>
          <w:p>
            <w:r/>
            <w:r>
              <w:rPr>
                <w:rFonts w:ascii="Aptos" w:hAnsi="Aptos"/>
                <w:b w:val="0"/>
                <w:sz w:val="16"/>
              </w:rPr>
              <w:t>86.44%</w:t>
            </w:r>
          </w:p>
        </w:tc>
        <w:tc>
          <w:tcPr>
            <w:tcW w:type="dxa" w:w="3456"/>
            <w:vAlign w:val="top"/>
          </w:tcPr>
          <w:p>
            <w:r/>
            <w:r>
              <w:rPr>
                <w:rFonts w:ascii="Aptos" w:hAnsi="Aptos"/>
                <w:b w:val="0"/>
                <w:sz w:val="16"/>
              </w:rPr>
              <w:t>90.38%</w:t>
            </w:r>
          </w:p>
        </w:tc>
      </w:tr>
      <w:tr>
        <w:tc>
          <w:tcPr>
            <w:tcW w:type="dxa" w:w="3744"/>
            <w:vAlign w:val="top"/>
          </w:tcPr>
          <w:p>
            <w:r/>
            <w:r>
              <w:rPr>
                <w:rFonts w:ascii="Aptos" w:hAnsi="Aptos"/>
                <w:b w:val="0"/>
                <w:sz w:val="16"/>
              </w:rPr>
              <w:t>Profit factor</w:t>
            </w:r>
          </w:p>
        </w:tc>
        <w:tc>
          <w:tcPr>
            <w:tcW w:type="dxa" w:w="3456"/>
            <w:vAlign w:val="top"/>
          </w:tcPr>
          <w:p>
            <w:r/>
            <w:r>
              <w:rPr>
                <w:rFonts w:ascii="Aptos" w:hAnsi="Aptos"/>
                <w:b w:val="0"/>
                <w:sz w:val="16"/>
              </w:rPr>
              <w:t>3.99</w:t>
            </w:r>
          </w:p>
        </w:tc>
        <w:tc>
          <w:tcPr>
            <w:tcW w:type="dxa" w:w="3456"/>
            <w:vAlign w:val="top"/>
          </w:tcPr>
          <w:p>
            <w:r/>
            <w:r>
              <w:rPr>
                <w:rFonts w:ascii="Aptos" w:hAnsi="Aptos"/>
                <w:b w:val="0"/>
                <w:sz w:val="16"/>
              </w:rPr>
              <w:t>6.85</w:t>
            </w:r>
          </w:p>
        </w:tc>
      </w:tr>
      <w:tr>
        <w:tc>
          <w:tcPr>
            <w:tcW w:type="dxa" w:w="3744"/>
            <w:vAlign w:val="top"/>
          </w:tcPr>
          <w:p>
            <w:r/>
            <w:r>
              <w:rPr>
                <w:rFonts w:ascii="Aptos" w:hAnsi="Aptos"/>
                <w:b w:val="0"/>
                <w:sz w:val="16"/>
              </w:rPr>
              <w:t>Total P&amp;L</w:t>
            </w:r>
          </w:p>
        </w:tc>
        <w:tc>
          <w:tcPr>
            <w:tcW w:type="dxa" w:w="3456"/>
            <w:vAlign w:val="top"/>
          </w:tcPr>
          <w:p>
            <w:r/>
            <w:r>
              <w:rPr>
                <w:rFonts w:ascii="Aptos" w:hAnsi="Aptos"/>
                <w:b w:val="0"/>
                <w:sz w:val="16"/>
              </w:rPr>
              <w:t>$1.945mm</w:t>
            </w:r>
          </w:p>
        </w:tc>
        <w:tc>
          <w:tcPr>
            <w:tcW w:type="dxa" w:w="3456"/>
            <w:vAlign w:val="top"/>
          </w:tcPr>
          <w:p>
            <w:r/>
            <w:r>
              <w:rPr>
                <w:rFonts w:ascii="Aptos" w:hAnsi="Aptos"/>
                <w:b w:val="0"/>
                <w:sz w:val="16"/>
              </w:rPr>
              <w:t>$2.612mm</w:t>
            </w:r>
          </w:p>
        </w:tc>
      </w:tr>
      <w:tr>
        <w:tc>
          <w:tcPr>
            <w:tcW w:type="dxa" w:w="3744"/>
            <w:vAlign w:val="top"/>
          </w:tcPr>
          <w:p>
            <w:r/>
            <w:r>
              <w:rPr>
                <w:rFonts w:ascii="Aptos" w:hAnsi="Aptos"/>
                <w:b w:val="0"/>
                <w:sz w:val="16"/>
              </w:rPr>
              <w:t>Worst trade</w:t>
            </w:r>
          </w:p>
        </w:tc>
        <w:tc>
          <w:tcPr>
            <w:tcW w:type="dxa" w:w="3456"/>
            <w:vAlign w:val="top"/>
          </w:tcPr>
          <w:p>
            <w:r/>
            <w:r>
              <w:rPr>
                <w:rFonts w:ascii="Aptos" w:hAnsi="Aptos"/>
                <w:b w:val="0"/>
                <w:sz w:val="16"/>
              </w:rPr>
              <w:t>-$112.3k</w:t>
            </w:r>
          </w:p>
        </w:tc>
        <w:tc>
          <w:tcPr>
            <w:tcW w:type="dxa" w:w="3456"/>
            <w:vAlign w:val="top"/>
          </w:tcPr>
          <w:p>
            <w:r/>
            <w:r>
              <w:rPr>
                <w:rFonts w:ascii="Aptos" w:hAnsi="Aptos"/>
                <w:b w:val="0"/>
                <w:sz w:val="16"/>
              </w:rPr>
              <w:t>-$80.4k</w:t>
            </w:r>
          </w:p>
        </w:tc>
      </w:tr>
      <w:tr>
        <w:tc>
          <w:tcPr>
            <w:tcW w:type="dxa" w:w="3744"/>
            <w:vAlign w:val="top"/>
          </w:tcPr>
          <w:p>
            <w:r/>
            <w:r>
              <w:rPr>
                <w:rFonts w:ascii="Aptos" w:hAnsi="Aptos"/>
                <w:b w:val="0"/>
                <w:sz w:val="16"/>
              </w:rPr>
              <w:t>Selected-trade drawdown</w:t>
            </w:r>
          </w:p>
        </w:tc>
        <w:tc>
          <w:tcPr>
            <w:tcW w:type="dxa" w:w="3456"/>
            <w:vAlign w:val="top"/>
          </w:tcPr>
          <w:p>
            <w:r/>
            <w:r>
              <w:rPr>
                <w:rFonts w:ascii="Aptos" w:hAnsi="Aptos"/>
                <w:b w:val="0"/>
                <w:sz w:val="16"/>
              </w:rPr>
              <w:t>-$480.6k</w:t>
            </w:r>
          </w:p>
        </w:tc>
        <w:tc>
          <w:tcPr>
            <w:tcW w:type="dxa" w:w="3456"/>
            <w:vAlign w:val="top"/>
          </w:tcPr>
          <w:p>
            <w:r/>
            <w:r>
              <w:rPr>
                <w:rFonts w:ascii="Aptos" w:hAnsi="Aptos"/>
                <w:b w:val="0"/>
                <w:sz w:val="16"/>
              </w:rPr>
              <w:t>-$203.4k</w:t>
            </w:r>
          </w:p>
        </w:tc>
      </w:tr>
      <w:tr>
        <w:tc>
          <w:tcPr>
            <w:tcW w:type="dxa" w:w="3744"/>
            <w:vAlign w:val="top"/>
          </w:tcPr>
          <w:p>
            <w:r/>
            <w:r>
              <w:rPr>
                <w:rFonts w:ascii="Aptos" w:hAnsi="Aptos"/>
                <w:b w:val="0"/>
                <w:sz w:val="16"/>
              </w:rPr>
              <w:t>Trades &lt;= -$100k</w:t>
            </w:r>
          </w:p>
        </w:tc>
        <w:tc>
          <w:tcPr>
            <w:tcW w:type="dxa" w:w="3456"/>
            <w:vAlign w:val="top"/>
          </w:tcPr>
          <w:p>
            <w:r/>
            <w:r>
              <w:rPr>
                <w:rFonts w:ascii="Aptos" w:hAnsi="Aptos"/>
                <w:b w:val="0"/>
                <w:sz w:val="16"/>
              </w:rPr>
              <w:t>2</w:t>
            </w:r>
          </w:p>
        </w:tc>
        <w:tc>
          <w:tcPr>
            <w:tcW w:type="dxa" w:w="3456"/>
            <w:vAlign w:val="top"/>
          </w:tcPr>
          <w:p>
            <w:r/>
            <w:r>
              <w:rPr>
                <w:rFonts w:ascii="Aptos" w:hAnsi="Aptos"/>
                <w:b w:val="0"/>
                <w:sz w:val="16"/>
              </w:rPr>
              <w:t>0</w:t>
            </w:r>
          </w:p>
        </w:tc>
      </w:tr>
      <w:tr>
        <w:tc>
          <w:tcPr>
            <w:tcW w:type="dxa" w:w="3744"/>
            <w:vAlign w:val="top"/>
          </w:tcPr>
          <w:p>
            <w:r/>
            <w:r>
              <w:rPr>
                <w:rFonts w:ascii="Aptos" w:hAnsi="Aptos"/>
                <w:b w:val="0"/>
                <w:sz w:val="16"/>
              </w:rPr>
              <w:t>2025 P&amp;L</w:t>
            </w:r>
          </w:p>
        </w:tc>
        <w:tc>
          <w:tcPr>
            <w:tcW w:type="dxa" w:w="3456"/>
            <w:vAlign w:val="top"/>
          </w:tcPr>
          <w:p>
            <w:r/>
            <w:r>
              <w:rPr>
                <w:rFonts w:ascii="Aptos" w:hAnsi="Aptos"/>
                <w:b w:val="0"/>
                <w:sz w:val="16"/>
              </w:rPr>
              <w:t>-$208.9k</w:t>
            </w:r>
          </w:p>
        </w:tc>
        <w:tc>
          <w:tcPr>
            <w:tcW w:type="dxa" w:w="3456"/>
            <w:vAlign w:val="top"/>
          </w:tcPr>
          <w:p>
            <w:r/>
            <w:r>
              <w:rPr>
                <w:rFonts w:ascii="Aptos" w:hAnsi="Aptos"/>
                <w:b w:val="0"/>
                <w:sz w:val="16"/>
              </w:rPr>
              <w:t>+$668.0k</w:t>
            </w:r>
          </w:p>
        </w:tc>
      </w:tr>
      <w:tr>
        <w:tc>
          <w:tcPr>
            <w:tcW w:type="dxa" w:w="3744"/>
            <w:vAlign w:val="top"/>
          </w:tcPr>
          <w:p>
            <w:r/>
            <w:r>
              <w:rPr>
                <w:rFonts w:ascii="Aptos" w:hAnsi="Aptos"/>
                <w:b w:val="0"/>
                <w:sz w:val="16"/>
              </w:rPr>
              <w:t>2025 worst trade</w:t>
            </w:r>
          </w:p>
        </w:tc>
        <w:tc>
          <w:tcPr>
            <w:tcW w:type="dxa" w:w="3456"/>
            <w:vAlign w:val="top"/>
          </w:tcPr>
          <w:p>
            <w:r/>
            <w:r>
              <w:rPr>
                <w:rFonts w:ascii="Aptos" w:hAnsi="Aptos"/>
                <w:b w:val="0"/>
                <w:sz w:val="16"/>
              </w:rPr>
              <w:t>-$112.3k</w:t>
            </w:r>
          </w:p>
        </w:tc>
        <w:tc>
          <w:tcPr>
            <w:tcW w:type="dxa" w:w="3456"/>
            <w:vAlign w:val="top"/>
          </w:tcPr>
          <w:p>
            <w:r/>
            <w:r>
              <w:rPr>
                <w:rFonts w:ascii="Aptos" w:hAnsi="Aptos"/>
                <w:b w:val="0"/>
                <w:sz w:val="16"/>
              </w:rPr>
              <w:t>-$19.2k</w:t>
            </w:r>
          </w:p>
        </w:tc>
      </w:tr>
    </w:tbl>
    <w:p>
      <w:r>
        <w:t>Interpretation: the locked denominator produced fewer trades but higher quality trades, lifting win rate and profit factor while cutting worst trade and selected-trade drawdown. The most important improvement was not simply more total P&amp;L; it was a cleaner tail-loss profile and the removal of &gt;= $100k loss events in the tested 30D/Core set.</w:t>
      </w:r>
    </w:p>
    <w:p>
      <w:pPr>
        <w:pStyle w:val="Heading1"/>
      </w:pPr>
      <w:r>
        <w:t>12. Reproduction checklist</w:t>
      </w:r>
    </w:p>
    <w:p>
      <w:pPr>
        <w:pStyle w:val="ListNumber"/>
      </w:pPr>
      <w:r>
        <w:t>Confirm project root is C:\Users\patri\vrp_project and that the expected processed/audit folder structure exists.</w:t>
      </w:r>
    </w:p>
    <w:p>
      <w:pPr>
        <w:pStyle w:val="ListNumber"/>
      </w:pPr>
      <w:r>
        <w:t>Confirm the VIX-style implied-variance term-structure history exists for the exact 9-tenor grid.</w:t>
      </w:r>
    </w:p>
    <w:p>
      <w:pPr>
        <w:pStyle w:val="ListNumber"/>
      </w:pPr>
      <w:r>
        <w:t>Confirm the cross-tenor target file exists and includes trade_date/date, tenor/target_days, last_forward_rv_date, and log_forward_realized_variance_corsi or forward_realized_variance_corsi.</w:t>
      </w:r>
    </w:p>
    <w:p>
      <w:pPr>
        <w:pStyle w:val="ListNumber"/>
      </w:pPr>
      <w:r>
        <w:t>Confirm the locked 30D feature source exists and includes all nine exact har_downside_v1 feature columns.</w:t>
      </w:r>
    </w:p>
    <w:p>
      <w:pPr>
        <w:pStyle w:val="ListNumber"/>
      </w:pPr>
      <w:r>
        <w:t>Run Cell 2B to create the cross-tenor har_downside_v1 denominator panel; stop if any required validation fails.</w:t>
      </w:r>
    </w:p>
    <w:p>
      <w:pPr>
        <w:pStyle w:val="ListNumber"/>
      </w:pPr>
      <w:r>
        <w:t>Run Cell 2C to create the clean Core signal base panel; stop if any required validation fails.</w:t>
      </w:r>
    </w:p>
    <w:p>
      <w:pPr>
        <w:pStyle w:val="ListNumber"/>
      </w:pPr>
      <w:r>
        <w:t>For any downstream parameter sweep, filter or account for fit_status and require finite model_vrp_log, z-scores, RSI, and outcome fields.</w:t>
      </w:r>
    </w:p>
    <w:p>
      <w:pPr>
        <w:pStyle w:val="ListNumber"/>
      </w:pPr>
      <w:r>
        <w:t>Do not use generic legacy forecast_variance columns as the current denominator; use forecast_variance_har_downside_v1.</w:t>
      </w:r>
    </w:p>
    <w:p>
      <w:pPr>
        <w:pStyle w:val="ListNumber"/>
      </w:pPr>
      <w:r>
        <w:t>Do not use inclusive-current z-scores; recompute z-scores prior-only by tenor.</w:t>
      </w:r>
    </w:p>
    <w:p>
      <w:pPr>
        <w:pStyle w:val="ListNumber"/>
      </w:pPr>
      <w:r>
        <w:t>Do not retest Core Back during Core Front/Middle research unless explicitly approved after combined portfolio-level sanity checks.</w:t>
      </w:r>
    </w:p>
    <w:p>
      <w:pPr>
        <w:pStyle w:val="Heading1"/>
      </w:pPr>
      <w:r>
        <w:t>13. Current limitations and caveats</w:t>
      </w:r>
    </w:p>
    <w:p>
      <w:pPr>
        <w:pStyle w:val="ListBullet"/>
      </w:pPr>
      <w:r>
        <w:t>The outcome source currently lives under data\processed\old. It is usable for research but should be promoted or copied to a canonical production location before productionizing.</w:t>
      </w:r>
    </w:p>
    <w:p>
      <w:pPr>
        <w:pStyle w:val="ListBullet"/>
      </w:pPr>
      <w:r>
        <w:t>The latest dates may have missing outcome fields because trades have not expired yet or pricing outcomes are unavailable. Cell 2C still passes because the broader historical outcome join is valid.</w:t>
      </w:r>
    </w:p>
    <w:p>
      <w:pPr>
        <w:pStyle w:val="ListBullet"/>
      </w:pPr>
      <w:r>
        <w:t>The current document covers the forecast denominator and signal-base construction. Core Front and Core Middle parameter research are the next steps and are not yet locked in this cross-tenor branch.</w:t>
      </w:r>
    </w:p>
    <w:p>
      <w:pPr>
        <w:pStyle w:val="ListBullet"/>
      </w:pPr>
      <w:r>
        <w:t>The 30D anchor comparison from Cell 2B showed a mean forecast-variance difference of roughly 0.001046 versus the locked 30D forecast over 1,354 overlapping rows. This is diagnostic only and does not reopen Core Back.</w:t>
      </w:r>
    </w:p>
    <w:p>
      <w:pPr>
        <w:pStyle w:val="ListBullet"/>
      </w:pPr>
      <w:r>
        <w:t>Intraday data should be stored separately from official EOD research history. Intraday snapshots are live decision support; EOD snapshots are the official backtest/research record.</w:t>
      </w:r>
    </w:p>
    <w:p>
      <w:pPr>
        <w:pStyle w:val="Heading1"/>
      </w:pPr>
      <w:r>
        <w:t>14. Audit files produced by the latest run</w:t>
      </w:r>
    </w:p>
    <w:tbl>
      <w:tblPr>
        <w:tblStyle w:val="TableGrid"/>
        <w:tblW w:type="auto" w:w="0"/>
        <w:jc w:val="center"/>
        <w:tblLook w:firstColumn="1" w:firstRow="1" w:lastColumn="0" w:lastRow="0" w:noHBand="0" w:noVBand="1" w:val="04A0"/>
      </w:tblPr>
      <w:tblGrid>
        <w:gridCol w:w="5328"/>
        <w:gridCol w:w="5328"/>
      </w:tblGrid>
      <w:tr>
        <w:tc>
          <w:tcPr>
            <w:tcW w:type="dxa" w:w="3312"/>
            <w:vAlign w:val="top"/>
            <w:shd w:fill="D9EAF7"/>
          </w:tcPr>
          <w:p>
            <w:r/>
            <w:r>
              <w:rPr>
                <w:rFonts w:ascii="Aptos" w:hAnsi="Aptos"/>
                <w:b/>
                <w:sz w:val="15"/>
              </w:rPr>
              <w:t>Artifact</w:t>
            </w:r>
          </w:p>
        </w:tc>
        <w:tc>
          <w:tcPr>
            <w:tcW w:type="dxa" w:w="7776"/>
            <w:vAlign w:val="top"/>
            <w:shd w:fill="D9EAF7"/>
          </w:tcPr>
          <w:p>
            <w:r/>
            <w:r>
              <w:rPr>
                <w:rFonts w:ascii="Aptos" w:hAnsi="Aptos"/>
                <w:b/>
                <w:sz w:val="15"/>
              </w:rPr>
              <w:t>Path</w:t>
            </w:r>
          </w:p>
        </w:tc>
      </w:tr>
      <w:tr>
        <w:tc>
          <w:tcPr>
            <w:tcW w:type="dxa" w:w="3312"/>
            <w:vAlign w:val="top"/>
          </w:tcPr>
          <w:p>
            <w:r/>
            <w:r>
              <w:rPr>
                <w:rFonts w:ascii="Aptos" w:hAnsi="Aptos"/>
                <w:b w:val="0"/>
                <w:sz w:val="15"/>
              </w:rPr>
              <w:t>Cell 2B denominator panel</w:t>
            </w:r>
          </w:p>
        </w:tc>
        <w:tc>
          <w:tcPr>
            <w:tcW w:type="dxa" w:w="7776"/>
            <w:vAlign w:val="top"/>
          </w:tcPr>
          <w:p>
            <w:r/>
            <w:r>
              <w:rPr>
                <w:rFonts w:ascii="Aptos" w:hAnsi="Aptos"/>
                <w:b w:val="0"/>
                <w:sz w:val="15"/>
              </w:rPr>
              <w:t>data\processed\vrp_core_bucket_parameters_v1\02B_cross_tenor_har_downside_denominator_panel_20180924_20260701_20260704_180151.parquet</w:t>
            </w:r>
          </w:p>
        </w:tc>
      </w:tr>
      <w:tr>
        <w:tc>
          <w:tcPr>
            <w:tcW w:type="dxa" w:w="3312"/>
            <w:vAlign w:val="top"/>
          </w:tcPr>
          <w:p>
            <w:r/>
            <w:r>
              <w:rPr>
                <w:rFonts w:ascii="Aptos" w:hAnsi="Aptos"/>
                <w:b w:val="0"/>
                <w:sz w:val="15"/>
              </w:rPr>
              <w:t>Cell 2B model summary</w:t>
            </w:r>
          </w:p>
        </w:tc>
        <w:tc>
          <w:tcPr>
            <w:tcW w:type="dxa" w:w="7776"/>
            <w:vAlign w:val="top"/>
          </w:tcPr>
          <w:p>
            <w:r/>
            <w:r>
              <w:rPr>
                <w:rFonts w:ascii="Aptos" w:hAnsi="Aptos"/>
                <w:b w:val="0"/>
                <w:sz w:val="15"/>
              </w:rPr>
              <w:t>data\audit\vrp_core_bucket_parameters_v1\02B_cross_tenor_har_downside_model_summary_20180924_20260701_20260704_180151.csv</w:t>
            </w:r>
          </w:p>
        </w:tc>
      </w:tr>
      <w:tr>
        <w:tc>
          <w:tcPr>
            <w:tcW w:type="dxa" w:w="3312"/>
            <w:vAlign w:val="top"/>
          </w:tcPr>
          <w:p>
            <w:r/>
            <w:r>
              <w:rPr>
                <w:rFonts w:ascii="Aptos" w:hAnsi="Aptos"/>
                <w:b w:val="0"/>
                <w:sz w:val="15"/>
              </w:rPr>
              <w:t>Cell 2B validation</w:t>
            </w:r>
          </w:p>
        </w:tc>
        <w:tc>
          <w:tcPr>
            <w:tcW w:type="dxa" w:w="7776"/>
            <w:vAlign w:val="top"/>
          </w:tcPr>
          <w:p>
            <w:r/>
            <w:r>
              <w:rPr>
                <w:rFonts w:ascii="Aptos" w:hAnsi="Aptos"/>
                <w:b w:val="0"/>
                <w:sz w:val="15"/>
              </w:rPr>
              <w:t>data\audit\vrp_core_bucket_parameters_v1\02B_cross_tenor_har_downside_validation_20180924_20260701_20260704_180151.csv</w:t>
            </w:r>
          </w:p>
        </w:tc>
      </w:tr>
      <w:tr>
        <w:tc>
          <w:tcPr>
            <w:tcW w:type="dxa" w:w="3312"/>
            <w:vAlign w:val="top"/>
          </w:tcPr>
          <w:p>
            <w:r/>
            <w:r>
              <w:rPr>
                <w:rFonts w:ascii="Aptos" w:hAnsi="Aptos"/>
                <w:b w:val="0"/>
                <w:sz w:val="15"/>
              </w:rPr>
              <w:t>Cell 2B anchor comparison</w:t>
            </w:r>
          </w:p>
        </w:tc>
        <w:tc>
          <w:tcPr>
            <w:tcW w:type="dxa" w:w="7776"/>
            <w:vAlign w:val="top"/>
          </w:tcPr>
          <w:p>
            <w:r/>
            <w:r>
              <w:rPr>
                <w:rFonts w:ascii="Aptos" w:hAnsi="Aptos"/>
                <w:b w:val="0"/>
                <w:sz w:val="15"/>
              </w:rPr>
              <w:t>data\audit\vrp_core_bucket_parameters_v1\02B_cross_tenor_har_downside_30d_anchor_comparison_20180924_20260701_20260704_180151.csv</w:t>
            </w:r>
          </w:p>
        </w:tc>
      </w:tr>
      <w:tr>
        <w:tc>
          <w:tcPr>
            <w:tcW w:type="dxa" w:w="3312"/>
            <w:vAlign w:val="top"/>
          </w:tcPr>
          <w:p>
            <w:r/>
            <w:r>
              <w:rPr>
                <w:rFonts w:ascii="Aptos" w:hAnsi="Aptos"/>
                <w:b w:val="0"/>
                <w:sz w:val="15"/>
              </w:rPr>
              <w:t>Cell 2C signal base panel</w:t>
            </w:r>
          </w:p>
        </w:tc>
        <w:tc>
          <w:tcPr>
            <w:tcW w:type="dxa" w:w="7776"/>
            <w:vAlign w:val="top"/>
          </w:tcPr>
          <w:p>
            <w:r/>
            <w:r>
              <w:rPr>
                <w:rFonts w:ascii="Aptos" w:hAnsi="Aptos"/>
                <w:b w:val="0"/>
                <w:sz w:val="15"/>
              </w:rPr>
              <w:t>data\processed\vrp_core_bucket_parameters_v1\02C_cross_tenor_core_signal_base_panel_20180924_20260701_20260704_181305.parquet</w:t>
            </w:r>
          </w:p>
        </w:tc>
      </w:tr>
      <w:tr>
        <w:tc>
          <w:tcPr>
            <w:tcW w:type="dxa" w:w="3312"/>
            <w:vAlign w:val="top"/>
          </w:tcPr>
          <w:p>
            <w:r/>
            <w:r>
              <w:rPr>
                <w:rFonts w:ascii="Aptos" w:hAnsi="Aptos"/>
                <w:b w:val="0"/>
                <w:sz w:val="15"/>
              </w:rPr>
              <w:t>Cell 2C validation</w:t>
            </w:r>
          </w:p>
        </w:tc>
        <w:tc>
          <w:tcPr>
            <w:tcW w:type="dxa" w:w="7776"/>
            <w:vAlign w:val="top"/>
          </w:tcPr>
          <w:p>
            <w:r/>
            <w:r>
              <w:rPr>
                <w:rFonts w:ascii="Aptos" w:hAnsi="Aptos"/>
                <w:b w:val="0"/>
                <w:sz w:val="15"/>
              </w:rPr>
              <w:t>data\audit\vrp_core_bucket_parameters_v1\02C_cross_tenor_core_signal_base_validation_20180924_20260701_20260704_181305.csv</w:t>
            </w:r>
          </w:p>
        </w:tc>
      </w:tr>
      <w:tr>
        <w:tc>
          <w:tcPr>
            <w:tcW w:type="dxa" w:w="3312"/>
            <w:vAlign w:val="top"/>
          </w:tcPr>
          <w:p>
            <w:r/>
            <w:r>
              <w:rPr>
                <w:rFonts w:ascii="Aptos" w:hAnsi="Aptos"/>
                <w:b w:val="0"/>
                <w:sz w:val="15"/>
              </w:rPr>
              <w:t>Cell 2C column audit</w:t>
            </w:r>
          </w:p>
        </w:tc>
        <w:tc>
          <w:tcPr>
            <w:tcW w:type="dxa" w:w="7776"/>
            <w:vAlign w:val="top"/>
          </w:tcPr>
          <w:p>
            <w:r/>
            <w:r>
              <w:rPr>
                <w:rFonts w:ascii="Aptos" w:hAnsi="Aptos"/>
                <w:b w:val="0"/>
                <w:sz w:val="15"/>
              </w:rPr>
              <w:t>data\audit\vrp_core_bucket_parameters_v1\02C_cross_tenor_core_signal_base_column_audit_20180924_20260701_20260704_181305.csv</w:t>
            </w:r>
          </w:p>
        </w:tc>
      </w:tr>
      <w:tr>
        <w:tc>
          <w:tcPr>
            <w:tcW w:type="dxa" w:w="3312"/>
            <w:vAlign w:val="top"/>
          </w:tcPr>
          <w:p>
            <w:r/>
            <w:r>
              <w:rPr>
                <w:rFonts w:ascii="Aptos" w:hAnsi="Aptos"/>
                <w:b w:val="0"/>
                <w:sz w:val="15"/>
              </w:rPr>
              <w:t>Cell 2C z-debug audit</w:t>
            </w:r>
          </w:p>
        </w:tc>
        <w:tc>
          <w:tcPr>
            <w:tcW w:type="dxa" w:w="7776"/>
            <w:vAlign w:val="top"/>
          </w:tcPr>
          <w:p>
            <w:r/>
            <w:r>
              <w:rPr>
                <w:rFonts w:ascii="Aptos" w:hAnsi="Aptos"/>
                <w:b w:val="0"/>
                <w:sz w:val="15"/>
              </w:rPr>
              <w:t>data\audit\vrp_core_bucket_parameters_v1\02C_cross_tenor_core_signal_base_z_debug_20180924_20260701_20260704_181305.csv</w:t>
            </w:r>
          </w:p>
        </w:tc>
      </w:tr>
      <w:tr>
        <w:tc>
          <w:tcPr>
            <w:tcW w:type="dxa" w:w="3312"/>
            <w:vAlign w:val="top"/>
          </w:tcPr>
          <w:p>
            <w:r/>
            <w:r>
              <w:rPr>
                <w:rFonts w:ascii="Aptos" w:hAnsi="Aptos"/>
                <w:b w:val="0"/>
                <w:sz w:val="15"/>
              </w:rPr>
              <w:t>Cell 2C outcome attempt audit</w:t>
            </w:r>
          </w:p>
        </w:tc>
        <w:tc>
          <w:tcPr>
            <w:tcW w:type="dxa" w:w="7776"/>
            <w:vAlign w:val="top"/>
          </w:tcPr>
          <w:p>
            <w:r/>
            <w:r>
              <w:rPr>
                <w:rFonts w:ascii="Aptos" w:hAnsi="Aptos"/>
                <w:b w:val="0"/>
                <w:sz w:val="15"/>
              </w:rPr>
              <w:t>data\audit\vrp_core_bucket_parameters_v1\02C_cross_tenor_core_signal_base_outcome_attempt_audit_20180924_20260701_20260704_181305.csv</w:t>
            </w:r>
          </w:p>
        </w:tc>
      </w:tr>
      <w:tr>
        <w:tc>
          <w:tcPr>
            <w:tcW w:type="dxa" w:w="3312"/>
            <w:vAlign w:val="top"/>
          </w:tcPr>
          <w:p>
            <w:r/>
            <w:r>
              <w:rPr>
                <w:rFonts w:ascii="Aptos" w:hAnsi="Aptos"/>
                <w:b w:val="0"/>
                <w:sz w:val="15"/>
              </w:rPr>
              <w:t>Cell 2C manifest</w:t>
            </w:r>
          </w:p>
        </w:tc>
        <w:tc>
          <w:tcPr>
            <w:tcW w:type="dxa" w:w="7776"/>
            <w:vAlign w:val="top"/>
          </w:tcPr>
          <w:p>
            <w:r/>
            <w:r>
              <w:rPr>
                <w:rFonts w:ascii="Aptos" w:hAnsi="Aptos"/>
                <w:b w:val="0"/>
                <w:sz w:val="15"/>
              </w:rPr>
              <w:t>data\audit\vrp_core_bucket_parameters_v1\02C_cross_tenor_core_signal_base_manifest_20180924_20260701_20260704_181305.csv</w:t>
            </w:r>
          </w:p>
        </w:tc>
      </w:tr>
    </w:tbl>
    <w:p>
      <w:pPr>
        <w:pStyle w:val="Heading1"/>
      </w:pPr>
      <w:r>
        <w:t>15. Next work after this document</w:t>
      </w:r>
    </w:p>
    <w:p>
      <w:pPr>
        <w:pStyle w:val="ListBullet"/>
      </w:pPr>
      <w:r>
        <w:t>Cell 3: Core Front parameter research only, using Front bucket = 9/12/15 and bucket-level thresholds shared across those tenors.</w:t>
      </w:r>
    </w:p>
    <w:p>
      <w:pPr>
        <w:pStyle w:val="ListBullet"/>
      </w:pPr>
      <w:r>
        <w:t>Cell 4: lock or narrow Core Front.</w:t>
      </w:r>
    </w:p>
    <w:p>
      <w:pPr>
        <w:pStyle w:val="ListBullet"/>
      </w:pPr>
      <w:r>
        <w:t>Cell 5: research Core Middle constrained between locked Front and locked Back.</w:t>
      </w:r>
    </w:p>
    <w:p>
      <w:pPr>
        <w:pStyle w:val="ListBullet"/>
      </w:pPr>
      <w:r>
        <w:t>Cell 6: lock or narrow Core Middle.</w:t>
      </w:r>
    </w:p>
    <w:p>
      <w:pPr>
        <w:pStyle w:val="ListBullet"/>
      </w:pPr>
      <w:r>
        <w:t>Cell 7: combined Core sanity check across Front + Middle + Back. No Secondary or sizing unless explicitly approved.</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VRP trades project - Corsi / HAR-downside forecast model reproducibility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20"/>
      <w:ind w:lef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