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VRP Unified Forecast Denominator Model</w:t>
      </w:r>
    </w:p>
    <w:p>
      <w:pPr>
        <w:jc w:val="center"/>
      </w:pPr>
      <w:r>
        <w:rPr>
          <w:i/>
          <w:sz w:val="24"/>
        </w:rPr>
        <w:t>Locked working model: unified_fds_no_min_return</w:t>
      </w:r>
    </w:p>
    <w:p>
      <w:pPr>
        <w:jc w:val="center"/>
      </w:pPr>
      <w:r>
        <w:rPr>
          <w:sz w:val="18"/>
        </w:rPr>
        <w:t>Document generated: 2026-07-05 01:03</w:t>
      </w:r>
    </w:p>
    <w:p/>
    <w:p>
      <w:pPr>
        <w:pStyle w:val="Heading1"/>
      </w:pPr>
      <w:r>
        <w:t>1. High-level reference</w:t>
      </w:r>
    </w:p>
    <w:p>
      <w:r>
        <w:rPr>
          <w:b/>
        </w:rPr>
        <w:t xml:space="preserve">Purpose. </w:t>
      </w:r>
      <w:r>
        <w:t>This document describes the locked working denominator model for the VRP term-structure project. The model forecasts forward realized variance for SPX-like volatility risk premium signals across the exact nine-tenor grid. It is locked for continuing Core/Secondary threshold and signal research. It is not presented here as a final production deployment package.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Item</w:t>
            </w:r>
          </w:p>
        </w:tc>
        <w:tc>
          <w:tcPr>
            <w:tcW w:type="dxa" w:w="5112"/>
            <w:vAlign w:val="top"/>
            <w:shd w:fill="1F4E79"/>
          </w:tcPr>
          <w:p>
            <w:r/>
            <w:r>
              <w:rPr>
                <w:b/>
                <w:color w:val="FFFFFF"/>
              </w:rPr>
              <w:t>Locked value / rule</w:t>
            </w:r>
          </w:p>
        </w:tc>
      </w:tr>
      <w:tr>
        <w:tc>
          <w:tcPr>
            <w:tcW w:type="dxa" w:w="5112"/>
            <w:vAlign w:val="top"/>
          </w:tcPr>
          <w:p>
            <w:r/>
            <w:r>
              <w:rPr>
                <w:b w:val="0"/>
              </w:rPr>
              <w:t>Working model name</w:t>
            </w:r>
          </w:p>
        </w:tc>
        <w:tc>
          <w:tcPr>
            <w:tcW w:type="dxa" w:w="5112"/>
            <w:vAlign w:val="top"/>
          </w:tcPr>
          <w:p>
            <w:r/>
            <w:r>
              <w:rPr>
                <w:b w:val="0"/>
              </w:rPr>
              <w:t>unified_fds_no_min_return</w:t>
            </w:r>
          </w:p>
        </w:tc>
      </w:tr>
      <w:tr>
        <w:tc>
          <w:tcPr>
            <w:tcW w:type="dxa" w:w="5112"/>
            <w:vAlign w:val="top"/>
          </w:tcPr>
          <w:p>
            <w:r/>
            <w:r>
              <w:rPr>
                <w:b w:val="0"/>
              </w:rPr>
              <w:t>Branch</w:t>
            </w:r>
          </w:p>
        </w:tc>
        <w:tc>
          <w:tcPr>
            <w:tcW w:type="dxa" w:w="5112"/>
            <w:vAlign w:val="top"/>
          </w:tcPr>
          <w:p>
            <w:r/>
            <w:r>
              <w:rPr>
                <w:b w:val="0"/>
              </w:rPr>
              <w:t>vrp_front_middle_corsi_forecast_repair_v1</w:t>
            </w:r>
          </w:p>
        </w:tc>
      </w:tr>
      <w:tr>
        <w:tc>
          <w:tcPr>
            <w:tcW w:type="dxa" w:w="5112"/>
            <w:vAlign w:val="top"/>
          </w:tcPr>
          <w:p>
            <w:r/>
            <w:r>
              <w:rPr>
                <w:b w:val="0"/>
              </w:rPr>
              <w:t>Tenor grid</w:t>
            </w:r>
          </w:p>
        </w:tc>
        <w:tc>
          <w:tcPr>
            <w:tcW w:type="dxa" w:w="5112"/>
            <w:vAlign w:val="top"/>
          </w:tcPr>
          <w:p>
            <w:r/>
            <w:r>
              <w:rPr>
                <w:b w:val="0"/>
              </w:rPr>
              <w:t>9, 12, 15, 18, 21, 24, 27, 30, 33 calendar-day-style tenors</w:t>
            </w:r>
          </w:p>
        </w:tc>
      </w:tr>
      <w:tr>
        <w:tc>
          <w:tcPr>
            <w:tcW w:type="dxa" w:w="5112"/>
            <w:vAlign w:val="top"/>
          </w:tcPr>
          <w:p>
            <w:r/>
            <w:r>
              <w:rPr>
                <w:b w:val="0"/>
              </w:rPr>
              <w:t>Buckets</w:t>
            </w:r>
          </w:p>
        </w:tc>
        <w:tc>
          <w:tcPr>
            <w:tcW w:type="dxa" w:w="5112"/>
            <w:vAlign w:val="top"/>
          </w:tcPr>
          <w:p>
            <w:r/>
            <w:r>
              <w:rPr>
                <w:b w:val="0"/>
              </w:rPr>
              <w:t>Front = 9/12/15; Middle = 18/21/24; Back = 27/30/33</w:t>
            </w:r>
          </w:p>
        </w:tc>
      </w:tr>
      <w:tr>
        <w:tc>
          <w:tcPr>
            <w:tcW w:type="dxa" w:w="5112"/>
            <w:vAlign w:val="top"/>
          </w:tcPr>
          <w:p>
            <w:r/>
            <w:r>
              <w:rPr>
                <w:b w:val="0"/>
              </w:rPr>
              <w:t>Model family</w:t>
            </w:r>
          </w:p>
        </w:tc>
        <w:tc>
          <w:tcPr>
            <w:tcW w:type="dxa" w:w="5112"/>
            <w:vAlign w:val="top"/>
          </w:tcPr>
          <w:p>
            <w:r/>
            <w:r>
              <w:rPr>
                <w:b w:val="0"/>
              </w:rPr>
              <w:t>StandardScaler + Ridge regression, expanding yearly out-of-sample</w:t>
            </w:r>
          </w:p>
        </w:tc>
      </w:tr>
      <w:tr>
        <w:tc>
          <w:tcPr>
            <w:tcW w:type="dxa" w:w="5112"/>
            <w:vAlign w:val="top"/>
          </w:tcPr>
          <w:p>
            <w:r/>
            <w:r>
              <w:rPr>
                <w:b w:val="0"/>
              </w:rPr>
              <w:t>Fitting unit</w:t>
            </w:r>
          </w:p>
        </w:tc>
        <w:tc>
          <w:tcPr>
            <w:tcW w:type="dxa" w:w="5112"/>
            <w:vAlign w:val="top"/>
          </w:tcPr>
          <w:p>
            <w:r/>
            <w:r>
              <w:rPr>
                <w:b w:val="0"/>
              </w:rPr>
              <w:t>Separate fit per tenor, but the exact same feature specification and training procedure for all tenors</w:t>
            </w:r>
          </w:p>
        </w:tc>
      </w:tr>
      <w:tr>
        <w:tc>
          <w:tcPr>
            <w:tcW w:type="dxa" w:w="5112"/>
            <w:vAlign w:val="top"/>
          </w:tcPr>
          <w:p>
            <w:r/>
            <w:r>
              <w:rPr>
                <w:b w:val="0"/>
              </w:rPr>
              <w:t>Target</w:t>
            </w:r>
          </w:p>
        </w:tc>
        <w:tc>
          <w:tcPr>
            <w:tcW w:type="dxa" w:w="5112"/>
            <w:vAlign w:val="top"/>
          </w:tcPr>
          <w:p>
            <w:r/>
            <w:r>
              <w:rPr>
                <w:b w:val="0"/>
              </w:rPr>
              <w:t>target_log_variance, derived from forward realized variance</w:t>
            </w:r>
          </w:p>
        </w:tc>
      </w:tr>
      <w:tr>
        <w:tc>
          <w:tcPr>
            <w:tcW w:type="dxa" w:w="5112"/>
            <w:vAlign w:val="top"/>
          </w:tcPr>
          <w:p>
            <w:r/>
            <w:r>
              <w:rPr>
                <w:b w:val="0"/>
              </w:rPr>
              <w:t>Prediction output</w:t>
            </w:r>
          </w:p>
        </w:tc>
        <w:tc>
          <w:tcPr>
            <w:tcW w:type="dxa" w:w="5112"/>
            <w:vAlign w:val="top"/>
          </w:tcPr>
          <w:p>
            <w:r/>
            <w:r>
              <w:rPr>
                <w:b w:val="0"/>
              </w:rPr>
              <w:t>predicted_log_variance_candidate and forecast_variance_candidate = exp(predicted log variance)</w:t>
            </w:r>
          </w:p>
        </w:tc>
      </w:tr>
      <w:tr>
        <w:tc>
          <w:tcPr>
            <w:tcW w:type="dxa" w:w="5112"/>
            <w:vAlign w:val="top"/>
          </w:tcPr>
          <w:p>
            <w:r/>
            <w:r>
              <w:rPr>
                <w:b w:val="0"/>
              </w:rPr>
              <w:t>Primary signal denominator</w:t>
            </w:r>
          </w:p>
        </w:tc>
        <w:tc>
          <w:tcPr>
            <w:tcW w:type="dxa" w:w="5112"/>
            <w:vAlign w:val="top"/>
          </w:tcPr>
          <w:p>
            <w:r/>
            <w:r>
              <w:rPr>
                <w:b w:val="0"/>
              </w:rPr>
              <w:t>forecast_variance_candidate from unified_fds_no_min_return</w:t>
            </w:r>
          </w:p>
        </w:tc>
      </w:tr>
      <w:tr>
        <w:tc>
          <w:tcPr>
            <w:tcW w:type="dxa" w:w="5112"/>
            <w:vAlign w:val="top"/>
          </w:tcPr>
          <w:p>
            <w:r/>
            <w:r>
              <w:rPr>
                <w:b w:val="0"/>
              </w:rPr>
              <w:t>No-blend rule</w:t>
            </w:r>
          </w:p>
        </w:tc>
        <w:tc>
          <w:tcPr>
            <w:tcW w:type="dxa" w:w="5112"/>
            <w:vAlign w:val="top"/>
          </w:tcPr>
          <w:p>
            <w:r/>
            <w:r>
              <w:rPr>
                <w:b w:val="0"/>
              </w:rPr>
              <w:t>No blending with old denominator or other candidates</w:t>
            </w:r>
          </w:p>
        </w:tc>
      </w:tr>
      <w:tr>
        <w:tc>
          <w:tcPr>
            <w:tcW w:type="dxa" w:w="5112"/>
            <w:vAlign w:val="top"/>
          </w:tcPr>
          <w:p>
            <w:r/>
            <w:r>
              <w:rPr>
                <w:b w:val="0"/>
              </w:rPr>
              <w:t>No-threshold-grid rule</w:t>
            </w:r>
          </w:p>
        </w:tc>
        <w:tc>
          <w:tcPr>
            <w:tcW w:type="dxa" w:w="5112"/>
            <w:vAlign w:val="top"/>
          </w:tcPr>
          <w:p>
            <w:r/>
            <w:r>
              <w:rPr>
                <w:b w:val="0"/>
              </w:rPr>
              <w:t>Denominator lock test did not tune thresholds</w:t>
            </w:r>
          </w:p>
        </w:tc>
      </w:tr>
      <w:tr>
        <w:tc>
          <w:tcPr>
            <w:tcW w:type="dxa" w:w="5112"/>
            <w:vAlign w:val="top"/>
          </w:tcPr>
          <w:p>
            <w:r/>
            <w:r>
              <w:rPr>
                <w:b w:val="0"/>
              </w:rPr>
              <w:t>Back diagnostic thresholds</w:t>
            </w:r>
          </w:p>
        </w:tc>
        <w:tc>
          <w:tcPr>
            <w:tcW w:type="dxa" w:w="5112"/>
            <w:vAlign w:val="top"/>
          </w:tcPr>
          <w:p>
            <w:r/>
            <w:r>
              <w:rPr>
                <w:b w:val="0"/>
              </w:rPr>
              <w:t>Back remained anchored at VRP log &gt; 0.70, 3m z &gt; 0.70, 1y z &gt; 0.70, RSI &lt; 70, forecast vol &gt; 8.5</w:t>
            </w:r>
          </w:p>
        </w:tc>
      </w:tr>
    </w:tbl>
    <w:p/>
    <w:p>
      <w:r>
        <w:rPr>
          <w:b/>
        </w:rPr>
        <w:t xml:space="preserve">Decision summary. </w:t>
      </w:r>
      <w:r>
        <w:t>The unified fds_no_min_return specification passed all Cell 7A diagnostics and was advanced as the single denominator candidate for signal-threshold research. The key practical result is that the same denominator specification works across Front, Middle, and Back without requiring separate model families, Back-specific blending, or threshold retuning in the denominator lock test.</w:t>
      </w:r>
    </w:p>
    <w:p>
      <w:pPr>
        <w:pStyle w:val="Heading1"/>
      </w:pPr>
      <w:r>
        <w:t>2. Exact model specification</w:t>
      </w:r>
    </w:p>
    <w:p>
      <w:pPr>
        <w:pStyle w:val="Heading2"/>
      </w:pPr>
      <w:r>
        <w:t>2.1 Feature set</w:t>
      </w:r>
    </w:p>
    <w:p>
      <w:r>
        <w:t>The locked model uses exactly the following nine features: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Feature</w:t>
            </w:r>
          </w:p>
        </w:tc>
        <w:tc>
          <w:tcPr>
            <w:tcW w:type="dxa" w:w="5112"/>
            <w:vAlign w:val="top"/>
            <w:shd w:fill="1F4E79"/>
          </w:tcPr>
          <w:p>
            <w:r/>
            <w:r>
              <w:rPr>
                <w:b/>
                <w:color w:val="FFFFFF"/>
              </w:rPr>
              <w:t>Interpretation</w:t>
            </w:r>
          </w:p>
        </w:tc>
      </w:tr>
      <w:tr>
        <w:tc>
          <w:tcPr>
            <w:tcW w:type="dxa" w:w="5112"/>
            <w:vAlign w:val="top"/>
          </w:tcPr>
          <w:p>
            <w:r/>
            <w:r>
              <w:rPr>
                <w:b w:val="0"/>
              </w:rPr>
              <w:t>candidate_log_downside_rv_5d</w:t>
            </w:r>
          </w:p>
        </w:tc>
        <w:tc>
          <w:tcPr>
            <w:tcW w:type="dxa" w:w="5112"/>
            <w:vAlign w:val="top"/>
          </w:tcPr>
          <w:p>
            <w:r/>
            <w:r>
              <w:rPr>
                <w:b w:val="0"/>
              </w:rPr>
              <w:t>Fast downside realized-variance state over roughly one week.</w:t>
            </w:r>
          </w:p>
        </w:tc>
      </w:tr>
      <w:tr>
        <w:tc>
          <w:tcPr>
            <w:tcW w:type="dxa" w:w="5112"/>
            <w:vAlign w:val="top"/>
          </w:tcPr>
          <w:p>
            <w:r/>
            <w:r>
              <w:rPr>
                <w:b w:val="0"/>
              </w:rPr>
              <w:t>candidate_log_downside_rv_10d</w:t>
            </w:r>
          </w:p>
        </w:tc>
        <w:tc>
          <w:tcPr>
            <w:tcW w:type="dxa" w:w="5112"/>
            <w:vAlign w:val="top"/>
          </w:tcPr>
          <w:p>
            <w:r/>
            <w:r>
              <w:rPr>
                <w:b w:val="0"/>
              </w:rPr>
              <w:t>Short downside realized-variance state over roughly two weeks.</w:t>
            </w:r>
          </w:p>
        </w:tc>
      </w:tr>
      <w:tr>
        <w:tc>
          <w:tcPr>
            <w:tcW w:type="dxa" w:w="5112"/>
            <w:vAlign w:val="top"/>
          </w:tcPr>
          <w:p>
            <w:r/>
            <w:r>
              <w:rPr>
                <w:b w:val="0"/>
              </w:rPr>
              <w:t>candidate_log_downside_rv_21d</w:t>
            </w:r>
          </w:p>
        </w:tc>
        <w:tc>
          <w:tcPr>
            <w:tcW w:type="dxa" w:w="5112"/>
            <w:vAlign w:val="top"/>
          </w:tcPr>
          <w:p>
            <w:r/>
            <w:r>
              <w:rPr>
                <w:b w:val="0"/>
              </w:rPr>
              <w:t>One-month downside realized-variance state.</w:t>
            </w:r>
          </w:p>
        </w:tc>
      </w:tr>
      <w:tr>
        <w:tc>
          <w:tcPr>
            <w:tcW w:type="dxa" w:w="5112"/>
            <w:vAlign w:val="top"/>
          </w:tcPr>
          <w:p>
            <w:r/>
            <w:r>
              <w:rPr>
                <w:b w:val="0"/>
              </w:rPr>
              <w:t>candidate_log_downside_rv_63d</w:t>
            </w:r>
          </w:p>
        </w:tc>
        <w:tc>
          <w:tcPr>
            <w:tcW w:type="dxa" w:w="5112"/>
            <w:vAlign w:val="top"/>
          </w:tcPr>
          <w:p>
            <w:r/>
            <w:r>
              <w:rPr>
                <w:b w:val="0"/>
              </w:rPr>
              <w:t>Three-month downside realized-variance state.</w:t>
            </w:r>
          </w:p>
        </w:tc>
      </w:tr>
      <w:tr>
        <w:tc>
          <w:tcPr>
            <w:tcW w:type="dxa" w:w="5112"/>
            <w:vAlign w:val="top"/>
          </w:tcPr>
          <w:p>
            <w:r/>
            <w:r>
              <w:rPr>
                <w:b w:val="0"/>
              </w:rPr>
              <w:t>candidate_downside_share_5d</w:t>
            </w:r>
          </w:p>
        </w:tc>
        <w:tc>
          <w:tcPr>
            <w:tcW w:type="dxa" w:w="5112"/>
            <w:vAlign w:val="top"/>
          </w:tcPr>
          <w:p>
            <w:r/>
            <w:r>
              <w:rPr>
                <w:b w:val="0"/>
              </w:rPr>
              <w:t>Share of recent realized variance attributable to downside moves over 5 days.</w:t>
            </w:r>
          </w:p>
        </w:tc>
      </w:tr>
      <w:tr>
        <w:tc>
          <w:tcPr>
            <w:tcW w:type="dxa" w:w="5112"/>
            <w:vAlign w:val="top"/>
          </w:tcPr>
          <w:p>
            <w:r/>
            <w:r>
              <w:rPr>
                <w:b w:val="0"/>
              </w:rPr>
              <w:t>candidate_downside_share_10d</w:t>
            </w:r>
          </w:p>
        </w:tc>
        <w:tc>
          <w:tcPr>
            <w:tcW w:type="dxa" w:w="5112"/>
            <w:vAlign w:val="top"/>
          </w:tcPr>
          <w:p>
            <w:r/>
            <w:r>
              <w:rPr>
                <w:b w:val="0"/>
              </w:rPr>
              <w:t>Share of recent realized variance attributable to downside moves over 10 days.</w:t>
            </w:r>
          </w:p>
        </w:tc>
      </w:tr>
      <w:tr>
        <w:tc>
          <w:tcPr>
            <w:tcW w:type="dxa" w:w="5112"/>
            <w:vAlign w:val="top"/>
          </w:tcPr>
          <w:p>
            <w:r/>
            <w:r>
              <w:rPr>
                <w:b w:val="0"/>
              </w:rPr>
              <w:t>candidate_max_abs_return_3d</w:t>
            </w:r>
          </w:p>
        </w:tc>
        <w:tc>
          <w:tcPr>
            <w:tcW w:type="dxa" w:w="5112"/>
            <w:vAlign w:val="top"/>
          </w:tcPr>
          <w:p>
            <w:r/>
            <w:r>
              <w:rPr>
                <w:b w:val="0"/>
              </w:rPr>
              <w:t>Recent three-day shock proxy using the largest absolute daily return.</w:t>
            </w:r>
          </w:p>
        </w:tc>
      </w:tr>
      <w:tr>
        <w:tc>
          <w:tcPr>
            <w:tcW w:type="dxa" w:w="5112"/>
            <w:vAlign w:val="top"/>
          </w:tcPr>
          <w:p>
            <w:r/>
            <w:r>
              <w:rPr>
                <w:b w:val="0"/>
              </w:rPr>
              <w:t>candidate_max_abs_return_5d</w:t>
            </w:r>
          </w:p>
        </w:tc>
        <w:tc>
          <w:tcPr>
            <w:tcW w:type="dxa" w:w="5112"/>
            <w:vAlign w:val="top"/>
          </w:tcPr>
          <w:p>
            <w:r/>
            <w:r>
              <w:rPr>
                <w:b w:val="0"/>
              </w:rPr>
              <w:t>Recent five-day shock proxy using the largest absolute daily return.</w:t>
            </w:r>
          </w:p>
        </w:tc>
      </w:tr>
      <w:tr>
        <w:tc>
          <w:tcPr>
            <w:tcW w:type="dxa" w:w="5112"/>
            <w:vAlign w:val="top"/>
          </w:tcPr>
          <w:p>
            <w:r/>
            <w:r>
              <w:rPr>
                <w:b w:val="0"/>
              </w:rPr>
              <w:t>candidate_max_abs_return_10d</w:t>
            </w:r>
          </w:p>
        </w:tc>
        <w:tc>
          <w:tcPr>
            <w:tcW w:type="dxa" w:w="5112"/>
            <w:vAlign w:val="top"/>
          </w:tcPr>
          <w:p>
            <w:r/>
            <w:r>
              <w:rPr>
                <w:b w:val="0"/>
              </w:rPr>
              <w:t>Recent ten-day shock proxy using the largest absolute daily return.</w:t>
            </w:r>
          </w:p>
        </w:tc>
      </w:tr>
    </w:tbl>
    <w:p/>
    <w:p>
      <w:r>
        <w:rPr>
          <w:b/>
        </w:rPr>
        <w:t xml:space="preserve">Explicitly excluded features. </w:t>
      </w:r>
      <w:r>
        <w:t>The locked model excludes candidate_min_return_* features. The exclusion is part of the model contract, not a temporary implementation detail.</w:t>
      </w:r>
    </w:p>
    <w:p>
      <w:pPr>
        <w:pStyle w:val="ListBullet"/>
      </w:pPr>
      <w:r>
        <w:t>candidate_min_return_3d</w:t>
      </w:r>
    </w:p>
    <w:p>
      <w:pPr>
        <w:pStyle w:val="ListBullet"/>
      </w:pPr>
      <w:r>
        <w:t>candidate_min_return_5d</w:t>
      </w:r>
    </w:p>
    <w:p>
      <w:pPr>
        <w:pStyle w:val="ListBullet"/>
      </w:pPr>
      <w:r>
        <w:t>candidate_min_return_10d</w:t>
      </w:r>
    </w:p>
    <w:p>
      <w:r>
        <w:rPr>
          <w:b/>
        </w:rPr>
        <w:t xml:space="preserve">Forbidden feature classes. </w:t>
      </w:r>
      <w:r>
        <w:t>The forecasting model must not use implied volatility, VIX-style levels, VRP values, z-scores, RSI, actual DTE, P&amp;L/outcome fields, strikes/options fields, bucket labels, tenor labels, target/forward fields, or any field that leaks future realized variance. Tenor is used to choose the fitting subset only; it is not a model feature.</w:t>
      </w:r>
    </w:p>
    <w:p>
      <w:pPr>
        <w:pStyle w:val="Heading2"/>
      </w:pPr>
      <w:r>
        <w:t>2.2 Core formulas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Quantity</w:t>
            </w:r>
          </w:p>
        </w:tc>
        <w:tc>
          <w:tcPr>
            <w:tcW w:type="dxa" w:w="5112"/>
            <w:vAlign w:val="top"/>
            <w:shd w:fill="1F4E79"/>
          </w:tcPr>
          <w:p>
            <w:r/>
            <w:r>
              <w:rPr>
                <w:b/>
                <w:color w:val="FFFFFF"/>
              </w:rPr>
              <w:t>Formula / definition</w:t>
            </w:r>
          </w:p>
        </w:tc>
      </w:tr>
      <w:tr>
        <w:tc>
          <w:tcPr>
            <w:tcW w:type="dxa" w:w="5112"/>
            <w:vAlign w:val="top"/>
          </w:tcPr>
          <w:p>
            <w:r/>
            <w:r>
              <w:rPr>
                <w:b w:val="0"/>
              </w:rPr>
              <w:t>Forecast variance</w:t>
            </w:r>
          </w:p>
        </w:tc>
        <w:tc>
          <w:tcPr>
            <w:tcW w:type="dxa" w:w="5112"/>
            <w:vAlign w:val="top"/>
          </w:tcPr>
          <w:p>
            <w:r/>
            <w:r>
              <w:rPr>
                <w:b w:val="0"/>
              </w:rPr>
              <w:t>forecast_variance_candidate = exp(predicted_log_variance_candidate)</w:t>
            </w:r>
          </w:p>
        </w:tc>
      </w:tr>
      <w:tr>
        <w:tc>
          <w:tcPr>
            <w:tcW w:type="dxa" w:w="5112"/>
            <w:vAlign w:val="top"/>
          </w:tcPr>
          <w:p>
            <w:r/>
            <w:r>
              <w:rPr>
                <w:b w:val="0"/>
              </w:rPr>
              <w:t>Forecast vol %</w:t>
            </w:r>
          </w:p>
        </w:tc>
        <w:tc>
          <w:tcPr>
            <w:tcW w:type="dxa" w:w="5112"/>
            <w:vAlign w:val="top"/>
          </w:tcPr>
          <w:p>
            <w:r/>
            <w:r>
              <w:rPr>
                <w:b w:val="0"/>
              </w:rPr>
              <w:t>candidate_forecast_vol_pct = sqrt(forecast_variance_candidate) * 100</w:t>
            </w:r>
          </w:p>
        </w:tc>
      </w:tr>
      <w:tr>
        <w:tc>
          <w:tcPr>
            <w:tcW w:type="dxa" w:w="5112"/>
            <w:vAlign w:val="top"/>
          </w:tcPr>
          <w:p>
            <w:r/>
            <w:r>
              <w:rPr>
                <w:b w:val="0"/>
              </w:rPr>
              <w:t>Forward realized vol %</w:t>
            </w:r>
          </w:p>
        </w:tc>
        <w:tc>
          <w:tcPr>
            <w:tcW w:type="dxa" w:w="5112"/>
            <w:vAlign w:val="top"/>
          </w:tcPr>
          <w:p>
            <w:r/>
            <w:r>
              <w:rPr>
                <w:b w:val="0"/>
              </w:rPr>
              <w:t>target_realized_vol_pct = sqrt(target_realized_variance) * 100</w:t>
            </w:r>
          </w:p>
        </w:tc>
      </w:tr>
      <w:tr>
        <w:tc>
          <w:tcPr>
            <w:tcW w:type="dxa" w:w="5112"/>
            <w:vAlign w:val="top"/>
          </w:tcPr>
          <w:p>
            <w:r/>
            <w:r>
              <w:rPr>
                <w:b w:val="0"/>
              </w:rPr>
              <w:t>Implied vol %</w:t>
            </w:r>
          </w:p>
        </w:tc>
        <w:tc>
          <w:tcPr>
            <w:tcW w:type="dxa" w:w="5112"/>
            <w:vAlign w:val="top"/>
          </w:tcPr>
          <w:p>
            <w:r/>
            <w:r>
              <w:rPr>
                <w:b w:val="0"/>
              </w:rPr>
              <w:t>implied_vol_pct = sqrt(implied_variance) * 100</w:t>
            </w:r>
          </w:p>
        </w:tc>
      </w:tr>
      <w:tr>
        <w:tc>
          <w:tcPr>
            <w:tcW w:type="dxa" w:w="5112"/>
            <w:vAlign w:val="top"/>
          </w:tcPr>
          <w:p>
            <w:r/>
            <w:r>
              <w:rPr>
                <w:b w:val="0"/>
              </w:rPr>
              <w:t>VRP log</w:t>
            </w:r>
          </w:p>
        </w:tc>
        <w:tc>
          <w:tcPr>
            <w:tcW w:type="dxa" w:w="5112"/>
            <w:vAlign w:val="top"/>
          </w:tcPr>
          <w:p>
            <w:r/>
            <w:r>
              <w:rPr>
                <w:b w:val="0"/>
              </w:rPr>
              <w:t>model_vrp_log = log(implied_variance / forecast_variance_candidate)</w:t>
            </w:r>
          </w:p>
        </w:tc>
      </w:tr>
      <w:tr>
        <w:tc>
          <w:tcPr>
            <w:tcW w:type="dxa" w:w="5112"/>
            <w:vAlign w:val="top"/>
          </w:tcPr>
          <w:p>
            <w:r/>
            <w:r>
              <w:rPr>
                <w:b w:val="0"/>
              </w:rPr>
              <w:t>3m z-score</w:t>
            </w:r>
          </w:p>
        </w:tc>
        <w:tc>
          <w:tcPr>
            <w:tcW w:type="dxa" w:w="5112"/>
            <w:vAlign w:val="top"/>
          </w:tcPr>
          <w:p>
            <w:r/>
            <w:r>
              <w:rPr>
                <w:b w:val="0"/>
              </w:rPr>
              <w:t>Prior-only rolling z-score of model_vrp_log using a 63-row window by tenor</w:t>
            </w:r>
          </w:p>
        </w:tc>
      </w:tr>
      <w:tr>
        <w:tc>
          <w:tcPr>
            <w:tcW w:type="dxa" w:w="5112"/>
            <w:vAlign w:val="top"/>
          </w:tcPr>
          <w:p>
            <w:r/>
            <w:r>
              <w:rPr>
                <w:b w:val="0"/>
              </w:rPr>
              <w:t>1y z-score</w:t>
            </w:r>
          </w:p>
        </w:tc>
        <w:tc>
          <w:tcPr>
            <w:tcW w:type="dxa" w:w="5112"/>
            <w:vAlign w:val="top"/>
          </w:tcPr>
          <w:p>
            <w:r/>
            <w:r>
              <w:rPr>
                <w:b w:val="0"/>
              </w:rPr>
              <w:t>Prior-only rolling z-score of model_vrp_log using a 252-row window by tenor</w:t>
            </w:r>
          </w:p>
        </w:tc>
      </w:tr>
    </w:tbl>
    <w:p/>
    <w:p>
      <w:r>
        <w:rPr>
          <w:b/>
        </w:rPr>
        <w:t xml:space="preserve">Z-score rule. </w:t>
      </w:r>
      <w:r>
        <w:t>Z-scores are prior-only. The current row is not included in the rolling mean or standard deviation. This protects against look-ahead in the signal transformation layer.</w:t>
      </w:r>
    </w:p>
    <w:p>
      <w:pPr>
        <w:pStyle w:val="Heading2"/>
      </w:pPr>
      <w:r>
        <w:t>2.3 Training and out-of-sample method</w:t>
      </w:r>
    </w:p>
    <w:p>
      <w:pPr>
        <w:pStyle w:val="ListNumber"/>
      </w:pPr>
      <w:r>
        <w:t>For each tenor in the nine-tenor grid, sort rows by trade_date.</w:t>
      </w:r>
    </w:p>
    <w:p>
      <w:pPr>
        <w:pStyle w:val="ListNumber"/>
      </w:pPr>
      <w:r>
        <w:t>For each test year, define test_start as January 1 of that year and test_end as January 1 of the following year.</w:t>
      </w:r>
    </w:p>
    <w:p>
      <w:pPr>
        <w:pStyle w:val="ListNumber"/>
      </w:pPr>
      <w:r>
        <w:t>Training rows must satisfy trade_date &lt; test_start and last_forward_rv_date &lt; test_start.</w:t>
      </w:r>
    </w:p>
    <w:p>
      <w:pPr>
        <w:pStyle w:val="ListNumber"/>
      </w:pPr>
      <w:r>
        <w:t>Test rows are rows where trade_date is in the test year.</w:t>
      </w:r>
    </w:p>
    <w:p>
      <w:pPr>
        <w:pStyle w:val="ListNumber"/>
      </w:pPr>
      <w:r>
        <w:t>Drop rows with missing feature or target values for the relevant fit/test block.</w:t>
      </w:r>
    </w:p>
    <w:p>
      <w:pPr>
        <w:pStyle w:val="ListNumber"/>
      </w:pPr>
      <w:r>
        <w:t>Run inner yearly CV inside the available training pool to select Ridge alpha.</w:t>
      </w:r>
    </w:p>
    <w:p>
      <w:pPr>
        <w:pStyle w:val="ListNumber"/>
      </w:pPr>
      <w:r>
        <w:t>Fit StandardScaler + Ridge on the selected training rows.</w:t>
      </w:r>
    </w:p>
    <w:p>
      <w:pPr>
        <w:pStyle w:val="ListNumber"/>
      </w:pPr>
      <w:r>
        <w:t>Score the test-year rows out of sample.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Parameter</w:t>
            </w:r>
          </w:p>
        </w:tc>
        <w:tc>
          <w:tcPr>
            <w:tcW w:type="dxa" w:w="5112"/>
            <w:vAlign w:val="top"/>
            <w:shd w:fill="1F4E79"/>
          </w:tcPr>
          <w:p>
            <w:r/>
            <w:r>
              <w:rPr>
                <w:b/>
                <w:color w:val="FFFFFF"/>
              </w:rPr>
              <w:t>Locked value</w:t>
            </w:r>
          </w:p>
        </w:tc>
      </w:tr>
      <w:tr>
        <w:tc>
          <w:tcPr>
            <w:tcW w:type="dxa" w:w="5112"/>
            <w:vAlign w:val="top"/>
          </w:tcPr>
          <w:p>
            <w:r/>
            <w:r>
              <w:rPr>
                <w:b w:val="0"/>
              </w:rPr>
              <w:t>Model estimator</w:t>
            </w:r>
          </w:p>
        </w:tc>
        <w:tc>
          <w:tcPr>
            <w:tcW w:type="dxa" w:w="5112"/>
            <w:vAlign w:val="top"/>
          </w:tcPr>
          <w:p>
            <w:r/>
            <w:r>
              <w:rPr>
                <w:b w:val="0"/>
              </w:rPr>
              <w:t>Pipeline(StandardScaler(), Ridge(alpha))</w:t>
            </w:r>
          </w:p>
        </w:tc>
      </w:tr>
      <w:tr>
        <w:tc>
          <w:tcPr>
            <w:tcW w:type="dxa" w:w="5112"/>
            <w:vAlign w:val="top"/>
          </w:tcPr>
          <w:p>
            <w:r/>
            <w:r>
              <w:rPr>
                <w:b w:val="0"/>
              </w:rPr>
              <w:t>Alpha grid</w:t>
            </w:r>
          </w:p>
        </w:tc>
        <w:tc>
          <w:tcPr>
            <w:tcW w:type="dxa" w:w="5112"/>
            <w:vAlign w:val="top"/>
          </w:tcPr>
          <w:p>
            <w:r/>
            <w:r>
              <w:rPr>
                <w:b w:val="0"/>
              </w:rPr>
              <w:t>[1.0, 10.0, 100.0, 300.0, 1000.0]</w:t>
            </w:r>
          </w:p>
        </w:tc>
      </w:tr>
      <w:tr>
        <w:tc>
          <w:tcPr>
            <w:tcW w:type="dxa" w:w="5112"/>
            <w:vAlign w:val="top"/>
          </w:tcPr>
          <w:p>
            <w:r/>
            <w:r>
              <w:rPr>
                <w:b w:val="0"/>
              </w:rPr>
              <w:t>Fallback alpha</w:t>
            </w:r>
          </w:p>
        </w:tc>
        <w:tc>
          <w:tcPr>
            <w:tcW w:type="dxa" w:w="5112"/>
            <w:vAlign w:val="top"/>
          </w:tcPr>
          <w:p>
            <w:r/>
            <w:r>
              <w:rPr>
                <w:b w:val="0"/>
              </w:rPr>
              <w:t>100.0</w:t>
            </w:r>
          </w:p>
        </w:tc>
      </w:tr>
      <w:tr>
        <w:tc>
          <w:tcPr>
            <w:tcW w:type="dxa" w:w="5112"/>
            <w:vAlign w:val="top"/>
          </w:tcPr>
          <w:p>
            <w:r/>
            <w:r>
              <w:rPr>
                <w:b w:val="0"/>
              </w:rPr>
              <w:t>Minimum outer train rows</w:t>
            </w:r>
          </w:p>
        </w:tc>
        <w:tc>
          <w:tcPr>
            <w:tcW w:type="dxa" w:w="5112"/>
            <w:vAlign w:val="top"/>
          </w:tcPr>
          <w:p>
            <w:r/>
            <w:r>
              <w:rPr>
                <w:b w:val="0"/>
              </w:rPr>
              <w:t>250</w:t>
            </w:r>
          </w:p>
        </w:tc>
      </w:tr>
      <w:tr>
        <w:tc>
          <w:tcPr>
            <w:tcW w:type="dxa" w:w="5112"/>
            <w:vAlign w:val="top"/>
          </w:tcPr>
          <w:p>
            <w:r/>
            <w:r>
              <w:rPr>
                <w:b w:val="0"/>
              </w:rPr>
              <w:t>Minimum inner train rows</w:t>
            </w:r>
          </w:p>
        </w:tc>
        <w:tc>
          <w:tcPr>
            <w:tcW w:type="dxa" w:w="5112"/>
            <w:vAlign w:val="top"/>
          </w:tcPr>
          <w:p>
            <w:r/>
            <w:r>
              <w:rPr>
                <w:b w:val="0"/>
              </w:rPr>
              <w:t>250</w:t>
            </w:r>
          </w:p>
        </w:tc>
      </w:tr>
      <w:tr>
        <w:tc>
          <w:tcPr>
            <w:tcW w:type="dxa" w:w="5112"/>
            <w:vAlign w:val="top"/>
          </w:tcPr>
          <w:p>
            <w:r/>
            <w:r>
              <w:rPr>
                <w:b w:val="0"/>
              </w:rPr>
              <w:t>Minimum inner validation rows</w:t>
            </w:r>
          </w:p>
        </w:tc>
        <w:tc>
          <w:tcPr>
            <w:tcW w:type="dxa" w:w="5112"/>
            <w:vAlign w:val="top"/>
          </w:tcPr>
          <w:p>
            <w:r/>
            <w:r>
              <w:rPr>
                <w:b w:val="0"/>
              </w:rPr>
              <w:t>30</w:t>
            </w:r>
          </w:p>
        </w:tc>
      </w:tr>
      <w:tr>
        <w:tc>
          <w:tcPr>
            <w:tcW w:type="dxa" w:w="5112"/>
            <w:vAlign w:val="top"/>
          </w:tcPr>
          <w:p>
            <w:r/>
            <w:r>
              <w:rPr>
                <w:b w:val="0"/>
              </w:rPr>
              <w:t>Target column</w:t>
            </w:r>
          </w:p>
        </w:tc>
        <w:tc>
          <w:tcPr>
            <w:tcW w:type="dxa" w:w="5112"/>
            <w:vAlign w:val="top"/>
          </w:tcPr>
          <w:p>
            <w:r/>
            <w:r>
              <w:rPr>
                <w:b w:val="0"/>
              </w:rPr>
              <w:t>target_log_variance</w:t>
            </w:r>
          </w:p>
        </w:tc>
      </w:tr>
      <w:tr>
        <w:tc>
          <w:tcPr>
            <w:tcW w:type="dxa" w:w="5112"/>
            <w:vAlign w:val="top"/>
          </w:tcPr>
          <w:p>
            <w:r/>
            <w:r>
              <w:rPr>
                <w:b w:val="0"/>
              </w:rPr>
              <w:t>Leakage guard</w:t>
            </w:r>
          </w:p>
        </w:tc>
        <w:tc>
          <w:tcPr>
            <w:tcW w:type="dxa" w:w="5112"/>
            <w:vAlign w:val="top"/>
          </w:tcPr>
          <w:p>
            <w:r/>
            <w:r>
              <w:rPr>
                <w:b w:val="0"/>
              </w:rPr>
              <w:t>last_forward_rv_date &lt; test-year start and trade_date &lt; test-year start</w:t>
            </w:r>
          </w:p>
        </w:tc>
      </w:tr>
    </w:tbl>
    <w:p/>
    <w:p>
      <w:pPr>
        <w:pStyle w:val="Heading1"/>
      </w:pPr>
      <w:r>
        <w:t>3. Data lineage and file locations</w:t>
      </w:r>
    </w:p>
    <w:p>
      <w:r>
        <w:rPr>
          <w:b/>
        </w:rPr>
        <w:t xml:space="preserve">Project root. </w:t>
      </w:r>
      <w:r>
        <w:t>C:\Users\patri\vrp_project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Purpose</w:t>
            </w:r>
          </w:p>
        </w:tc>
        <w:tc>
          <w:tcPr>
            <w:tcW w:type="dxa" w:w="5112"/>
            <w:vAlign w:val="top"/>
            <w:shd w:fill="1F4E79"/>
          </w:tcPr>
          <w:p>
            <w:r/>
            <w:r>
              <w:rPr>
                <w:b/>
                <w:color w:val="FFFFFF"/>
              </w:rPr>
              <w:t>Path / pattern</w:t>
            </w:r>
          </w:p>
        </w:tc>
      </w:tr>
      <w:tr>
        <w:tc>
          <w:tcPr>
            <w:tcW w:type="dxa" w:w="5112"/>
            <w:vAlign w:val="top"/>
          </w:tcPr>
          <w:p>
            <w:r/>
            <w:r>
              <w:rPr>
                <w:b w:val="0"/>
              </w:rPr>
              <w:t>Working branch processed data</w:t>
            </w:r>
          </w:p>
        </w:tc>
        <w:tc>
          <w:tcPr>
            <w:tcW w:type="dxa" w:w="5112"/>
            <w:vAlign w:val="top"/>
          </w:tcPr>
          <w:p>
            <w:r/>
            <w:r>
              <w:rPr>
                <w:b w:val="0"/>
              </w:rPr>
              <w:t>C:\Users\patri\vrp_project\data\processed\vrp_front_middle_corsi_forecast_repair_v1</w:t>
            </w:r>
          </w:p>
        </w:tc>
      </w:tr>
      <w:tr>
        <w:tc>
          <w:tcPr>
            <w:tcW w:type="dxa" w:w="5112"/>
            <w:vAlign w:val="top"/>
          </w:tcPr>
          <w:p>
            <w:r/>
            <w:r>
              <w:rPr>
                <w:b w:val="0"/>
              </w:rPr>
              <w:t>Working branch audit outputs</w:t>
            </w:r>
          </w:p>
        </w:tc>
        <w:tc>
          <w:tcPr>
            <w:tcW w:type="dxa" w:w="5112"/>
            <w:vAlign w:val="top"/>
          </w:tcPr>
          <w:p>
            <w:r/>
            <w:r>
              <w:rPr>
                <w:b w:val="0"/>
              </w:rPr>
              <w:t>C:\Users\patri\vrp_project\data\audit\vrp_front_middle_corsi_forecast_repair_v1</w:t>
            </w:r>
          </w:p>
        </w:tc>
      </w:tr>
      <w:tr>
        <w:tc>
          <w:tcPr>
            <w:tcW w:type="dxa" w:w="5112"/>
            <w:vAlign w:val="top"/>
          </w:tcPr>
          <w:p>
            <w:r/>
            <w:r>
              <w:rPr>
                <w:b w:val="0"/>
              </w:rPr>
              <w:t>Working branch charts</w:t>
            </w:r>
          </w:p>
        </w:tc>
        <w:tc>
          <w:tcPr>
            <w:tcW w:type="dxa" w:w="5112"/>
            <w:vAlign w:val="top"/>
          </w:tcPr>
          <w:p>
            <w:r/>
            <w:r>
              <w:rPr>
                <w:b w:val="0"/>
              </w:rPr>
              <w:t>C:\Users\patri\vrp_project\data\audit\vrp_front_middle_corsi_forecast_repair_v1\charts</w:t>
            </w:r>
          </w:p>
        </w:tc>
      </w:tr>
      <w:tr>
        <w:tc>
          <w:tcPr>
            <w:tcW w:type="dxa" w:w="5112"/>
            <w:vAlign w:val="top"/>
          </w:tcPr>
          <w:p>
            <w:r/>
            <w:r>
              <w:rPr>
                <w:b w:val="0"/>
              </w:rPr>
              <w:t>Source core bucket processed data</w:t>
            </w:r>
          </w:p>
        </w:tc>
        <w:tc>
          <w:tcPr>
            <w:tcW w:type="dxa" w:w="5112"/>
            <w:vAlign w:val="top"/>
          </w:tcPr>
          <w:p>
            <w:r/>
            <w:r>
              <w:rPr>
                <w:b w:val="0"/>
              </w:rPr>
              <w:t>C:\Users\patri\vrp_project\data\processed\vrp_core_bucket_parameters_v1</w:t>
            </w:r>
          </w:p>
        </w:tc>
      </w:tr>
      <w:tr>
        <w:tc>
          <w:tcPr>
            <w:tcW w:type="dxa" w:w="5112"/>
            <w:vAlign w:val="top"/>
          </w:tcPr>
          <w:p>
            <w:r/>
            <w:r>
              <w:rPr>
                <w:b w:val="0"/>
              </w:rPr>
              <w:t>Source Corsi processed data</w:t>
            </w:r>
          </w:p>
        </w:tc>
        <w:tc>
          <w:tcPr>
            <w:tcW w:type="dxa" w:w="5112"/>
            <w:vAlign w:val="top"/>
          </w:tcPr>
          <w:p>
            <w:r/>
            <w:r>
              <w:rPr>
                <w:b w:val="0"/>
              </w:rPr>
              <w:t>C:\Users\patri\vrp_project\data\processed\forecast_model_corsi_v1</w:t>
            </w:r>
          </w:p>
        </w:tc>
      </w:tr>
      <w:tr>
        <w:tc>
          <w:tcPr>
            <w:tcW w:type="dxa" w:w="5112"/>
            <w:vAlign w:val="top"/>
          </w:tcPr>
          <w:p>
            <w:r/>
            <w:r>
              <w:rPr>
                <w:b w:val="0"/>
              </w:rPr>
              <w:t>Source 30D Corsi processed data</w:t>
            </w:r>
          </w:p>
        </w:tc>
        <w:tc>
          <w:tcPr>
            <w:tcW w:type="dxa" w:w="5112"/>
            <w:vAlign w:val="top"/>
          </w:tcPr>
          <w:p>
            <w:r/>
            <w:r>
              <w:rPr>
                <w:b w:val="0"/>
              </w:rPr>
              <w:t>C:\Users\patri\vrp_project\data\processed\vrp_30d_corsi_v1</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Input / output</w:t>
            </w:r>
          </w:p>
        </w:tc>
        <w:tc>
          <w:tcPr>
            <w:tcW w:type="dxa" w:w="5112"/>
            <w:vAlign w:val="top"/>
            <w:shd w:fill="1F4E79"/>
          </w:tcPr>
          <w:p>
            <w:r/>
            <w:r>
              <w:rPr>
                <w:b/>
                <w:color w:val="FFFFFF"/>
              </w:rPr>
              <w:t>File pattern or latest known file</w:t>
            </w:r>
          </w:p>
        </w:tc>
      </w:tr>
      <w:tr>
        <w:tc>
          <w:tcPr>
            <w:tcW w:type="dxa" w:w="5112"/>
            <w:vAlign w:val="top"/>
          </w:tcPr>
          <w:p>
            <w:r/>
            <w:r>
              <w:rPr>
                <w:b w:val="0"/>
              </w:rPr>
              <w:t>Baseline denominator panel</w:t>
            </w:r>
          </w:p>
        </w:tc>
        <w:tc>
          <w:tcPr>
            <w:tcW w:type="dxa" w:w="5112"/>
            <w:vAlign w:val="top"/>
          </w:tcPr>
          <w:p>
            <w:r/>
            <w:r>
              <w:rPr>
                <w:b w:val="0"/>
              </w:rPr>
              <w:t>data\processed\vrp_core_bucket_parameters_v1\02B_cross_tenor_har_downside_denominator_panel_*.parquet</w:t>
            </w:r>
          </w:p>
        </w:tc>
      </w:tr>
      <w:tr>
        <w:tc>
          <w:tcPr>
            <w:tcW w:type="dxa" w:w="5112"/>
            <w:vAlign w:val="top"/>
          </w:tcPr>
          <w:p>
            <w:r/>
            <w:r>
              <w:rPr>
                <w:b w:val="0"/>
              </w:rPr>
              <w:t>Core signal base panel</w:t>
            </w:r>
          </w:p>
        </w:tc>
        <w:tc>
          <w:tcPr>
            <w:tcW w:type="dxa" w:w="5112"/>
            <w:vAlign w:val="top"/>
          </w:tcPr>
          <w:p>
            <w:r/>
            <w:r>
              <w:rPr>
                <w:b w:val="0"/>
              </w:rPr>
              <w:t>data\processed\vrp_core_bucket_parameters_v1\02C_cross_tenor_core_signal_base_panel_*.parquet</w:t>
            </w:r>
          </w:p>
        </w:tc>
      </w:tr>
      <w:tr>
        <w:tc>
          <w:tcPr>
            <w:tcW w:type="dxa" w:w="5112"/>
            <w:vAlign w:val="top"/>
          </w:tcPr>
          <w:p>
            <w:r/>
            <w:r>
              <w:rPr>
                <w:b w:val="0"/>
              </w:rPr>
              <w:t>Forward realized variance targets</w:t>
            </w:r>
          </w:p>
        </w:tc>
        <w:tc>
          <w:tcPr>
            <w:tcW w:type="dxa" w:w="5112"/>
            <w:vAlign w:val="top"/>
          </w:tcPr>
          <w:p>
            <w:r/>
            <w:r>
              <w:rPr>
                <w:b w:val="0"/>
              </w:rPr>
              <w:t>data\processed\forecast_model_corsi_v1\corsi_forward_realized_variance_targets_v1_*.parquet</w:t>
            </w:r>
          </w:p>
        </w:tc>
      </w:tr>
      <w:tr>
        <w:tc>
          <w:tcPr>
            <w:tcW w:type="dxa" w:w="5112"/>
            <w:vAlign w:val="top"/>
          </w:tcPr>
          <w:p>
            <w:r/>
            <w:r>
              <w:rPr>
                <w:b w:val="0"/>
              </w:rPr>
              <w:t>Corsi implied/feature panel</w:t>
            </w:r>
          </w:p>
        </w:tc>
        <w:tc>
          <w:tcPr>
            <w:tcW w:type="dxa" w:w="5112"/>
            <w:vAlign w:val="top"/>
          </w:tcPr>
          <w:p>
            <w:r/>
            <w:r>
              <w:rPr>
                <w:b w:val="0"/>
              </w:rPr>
              <w:t>data\processed\forecast_model_corsi_v1\corsi_model_feature_panel_v1_*.parquet</w:t>
            </w:r>
          </w:p>
        </w:tc>
      </w:tr>
      <w:tr>
        <w:tc>
          <w:tcPr>
            <w:tcW w:type="dxa" w:w="5112"/>
            <w:vAlign w:val="top"/>
          </w:tcPr>
          <w:p>
            <w:r/>
            <w:r>
              <w:rPr>
                <w:b w:val="0"/>
              </w:rPr>
              <w:t>30D extended feature/target panel</w:t>
            </w:r>
          </w:p>
        </w:tc>
        <w:tc>
          <w:tcPr>
            <w:tcW w:type="dxa" w:w="5112"/>
            <w:vAlign w:val="top"/>
          </w:tcPr>
          <w:p>
            <w:r/>
            <w:r>
              <w:rPr>
                <w:b w:val="0"/>
              </w:rPr>
              <w:t>data\processed\vrp_30d_corsi_v1\02B_30d_corsi_extended_feature_target_panel_*.parquet</w:t>
            </w:r>
          </w:p>
        </w:tc>
      </w:tr>
      <w:tr>
        <w:tc>
          <w:tcPr>
            <w:tcW w:type="dxa" w:w="5112"/>
            <w:vAlign w:val="top"/>
          </w:tcPr>
          <w:p>
            <w:r/>
            <w:r>
              <w:rPr>
                <w:b w:val="0"/>
              </w:rPr>
              <w:t>Cell 4 enriched candidate feature panel</w:t>
            </w:r>
          </w:p>
        </w:tc>
        <w:tc>
          <w:tcPr>
            <w:tcW w:type="dxa" w:w="5112"/>
            <w:vAlign w:val="top"/>
          </w:tcPr>
          <w:p>
            <w:r/>
            <w:r>
              <w:rPr>
                <w:b w:val="0"/>
              </w:rPr>
              <w:t>data\processed\vrp_front_middle_corsi_forecast_repair_v1\04_front_middle_candidate_feature_panel_*.parquet</w:t>
            </w:r>
          </w:p>
        </w:tc>
      </w:tr>
      <w:tr>
        <w:tc>
          <w:tcPr>
            <w:tcW w:type="dxa" w:w="5112"/>
            <w:vAlign w:val="top"/>
          </w:tcPr>
          <w:p>
            <w:r/>
            <w:r>
              <w:rPr>
                <w:b w:val="0"/>
              </w:rPr>
              <w:t>Latest known Cell 4 enriched panel</w:t>
            </w:r>
          </w:p>
        </w:tc>
        <w:tc>
          <w:tcPr>
            <w:tcW w:type="dxa" w:w="5112"/>
            <w:vAlign w:val="top"/>
          </w:tcPr>
          <w:p>
            <w:r/>
            <w:r>
              <w:rPr>
                <w:b w:val="0"/>
              </w:rPr>
              <w:t>C:\Users\patri\vrp_project\data\processed\vrp_front_middle_corsi_forecast_repair_v1\04_front_middle_candidate_feature_panel_20180625_20260702_20260704_194600.parquet</w:t>
            </w:r>
          </w:p>
        </w:tc>
      </w:tr>
      <w:tr>
        <w:tc>
          <w:tcPr>
            <w:tcW w:type="dxa" w:w="5112"/>
            <w:vAlign w:val="top"/>
          </w:tcPr>
          <w:p>
            <w:r/>
            <w:r>
              <w:rPr>
                <w:b w:val="0"/>
              </w:rPr>
              <w:t>Locked Cell 7A forecast panel</w:t>
            </w:r>
          </w:p>
        </w:tc>
        <w:tc>
          <w:tcPr>
            <w:tcW w:type="dxa" w:w="5112"/>
            <w:vAlign w:val="top"/>
          </w:tcPr>
          <w:p>
            <w:r/>
            <w:r>
              <w:rPr>
                <w:b w:val="0"/>
              </w:rPr>
              <w:t>data\processed\vrp_front_middle_corsi_forecast_repair_v1\07A_unified_fds_no_min_return_oos_forecast_panel_*.parquet</w:t>
            </w:r>
          </w:p>
        </w:tc>
      </w:tr>
      <w:tr>
        <w:tc>
          <w:tcPr>
            <w:tcW w:type="dxa" w:w="5112"/>
            <w:vAlign w:val="top"/>
          </w:tcPr>
          <w:p>
            <w:r/>
            <w:r>
              <w:rPr>
                <w:b w:val="0"/>
              </w:rPr>
              <w:t>Latest known Cell 7A forecast panel</w:t>
            </w:r>
          </w:p>
        </w:tc>
        <w:tc>
          <w:tcPr>
            <w:tcW w:type="dxa" w:w="5112"/>
            <w:vAlign w:val="top"/>
          </w:tcPr>
          <w:p>
            <w:r/>
            <w:r>
              <w:rPr>
                <w:b w:val="0"/>
              </w:rPr>
              <w:t>C:\Users\patri\vrp_project\data\processed\vrp_front_middle_corsi_forecast_repair_v1\07A_unified_fds_no_min_return_oos_forecast_panel_20200102_20260701_20260704_203242.parquet</w:t>
            </w:r>
          </w:p>
        </w:tc>
      </w:tr>
    </w:tbl>
    <w:p/>
    <w:p>
      <w:r>
        <w:rPr>
          <w:b/>
        </w:rPr>
        <w:t xml:space="preserve">SPX price source search order. </w:t>
      </w:r>
      <w:r>
        <w:t>Cell 4 searches for SPX daily return inputs from several candidate locations before constructing fast realized/downside/shock features.</w:t>
      </w:r>
    </w:p>
    <w:p>
      <w:pPr>
        <w:pStyle w:val="ListBullet"/>
      </w:pPr>
      <w:r>
        <w:t>data\external\spx_daily.parquet</w:t>
      </w:r>
    </w:p>
    <w:p>
      <w:pPr>
        <w:pStyle w:val="ListBullet"/>
      </w:pPr>
      <w:r>
        <w:t>data\external\spx_daily*.parquet</w:t>
      </w:r>
    </w:p>
    <w:p>
      <w:pPr>
        <w:pStyle w:val="ListBullet"/>
      </w:pPr>
      <w:r>
        <w:t>data\external\*spx*.parquet</w:t>
      </w:r>
    </w:p>
    <w:p>
      <w:pPr>
        <w:pStyle w:val="ListBullet"/>
      </w:pPr>
      <w:r>
        <w:t>data\processed\staging\production_feature_panel*.parquet</w:t>
      </w:r>
    </w:p>
    <w:p>
      <w:pPr>
        <w:pStyle w:val="ListBullet"/>
      </w:pPr>
      <w:r>
        <w:t>data\processed\vrp_30d_corsi_v1\02B_30d_corsi_extended_feature_target_panel_*.parquet</w:t>
      </w:r>
    </w:p>
    <w:p>
      <w:pPr>
        <w:pStyle w:val="Heading1"/>
      </w:pPr>
      <w:r>
        <w:t>4. Clean notebook structure</w:t>
      </w:r>
    </w:p>
    <w:p>
      <w:r>
        <w:t>The cleaned notebook delivered with this document is:</w:t>
      </w:r>
    </w:p>
    <w:p>
      <w:pPr>
        <w:pStyle w:val="NoSpacing"/>
        <w:spacing w:after="120"/>
        <w:ind w:left="360"/>
      </w:pPr>
      <w:r>
        <w:rPr>
          <w:rFonts w:ascii="Consolas" w:hAnsi="Consolas" w:eastAsia="Consolas"/>
          <w:sz w:val="17"/>
        </w:rPr>
        <w:t>/mnt/data/vrp_unified_fds_no_min_return_locked_model_clean.ipynb</w:t>
      </w:r>
    </w:p>
    <w:p>
      <w:r>
        <w:t>Cleaning changes applied:</w:t>
      </w:r>
    </w:p>
    <w:p>
      <w:pPr>
        <w:pStyle w:val="ListBullet"/>
      </w:pPr>
      <w:r>
        <w:t>Removed the superseded original Cell 7B that plotted incomplete forward realized values.</w:t>
      </w:r>
    </w:p>
    <w:p>
      <w:pPr>
        <w:pStyle w:val="ListBullet"/>
      </w:pPr>
      <w:r>
        <w:t>Kept Cell 7B completed-forward guard and renamed it as the canonical Cell 7B.</w:t>
      </w:r>
    </w:p>
    <w:p>
      <w:pPr>
        <w:pStyle w:val="ListBullet"/>
      </w:pPr>
      <w:r>
        <w:t>Integrated the Cell 7C display patch into Cell 7C so charts display inline after being saved.</w:t>
      </w:r>
    </w:p>
    <w:p>
      <w:pPr>
        <w:pStyle w:val="ListBullet"/>
      </w:pPr>
      <w:r>
        <w:t>Removed the empty trailing cell.</w:t>
      </w:r>
    </w:p>
    <w:p>
      <w:pPr>
        <w:pStyle w:val="ListBullet"/>
      </w:pPr>
      <w:r>
        <w:t>Cleared notebook execution outputs to make the file clean and rerunnable.</w:t>
      </w:r>
    </w:p>
    <w:p>
      <w:pPr>
        <w:pStyle w:val="ListBullet"/>
      </w:pPr>
      <w:r>
        <w:t>Added a locked model overview markdown cell at the top.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b/>
                <w:color w:val="FFFFFF"/>
              </w:rPr>
              <w:t>Cell</w:t>
            </w:r>
          </w:p>
        </w:tc>
        <w:tc>
          <w:tcPr>
            <w:tcW w:type="dxa" w:w="3408"/>
            <w:vAlign w:val="top"/>
            <w:shd w:fill="1F4E79"/>
          </w:tcPr>
          <w:p>
            <w:r/>
            <w:r>
              <w:rPr>
                <w:b/>
                <w:color w:val="FFFFFF"/>
              </w:rPr>
              <w:t>Role</w:t>
            </w:r>
          </w:p>
        </w:tc>
        <w:tc>
          <w:tcPr>
            <w:tcW w:type="dxa" w:w="3408"/>
            <w:vAlign w:val="top"/>
            <w:shd w:fill="1F4E79"/>
          </w:tcPr>
          <w:p>
            <w:r/>
            <w:r>
              <w:rPr>
                <w:b/>
                <w:color w:val="FFFFFF"/>
              </w:rPr>
              <w:t>Main saved outputs</w:t>
            </w:r>
          </w:p>
        </w:tc>
      </w:tr>
      <w:tr>
        <w:tc>
          <w:tcPr>
            <w:tcW w:type="dxa" w:w="3408"/>
            <w:vAlign w:val="top"/>
          </w:tcPr>
          <w:p>
            <w:r/>
            <w:r>
              <w:rPr>
                <w:b w:val="0"/>
              </w:rPr>
              <w:t>1</w:t>
            </w:r>
          </w:p>
        </w:tc>
        <w:tc>
          <w:tcPr>
            <w:tcW w:type="dxa" w:w="3408"/>
            <w:vAlign w:val="top"/>
          </w:tcPr>
          <w:p>
            <w:r/>
            <w:r>
              <w:rPr>
                <w:b w:val="0"/>
              </w:rPr>
              <w:t>Setup branch directories and input manifest</w:t>
            </w:r>
          </w:p>
        </w:tc>
        <w:tc>
          <w:tcPr>
            <w:tcW w:type="dxa" w:w="3408"/>
            <w:vAlign w:val="top"/>
          </w:tcPr>
          <w:p>
            <w:r/>
            <w:r>
              <w:rPr>
                <w:b w:val="0"/>
              </w:rPr>
              <w:t>01_front_middle_forecast_repair_manifest_*.json/csv</w:t>
            </w:r>
          </w:p>
        </w:tc>
      </w:tr>
      <w:tr>
        <w:tc>
          <w:tcPr>
            <w:tcW w:type="dxa" w:w="3408"/>
            <w:vAlign w:val="top"/>
          </w:tcPr>
          <w:p>
            <w:r/>
            <w:r>
              <w:rPr>
                <w:b w:val="0"/>
              </w:rPr>
              <w:t>2</w:t>
            </w:r>
          </w:p>
        </w:tc>
        <w:tc>
          <w:tcPr>
            <w:tcW w:type="dxa" w:w="3408"/>
            <w:vAlign w:val="top"/>
          </w:tcPr>
          <w:p>
            <w:r/>
            <w:r>
              <w:rPr>
                <w:b w:val="0"/>
              </w:rPr>
              <w:t>Build Front/Middle/Back research panel from source panels</w:t>
            </w:r>
          </w:p>
        </w:tc>
        <w:tc>
          <w:tcPr>
            <w:tcW w:type="dxa" w:w="3408"/>
            <w:vAlign w:val="top"/>
          </w:tcPr>
          <w:p>
            <w:r/>
            <w:r>
              <w:rPr>
                <w:b w:val="0"/>
              </w:rPr>
              <w:t>02_front_middle_forecast_research_panel_*.parquet and validation/audit CSVs</w:t>
            </w:r>
          </w:p>
        </w:tc>
      </w:tr>
      <w:tr>
        <w:tc>
          <w:tcPr>
            <w:tcW w:type="dxa" w:w="3408"/>
            <w:vAlign w:val="top"/>
          </w:tcPr>
          <w:p>
            <w:r/>
            <w:r>
              <w:rPr>
                <w:b w:val="0"/>
              </w:rPr>
              <w:t>3</w:t>
            </w:r>
          </w:p>
        </w:tc>
        <w:tc>
          <w:tcPr>
            <w:tcW w:type="dxa" w:w="3408"/>
            <w:vAlign w:val="top"/>
          </w:tcPr>
          <w:p>
            <w:r/>
            <w:r>
              <w:rPr>
                <w:b w:val="0"/>
              </w:rPr>
              <w:t>Baseline har_downside_v1 diagnostics</w:t>
            </w:r>
          </w:p>
        </w:tc>
        <w:tc>
          <w:tcPr>
            <w:tcW w:type="dxa" w:w="3408"/>
            <w:vAlign w:val="top"/>
          </w:tcPr>
          <w:p>
            <w:r/>
            <w:r>
              <w:rPr>
                <w:b w:val="0"/>
              </w:rPr>
              <w:t>03_baseline_har_downside_* audit CSVs</w:t>
            </w:r>
          </w:p>
        </w:tc>
      </w:tr>
      <w:tr>
        <w:tc>
          <w:tcPr>
            <w:tcW w:type="dxa" w:w="3408"/>
            <w:vAlign w:val="top"/>
          </w:tcPr>
          <w:p>
            <w:r/>
            <w:r>
              <w:rPr>
                <w:b w:val="0"/>
              </w:rPr>
              <w:t>4</w:t>
            </w:r>
          </w:p>
        </w:tc>
        <w:tc>
          <w:tcPr>
            <w:tcW w:type="dxa" w:w="3408"/>
            <w:vAlign w:val="top"/>
          </w:tcPr>
          <w:p>
            <w:r/>
            <w:r>
              <w:rPr>
                <w:b w:val="0"/>
              </w:rPr>
              <w:t>Construct fast-state/downside/shock candidate features</w:t>
            </w:r>
          </w:p>
        </w:tc>
        <w:tc>
          <w:tcPr>
            <w:tcW w:type="dxa" w:w="3408"/>
            <w:vAlign w:val="top"/>
          </w:tcPr>
          <w:p>
            <w:r/>
            <w:r>
              <w:rPr>
                <w:b w:val="0"/>
              </w:rPr>
              <w:t>04_front_middle_candidate_feature_panel_*.parquet and feature audits</w:t>
            </w:r>
          </w:p>
        </w:tc>
      </w:tr>
      <w:tr>
        <w:tc>
          <w:tcPr>
            <w:tcW w:type="dxa" w:w="3408"/>
            <w:vAlign w:val="top"/>
          </w:tcPr>
          <w:p>
            <w:r/>
            <w:r>
              <w:rPr>
                <w:b w:val="0"/>
              </w:rPr>
              <w:t>5</w:t>
            </w:r>
          </w:p>
        </w:tc>
        <w:tc>
          <w:tcPr>
            <w:tcW w:type="dxa" w:w="3408"/>
            <w:vAlign w:val="top"/>
          </w:tcPr>
          <w:p>
            <w:r/>
            <w:r>
              <w:rPr>
                <w:b w:val="0"/>
              </w:rPr>
              <w:t>Front/Middle candidate OOS sweep</w:t>
            </w:r>
          </w:p>
        </w:tc>
        <w:tc>
          <w:tcPr>
            <w:tcW w:type="dxa" w:w="3408"/>
            <w:vAlign w:val="top"/>
          </w:tcPr>
          <w:p>
            <w:r/>
            <w:r>
              <w:rPr>
                <w:b w:val="0"/>
              </w:rPr>
              <w:t>05_front_middle_oos_forecast_candidate_panel_*.parquet and candidate leaderboard</w:t>
            </w:r>
          </w:p>
        </w:tc>
      </w:tr>
      <w:tr>
        <w:tc>
          <w:tcPr>
            <w:tcW w:type="dxa" w:w="3408"/>
            <w:vAlign w:val="top"/>
          </w:tcPr>
          <w:p>
            <w:r/>
            <w:r>
              <w:rPr>
                <w:b w:val="0"/>
              </w:rPr>
              <w:t>6</w:t>
            </w:r>
          </w:p>
        </w:tc>
        <w:tc>
          <w:tcPr>
            <w:tcW w:type="dxa" w:w="3408"/>
            <w:vAlign w:val="top"/>
          </w:tcPr>
          <w:p>
            <w:r/>
            <w:r>
              <w:rPr>
                <w:b w:val="0"/>
              </w:rPr>
              <w:t>Common-row Front/Middle candidate review</w:t>
            </w:r>
          </w:p>
        </w:tc>
        <w:tc>
          <w:tcPr>
            <w:tcW w:type="dxa" w:w="3408"/>
            <w:vAlign w:val="top"/>
          </w:tcPr>
          <w:p>
            <w:r/>
            <w:r>
              <w:rPr>
                <w:b w:val="0"/>
              </w:rPr>
              <w:t>06_* common-row metrics and recommendation files</w:t>
            </w:r>
          </w:p>
        </w:tc>
      </w:tr>
      <w:tr>
        <w:tc>
          <w:tcPr>
            <w:tcW w:type="dxa" w:w="3408"/>
            <w:vAlign w:val="top"/>
          </w:tcPr>
          <w:p>
            <w:r/>
            <w:r>
              <w:rPr>
                <w:b w:val="0"/>
              </w:rPr>
              <w:t>6B</w:t>
            </w:r>
          </w:p>
        </w:tc>
        <w:tc>
          <w:tcPr>
            <w:tcW w:type="dxa" w:w="3408"/>
            <w:vAlign w:val="top"/>
          </w:tcPr>
          <w:p>
            <w:r/>
            <w:r>
              <w:rPr>
                <w:b w:val="0"/>
              </w:rPr>
              <w:t>Back unfreeze diagnostic only</w:t>
            </w:r>
          </w:p>
        </w:tc>
        <w:tc>
          <w:tcPr>
            <w:tcW w:type="dxa" w:w="3408"/>
            <w:vAlign w:val="top"/>
          </w:tcPr>
          <w:p>
            <w:r/>
            <w:r>
              <w:rPr>
                <w:b w:val="0"/>
              </w:rPr>
              <w:t>06B_back_unfreeze_* outputs</w:t>
            </w:r>
          </w:p>
        </w:tc>
      </w:tr>
      <w:tr>
        <w:tc>
          <w:tcPr>
            <w:tcW w:type="dxa" w:w="3408"/>
            <w:vAlign w:val="top"/>
          </w:tcPr>
          <w:p>
            <w:r/>
            <w:r>
              <w:rPr>
                <w:b w:val="0"/>
              </w:rPr>
              <w:t>6C</w:t>
            </w:r>
          </w:p>
        </w:tc>
        <w:tc>
          <w:tcPr>
            <w:tcW w:type="dxa" w:w="3408"/>
            <w:vAlign w:val="top"/>
          </w:tcPr>
          <w:p>
            <w:r/>
            <w:r>
              <w:rPr>
                <w:b w:val="0"/>
              </w:rPr>
              <w:t>Pure Back model-spec refinement</w:t>
            </w:r>
          </w:p>
        </w:tc>
        <w:tc>
          <w:tcPr>
            <w:tcW w:type="dxa" w:w="3408"/>
            <w:vAlign w:val="top"/>
          </w:tcPr>
          <w:p>
            <w:r/>
            <w:r>
              <w:rPr>
                <w:b w:val="0"/>
              </w:rPr>
              <w:t>06C_back_model_spec_* outputs and unfreeze recommendation</w:t>
            </w:r>
          </w:p>
        </w:tc>
      </w:tr>
      <w:tr>
        <w:tc>
          <w:tcPr>
            <w:tcW w:type="dxa" w:w="3408"/>
            <w:vAlign w:val="top"/>
          </w:tcPr>
          <w:p>
            <w:r/>
            <w:r>
              <w:rPr>
                <w:b w:val="0"/>
              </w:rPr>
              <w:t>7A</w:t>
            </w:r>
          </w:p>
        </w:tc>
        <w:tc>
          <w:tcPr>
            <w:tcW w:type="dxa" w:w="3408"/>
            <w:vAlign w:val="top"/>
          </w:tcPr>
          <w:p>
            <w:r/>
            <w:r>
              <w:rPr>
                <w:b w:val="0"/>
              </w:rPr>
              <w:t>Unified all-tenor fds_no_min_return OOS denominator test</w:t>
            </w:r>
          </w:p>
        </w:tc>
        <w:tc>
          <w:tcPr>
            <w:tcW w:type="dxa" w:w="3408"/>
            <w:vAlign w:val="top"/>
          </w:tcPr>
          <w:p>
            <w:r/>
            <w:r>
              <w:rPr>
                <w:b w:val="0"/>
              </w:rPr>
              <w:t>07A_unified_fds_no_min_return_oos_forecast_panel_*.parquet and recommendation/audit outputs</w:t>
            </w:r>
          </w:p>
        </w:tc>
      </w:tr>
      <w:tr>
        <w:tc>
          <w:tcPr>
            <w:tcW w:type="dxa" w:w="3408"/>
            <w:vAlign w:val="top"/>
          </w:tcPr>
          <w:p>
            <w:r/>
            <w:r>
              <w:rPr>
                <w:b w:val="0"/>
              </w:rPr>
              <w:t>7B</w:t>
            </w:r>
          </w:p>
        </w:tc>
        <w:tc>
          <w:tcPr>
            <w:tcW w:type="dxa" w:w="3408"/>
            <w:vAlign w:val="top"/>
          </w:tcPr>
          <w:p>
            <w:r/>
            <w:r>
              <w:rPr>
                <w:b w:val="0"/>
              </w:rPr>
              <w:t>Visual sanity checks with completed-forward guard</w:t>
            </w:r>
          </w:p>
        </w:tc>
        <w:tc>
          <w:tcPr>
            <w:tcW w:type="dxa" w:w="3408"/>
            <w:vAlign w:val="top"/>
          </w:tcPr>
          <w:p>
            <w:r/>
            <w:r>
              <w:rPr>
                <w:b w:val="0"/>
              </w:rPr>
              <w:t>07B_selected_visual_dates_*.csv, 07B_chart_manifest_*.csv, PNG charts</w:t>
            </w:r>
          </w:p>
        </w:tc>
      </w:tr>
      <w:tr>
        <w:tc>
          <w:tcPr>
            <w:tcW w:type="dxa" w:w="3408"/>
            <w:vAlign w:val="top"/>
          </w:tcPr>
          <w:p>
            <w:r/>
            <w:r>
              <w:rPr>
                <w:b w:val="0"/>
              </w:rPr>
              <w:t>7C</w:t>
            </w:r>
          </w:p>
        </w:tc>
        <w:tc>
          <w:tcPr>
            <w:tcW w:type="dxa" w:w="3408"/>
            <w:vAlign w:val="top"/>
          </w:tcPr>
          <w:p>
            <w:r/>
            <w:r>
              <w:rPr>
                <w:b w:val="0"/>
              </w:rPr>
              <w:t>Term-structure dashboard charts with inline display</w:t>
            </w:r>
          </w:p>
        </w:tc>
        <w:tc>
          <w:tcPr>
            <w:tcW w:type="dxa" w:w="3408"/>
            <w:vAlign w:val="top"/>
          </w:tcPr>
          <w:p>
            <w:r/>
            <w:r>
              <w:rPr>
                <w:b w:val="0"/>
              </w:rPr>
              <w:t>07C_current_term_structure_dates_*.csv, 07C_chart_manifest_*.csv, PNG charts</w:t>
            </w:r>
          </w:p>
        </w:tc>
      </w:tr>
    </w:tbl>
    <w:p/>
    <w:p>
      <w:pPr>
        <w:pStyle w:val="Heading1"/>
      </w:pPr>
      <w:r>
        <w:t>5. Lock evidence and diagnostics</w:t>
      </w:r>
    </w:p>
    <w:p>
      <w:r>
        <w:rPr>
          <w:b/>
        </w:rPr>
        <w:t xml:space="preserve">Cell 7A validation summary. </w:t>
      </w:r>
      <w:r>
        <w:t>Cell 7A produced the unified all-tenor candidate forecast panel with no fit errors, no blending, no threshold grid, and Back thresholds unchanged.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Diagnostic</w:t>
            </w:r>
          </w:p>
        </w:tc>
        <w:tc>
          <w:tcPr>
            <w:tcW w:type="dxa" w:w="5112"/>
            <w:vAlign w:val="top"/>
            <w:shd w:fill="1F4E79"/>
          </w:tcPr>
          <w:p>
            <w:r/>
            <w:r>
              <w:rPr>
                <w:b/>
                <w:color w:val="FFFFFF"/>
              </w:rPr>
              <w:t>Value</w:t>
            </w:r>
          </w:p>
        </w:tc>
      </w:tr>
      <w:tr>
        <w:tc>
          <w:tcPr>
            <w:tcW w:type="dxa" w:w="5112"/>
            <w:vAlign w:val="top"/>
          </w:tcPr>
          <w:p>
            <w:r/>
            <w:r>
              <w:rPr>
                <w:b w:val="0"/>
              </w:rPr>
              <w:t>Candidate forecast rows</w:t>
            </w:r>
          </w:p>
        </w:tc>
        <w:tc>
          <w:tcPr>
            <w:tcW w:type="dxa" w:w="5112"/>
            <w:vAlign w:val="top"/>
          </w:tcPr>
          <w:p>
            <w:r/>
            <w:r>
              <w:rPr>
                <w:b w:val="0"/>
              </w:rPr>
              <w:t>14,688</w:t>
            </w:r>
          </w:p>
        </w:tc>
      </w:tr>
      <w:tr>
        <w:tc>
          <w:tcPr>
            <w:tcW w:type="dxa" w:w="5112"/>
            <w:vAlign w:val="top"/>
          </w:tcPr>
          <w:p>
            <w:r/>
            <w:r>
              <w:rPr>
                <w:b w:val="0"/>
              </w:rPr>
              <w:t>Existing baseline rows</w:t>
            </w:r>
          </w:p>
        </w:tc>
        <w:tc>
          <w:tcPr>
            <w:tcW w:type="dxa" w:w="5112"/>
            <w:vAlign w:val="top"/>
          </w:tcPr>
          <w:p>
            <w:r/>
            <w:r>
              <w:rPr>
                <w:b w:val="0"/>
              </w:rPr>
              <w:t>17,568</w:t>
            </w:r>
          </w:p>
        </w:tc>
      </w:tr>
      <w:tr>
        <w:tc>
          <w:tcPr>
            <w:tcW w:type="dxa" w:w="5112"/>
            <w:vAlign w:val="top"/>
          </w:tcPr>
          <w:p>
            <w:r/>
            <w:r>
              <w:rPr>
                <w:b w:val="0"/>
              </w:rPr>
              <w:t>Common date x tenor keys</w:t>
            </w:r>
          </w:p>
        </w:tc>
        <w:tc>
          <w:tcPr>
            <w:tcW w:type="dxa" w:w="5112"/>
            <w:vAlign w:val="top"/>
          </w:tcPr>
          <w:p>
            <w:r/>
            <w:r>
              <w:rPr>
                <w:b w:val="0"/>
              </w:rPr>
              <w:t>14,688</w:t>
            </w:r>
          </w:p>
        </w:tc>
      </w:tr>
      <w:tr>
        <w:tc>
          <w:tcPr>
            <w:tcW w:type="dxa" w:w="5112"/>
            <w:vAlign w:val="top"/>
          </w:tcPr>
          <w:p>
            <w:r/>
            <w:r>
              <w:rPr>
                <w:b w:val="0"/>
              </w:rPr>
              <w:t>Common forecast rows</w:t>
            </w:r>
          </w:p>
        </w:tc>
        <w:tc>
          <w:tcPr>
            <w:tcW w:type="dxa" w:w="5112"/>
            <w:vAlign w:val="top"/>
          </w:tcPr>
          <w:p>
            <w:r/>
            <w:r>
              <w:rPr>
                <w:b w:val="0"/>
              </w:rPr>
              <w:t>29,376</w:t>
            </w:r>
          </w:p>
        </w:tc>
      </w:tr>
      <w:tr>
        <w:tc>
          <w:tcPr>
            <w:tcW w:type="dxa" w:w="5112"/>
            <w:vAlign w:val="top"/>
          </w:tcPr>
          <w:p>
            <w:r/>
            <w:r>
              <w:rPr>
                <w:b w:val="0"/>
              </w:rPr>
              <w:t>Date range</w:t>
            </w:r>
          </w:p>
        </w:tc>
        <w:tc>
          <w:tcPr>
            <w:tcW w:type="dxa" w:w="5112"/>
            <w:vAlign w:val="top"/>
          </w:tcPr>
          <w:p>
            <w:r/>
            <w:r>
              <w:rPr>
                <w:b w:val="0"/>
              </w:rPr>
              <w:t>2020-01-02 to 2026-07-01</w:t>
            </w:r>
          </w:p>
        </w:tc>
      </w:tr>
      <w:tr>
        <w:tc>
          <w:tcPr>
            <w:tcW w:type="dxa" w:w="5112"/>
            <w:vAlign w:val="top"/>
          </w:tcPr>
          <w:p>
            <w:r/>
            <w:r>
              <w:rPr>
                <w:b w:val="0"/>
              </w:rPr>
              <w:t>Fit status</w:t>
            </w:r>
          </w:p>
        </w:tc>
        <w:tc>
          <w:tcPr>
            <w:tcW w:type="dxa" w:w="5112"/>
            <w:vAlign w:val="top"/>
          </w:tcPr>
          <w:p>
            <w:r/>
            <w:r>
              <w:rPr>
                <w:b w:val="0"/>
              </w:rPr>
              <w:t>63 candidate_fit rows; 18 skipped_insufficient_train_rows; 0 fit errors</w:t>
            </w:r>
          </w:p>
        </w:tc>
      </w:tr>
      <w:tr>
        <w:tc>
          <w:tcPr>
            <w:tcW w:type="dxa" w:w="5112"/>
            <w:vAlign w:val="top"/>
          </w:tcPr>
          <w:p>
            <w:r/>
            <w:r>
              <w:rPr>
                <w:b w:val="0"/>
              </w:rPr>
              <w:t>Overall status</w:t>
            </w:r>
          </w:p>
        </w:tc>
        <w:tc>
          <w:tcPr>
            <w:tcW w:type="dxa" w:w="5112"/>
            <w:vAlign w:val="top"/>
          </w:tcPr>
          <w:p>
            <w:r/>
            <w:r>
              <w:rPr>
                <w:b w:val="0"/>
              </w:rPr>
              <w:t>ADVANCE_TO_SIGNAL_THRESHOLD_RESEARCH</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1F4E79"/>
          </w:tcPr>
          <w:p>
            <w:r/>
            <w:r>
              <w:rPr>
                <w:b/>
                <w:color w:val="FFFFFF"/>
              </w:rPr>
              <w:t>Bucket</w:t>
            </w:r>
          </w:p>
        </w:tc>
        <w:tc>
          <w:tcPr>
            <w:tcW w:type="dxa" w:w="1704"/>
            <w:vAlign w:val="top"/>
            <w:shd w:fill="1F4E79"/>
          </w:tcPr>
          <w:p>
            <w:r/>
            <w:r>
              <w:rPr>
                <w:b/>
                <w:color w:val="FFFFFF"/>
              </w:rPr>
              <w:t>RMSE existing</w:t>
            </w:r>
          </w:p>
        </w:tc>
        <w:tc>
          <w:tcPr>
            <w:tcW w:type="dxa" w:w="1704"/>
            <w:vAlign w:val="top"/>
            <w:shd w:fill="1F4E79"/>
          </w:tcPr>
          <w:p>
            <w:r/>
            <w:r>
              <w:rPr>
                <w:b/>
                <w:color w:val="FFFFFF"/>
              </w:rPr>
              <w:t>RMSE unified</w:t>
            </w:r>
          </w:p>
        </w:tc>
        <w:tc>
          <w:tcPr>
            <w:tcW w:type="dxa" w:w="1704"/>
            <w:vAlign w:val="top"/>
            <w:shd w:fill="1F4E79"/>
          </w:tcPr>
          <w:p>
            <w:r/>
            <w:r>
              <w:rPr>
                <w:b/>
                <w:color w:val="FFFFFF"/>
              </w:rPr>
              <w:t>Top-decile capture existing</w:t>
            </w:r>
          </w:p>
        </w:tc>
        <w:tc>
          <w:tcPr>
            <w:tcW w:type="dxa" w:w="1704"/>
            <w:vAlign w:val="top"/>
            <w:shd w:fill="1F4E79"/>
          </w:tcPr>
          <w:p>
            <w:r/>
            <w:r>
              <w:rPr>
                <w:b/>
                <w:color w:val="FFFFFF"/>
              </w:rPr>
              <w:t>Top-decile capture unified</w:t>
            </w:r>
          </w:p>
        </w:tc>
        <w:tc>
          <w:tcPr>
            <w:tcW w:type="dxa" w:w="1704"/>
            <w:vAlign w:val="top"/>
            <w:shd w:fill="1F4E79"/>
          </w:tcPr>
          <w:p>
            <w:r/>
            <w:r>
              <w:rPr>
                <w:b/>
                <w:color w:val="FFFFFF"/>
              </w:rPr>
              <w:t>Interpretation</w:t>
            </w:r>
          </w:p>
        </w:tc>
      </w:tr>
      <w:tr>
        <w:tc>
          <w:tcPr>
            <w:tcW w:type="dxa" w:w="1704"/>
            <w:vAlign w:val="top"/>
          </w:tcPr>
          <w:p>
            <w:r/>
            <w:r>
              <w:rPr>
                <w:b w:val="0"/>
              </w:rPr>
              <w:t>Front</w:t>
            </w:r>
          </w:p>
        </w:tc>
        <w:tc>
          <w:tcPr>
            <w:tcW w:type="dxa" w:w="1704"/>
            <w:vAlign w:val="top"/>
          </w:tcPr>
          <w:p>
            <w:r/>
            <w:r>
              <w:rPr>
                <w:b w:val="0"/>
              </w:rPr>
              <w:t>0.767</w:t>
            </w:r>
          </w:p>
        </w:tc>
        <w:tc>
          <w:tcPr>
            <w:tcW w:type="dxa" w:w="1704"/>
            <w:vAlign w:val="top"/>
          </w:tcPr>
          <w:p>
            <w:r/>
            <w:r>
              <w:rPr>
                <w:b w:val="0"/>
              </w:rPr>
              <w:t>0.707</w:t>
            </w:r>
          </w:p>
        </w:tc>
        <w:tc>
          <w:tcPr>
            <w:tcW w:type="dxa" w:w="1704"/>
            <w:vAlign w:val="top"/>
          </w:tcPr>
          <w:p>
            <w:r/>
            <w:r>
              <w:rPr>
                <w:b w:val="0"/>
              </w:rPr>
              <w:t>44.5%</w:t>
            </w:r>
          </w:p>
        </w:tc>
        <w:tc>
          <w:tcPr>
            <w:tcW w:type="dxa" w:w="1704"/>
            <w:vAlign w:val="top"/>
          </w:tcPr>
          <w:p>
            <w:r/>
            <w:r>
              <w:rPr>
                <w:b w:val="0"/>
              </w:rPr>
              <w:t>50.8%</w:t>
            </w:r>
          </w:p>
        </w:tc>
        <w:tc>
          <w:tcPr>
            <w:tcW w:type="dxa" w:w="1704"/>
            <w:vAlign w:val="top"/>
          </w:tcPr>
          <w:p>
            <w:r/>
            <w:r>
              <w:rPr>
                <w:b w:val="0"/>
              </w:rPr>
              <w:t>Improved RMSE and capture; lower tail risk, modest P&amp;L give-up in diagnostic trades.</w:t>
            </w:r>
          </w:p>
        </w:tc>
      </w:tr>
      <w:tr>
        <w:tc>
          <w:tcPr>
            <w:tcW w:type="dxa" w:w="1704"/>
            <w:vAlign w:val="top"/>
          </w:tcPr>
          <w:p>
            <w:r/>
            <w:r>
              <w:rPr>
                <w:b w:val="0"/>
              </w:rPr>
              <w:t>Middle</w:t>
            </w:r>
          </w:p>
        </w:tc>
        <w:tc>
          <w:tcPr>
            <w:tcW w:type="dxa" w:w="1704"/>
            <w:vAlign w:val="top"/>
          </w:tcPr>
          <w:p>
            <w:r/>
            <w:r>
              <w:rPr>
                <w:b w:val="0"/>
              </w:rPr>
              <w:t>0.810</w:t>
            </w:r>
          </w:p>
        </w:tc>
        <w:tc>
          <w:tcPr>
            <w:tcW w:type="dxa" w:w="1704"/>
            <w:vAlign w:val="top"/>
          </w:tcPr>
          <w:p>
            <w:r/>
            <w:r>
              <w:rPr>
                <w:b w:val="0"/>
              </w:rPr>
              <w:t>0.738</w:t>
            </w:r>
          </w:p>
        </w:tc>
        <w:tc>
          <w:tcPr>
            <w:tcW w:type="dxa" w:w="1704"/>
            <w:vAlign w:val="top"/>
          </w:tcPr>
          <w:p>
            <w:r/>
            <w:r>
              <w:rPr>
                <w:b w:val="0"/>
              </w:rPr>
              <w:t>33.3%</w:t>
            </w:r>
          </w:p>
        </w:tc>
        <w:tc>
          <w:tcPr>
            <w:tcW w:type="dxa" w:w="1704"/>
            <w:vAlign w:val="top"/>
          </w:tcPr>
          <w:p>
            <w:r/>
            <w:r>
              <w:rPr>
                <w:b w:val="0"/>
              </w:rPr>
              <w:t>42.5%</w:t>
            </w:r>
          </w:p>
        </w:tc>
        <w:tc>
          <w:tcPr>
            <w:tcW w:type="dxa" w:w="1704"/>
            <w:vAlign w:val="top"/>
          </w:tcPr>
          <w:p>
            <w:r/>
            <w:r>
              <w:rPr>
                <w:b w:val="0"/>
              </w:rPr>
              <w:t>Strongest overall improvement.</w:t>
            </w:r>
          </w:p>
        </w:tc>
      </w:tr>
      <w:tr>
        <w:tc>
          <w:tcPr>
            <w:tcW w:type="dxa" w:w="1704"/>
            <w:vAlign w:val="top"/>
          </w:tcPr>
          <w:p>
            <w:r/>
            <w:r>
              <w:rPr>
                <w:b w:val="0"/>
              </w:rPr>
              <w:t>Back</w:t>
            </w:r>
          </w:p>
        </w:tc>
        <w:tc>
          <w:tcPr>
            <w:tcW w:type="dxa" w:w="1704"/>
            <w:vAlign w:val="top"/>
          </w:tcPr>
          <w:p>
            <w:r/>
            <w:r>
              <w:rPr>
                <w:b w:val="0"/>
              </w:rPr>
              <w:t>0.871</w:t>
            </w:r>
          </w:p>
        </w:tc>
        <w:tc>
          <w:tcPr>
            <w:tcW w:type="dxa" w:w="1704"/>
            <w:vAlign w:val="top"/>
          </w:tcPr>
          <w:p>
            <w:r/>
            <w:r>
              <w:rPr>
                <w:b w:val="0"/>
              </w:rPr>
              <w:t>0.781</w:t>
            </w:r>
          </w:p>
        </w:tc>
        <w:tc>
          <w:tcPr>
            <w:tcW w:type="dxa" w:w="1704"/>
            <w:vAlign w:val="top"/>
          </w:tcPr>
          <w:p>
            <w:r/>
            <w:r>
              <w:rPr>
                <w:b w:val="0"/>
              </w:rPr>
              <w:t>31.1%</w:t>
            </w:r>
          </w:p>
        </w:tc>
        <w:tc>
          <w:tcPr>
            <w:tcW w:type="dxa" w:w="1704"/>
            <w:vAlign w:val="top"/>
          </w:tcPr>
          <w:p>
            <w:r/>
            <w:r>
              <w:rPr>
                <w:b w:val="0"/>
              </w:rPr>
              <w:t>44.9%</w:t>
            </w:r>
          </w:p>
        </w:tc>
        <w:tc>
          <w:tcPr>
            <w:tcW w:type="dxa" w:w="1704"/>
            <w:vAlign w:val="top"/>
          </w:tcPr>
          <w:p>
            <w:r/>
            <w:r>
              <w:rPr>
                <w:b w:val="0"/>
              </w:rPr>
              <w:t>Supports unfreezing Back under the same model spec.</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Bucket</w:t>
            </w:r>
          </w:p>
        </w:tc>
        <w:tc>
          <w:tcPr>
            <w:tcW w:type="dxa" w:w="5112"/>
            <w:vAlign w:val="top"/>
            <w:shd w:fill="1F4E79"/>
          </w:tcPr>
          <w:p>
            <w:r/>
            <w:r>
              <w:rPr>
                <w:b/>
                <w:color w:val="FFFFFF"/>
              </w:rPr>
              <w:t>Diagnostic trade result versus existing</w:t>
            </w:r>
          </w:p>
        </w:tc>
      </w:tr>
      <w:tr>
        <w:tc>
          <w:tcPr>
            <w:tcW w:type="dxa" w:w="5112"/>
            <w:vAlign w:val="top"/>
          </w:tcPr>
          <w:p>
            <w:r/>
            <w:r>
              <w:rPr>
                <w:b w:val="0"/>
              </w:rPr>
              <w:t>Front</w:t>
            </w:r>
          </w:p>
        </w:tc>
        <w:tc>
          <w:tcPr>
            <w:tcW w:type="dxa" w:w="5112"/>
            <w:vAlign w:val="top"/>
          </w:tcPr>
          <w:p>
            <w:r/>
            <w:r>
              <w:rPr>
                <w:b w:val="0"/>
              </w:rPr>
              <w:t>All-qualified rows: total P&amp;L -$201k, but profit factor improved, worst trade improved from about -$241k to -$108k, drawdown improved materially, and &lt;= -$100k trades fell from 21 to 1.</w:t>
            </w:r>
          </w:p>
        </w:tc>
      </w:tr>
      <w:tr>
        <w:tc>
          <w:tcPr>
            <w:tcW w:type="dxa" w:w="5112"/>
            <w:vAlign w:val="top"/>
          </w:tcPr>
          <w:p>
            <w:r/>
            <w:r>
              <w:rPr>
                <w:b w:val="0"/>
              </w:rPr>
              <w:t>Middle</w:t>
            </w:r>
          </w:p>
        </w:tc>
        <w:tc>
          <w:tcPr>
            <w:tcW w:type="dxa" w:w="5112"/>
            <w:vAlign w:val="top"/>
          </w:tcPr>
          <w:p>
            <w:r/>
            <w:r>
              <w:rPr>
                <w:b w:val="0"/>
              </w:rPr>
              <w:t>All-qualified rows: total P&amp;L +$1.994mm, win rate +5.7 pts, profit factor +2.60, major improvement in worst trade/drawdown, &lt;= -$100k trades fell from 29 to 2.</w:t>
            </w:r>
          </w:p>
        </w:tc>
      </w:tr>
      <w:tr>
        <w:tc>
          <w:tcPr>
            <w:tcW w:type="dxa" w:w="5112"/>
            <w:vAlign w:val="top"/>
          </w:tcPr>
          <w:p>
            <w:r/>
            <w:r>
              <w:rPr>
                <w:b w:val="0"/>
              </w:rPr>
              <w:t>Back</w:t>
            </w:r>
          </w:p>
        </w:tc>
        <w:tc>
          <w:tcPr>
            <w:tcW w:type="dxa" w:w="5112"/>
            <w:vAlign w:val="top"/>
          </w:tcPr>
          <w:p>
            <w:r/>
            <w:r>
              <w:rPr>
                <w:b w:val="0"/>
              </w:rPr>
              <w:t>All-qualified rows: total P&amp;L +$378k, win rate +2.8 pts, profit factor improved from 3.32 to 6.18, worst trade improved from about -$263k to -$104k, &lt;= -$100k trades fell from 10 to 2.</w:t>
            </w:r>
          </w:p>
        </w:tc>
      </w:tr>
    </w:tbl>
    <w:p/>
    <w:p>
      <w:r>
        <w:rPr>
          <w:b/>
        </w:rPr>
        <w:t xml:space="preserve">Known caveat. </w:t>
      </w:r>
      <w:r>
        <w:t>The 30D Back anchor improved total P&amp;L modestly and win rate improved, but the single worst trade worsened from about -$80k to about -$104k and one &gt;$100k loss appeared. This is acceptable for the consistency objective, but should remain visible in risk review and sizing work.</w:t>
      </w:r>
    </w:p>
    <w:p>
      <w:pPr>
        <w:pStyle w:val="Heading1"/>
      </w:pPr>
      <w:r>
        <w:t>6. Charting and completed-forward guard</w:t>
      </w:r>
    </w:p>
    <w:p>
      <w:r>
        <w:rPr>
          <w:b/>
        </w:rPr>
        <w:t xml:space="preserve">Why this matters. </w:t>
      </w:r>
      <w:r>
        <w:t>The most recent date can have incomplete forward realized windows. Forward realized vol must not be plotted or interpreted unless the forward window has completed. Cell 7B and Cell 7C therefore use a completed-forward guard.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Rule</w:t>
            </w:r>
          </w:p>
        </w:tc>
        <w:tc>
          <w:tcPr>
            <w:tcW w:type="dxa" w:w="5112"/>
            <w:vAlign w:val="top"/>
            <w:shd w:fill="1F4E79"/>
          </w:tcPr>
          <w:p>
            <w:r/>
            <w:r>
              <w:rPr>
                <w:b/>
                <w:color w:val="FFFFFF"/>
              </w:rPr>
              <w:t>Definition</w:t>
            </w:r>
          </w:p>
        </w:tc>
      </w:tr>
      <w:tr>
        <w:tc>
          <w:tcPr>
            <w:tcW w:type="dxa" w:w="5112"/>
            <w:vAlign w:val="top"/>
          </w:tcPr>
          <w:p>
            <w:r/>
            <w:r>
              <w:rPr>
                <w:b w:val="0"/>
              </w:rPr>
              <w:t>Max available trade date</w:t>
            </w:r>
          </w:p>
        </w:tc>
        <w:tc>
          <w:tcPr>
            <w:tcW w:type="dxa" w:w="5112"/>
            <w:vAlign w:val="top"/>
          </w:tcPr>
          <w:p>
            <w:r/>
            <w:r>
              <w:rPr>
                <w:b w:val="0"/>
              </w:rPr>
              <w:t>max_available_trade_date = max(trade_date) in the Cell 7A panel</w:t>
            </w:r>
          </w:p>
        </w:tc>
      </w:tr>
      <w:tr>
        <w:tc>
          <w:tcPr>
            <w:tcW w:type="dxa" w:w="5112"/>
            <w:vAlign w:val="top"/>
          </w:tcPr>
          <w:p>
            <w:r/>
            <w:r>
              <w:rPr>
                <w:b w:val="0"/>
              </w:rPr>
              <w:t>Forward complete flag</w:t>
            </w:r>
          </w:p>
        </w:tc>
        <w:tc>
          <w:tcPr>
            <w:tcW w:type="dxa" w:w="5112"/>
            <w:vAlign w:val="top"/>
          </w:tcPr>
          <w:p>
            <w:r/>
            <w:r>
              <w:rPr>
                <w:b w:val="0"/>
              </w:rPr>
              <w:t>forward_realized_complete = last_forward_rv_date &lt;= max_available_trade_date</w:t>
            </w:r>
          </w:p>
        </w:tc>
      </w:tr>
      <w:tr>
        <w:tc>
          <w:tcPr>
            <w:tcW w:type="dxa" w:w="5112"/>
            <w:vAlign w:val="top"/>
          </w:tcPr>
          <w:p>
            <w:r/>
            <w:r>
              <w:rPr>
                <w:b w:val="0"/>
              </w:rPr>
              <w:t>Plotting rule</w:t>
            </w:r>
          </w:p>
        </w:tc>
        <w:tc>
          <w:tcPr>
            <w:tcW w:type="dxa" w:w="5112"/>
            <w:vAlign w:val="top"/>
          </w:tcPr>
          <w:p>
            <w:r/>
            <w:r>
              <w:rPr>
                <w:b w:val="0"/>
              </w:rPr>
              <w:t>Plot forward realized vol only when forward_realized_complete is true</w:t>
            </w:r>
          </w:p>
        </w:tc>
      </w:tr>
      <w:tr>
        <w:tc>
          <w:tcPr>
            <w:tcW w:type="dxa" w:w="5112"/>
            <w:vAlign w:val="top"/>
          </w:tcPr>
          <w:p>
            <w:r/>
            <w:r>
              <w:rPr>
                <w:b w:val="0"/>
              </w:rPr>
              <w:t>Latest-date behavior</w:t>
            </w:r>
          </w:p>
        </w:tc>
        <w:tc>
          <w:tcPr>
            <w:tcW w:type="dxa" w:w="5112"/>
            <w:vAlign w:val="top"/>
          </w:tcPr>
          <w:p>
            <w:r/>
            <w:r>
              <w:rPr>
                <w:b w:val="0"/>
              </w:rPr>
              <w:t>Current snapshot plots implied and forecast; realized is suppressed if incomplete</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Cell 7B v2 check</w:t>
            </w:r>
          </w:p>
        </w:tc>
        <w:tc>
          <w:tcPr>
            <w:tcW w:type="dxa" w:w="5112"/>
            <w:vAlign w:val="top"/>
            <w:shd w:fill="1F4E79"/>
          </w:tcPr>
          <w:p>
            <w:r/>
            <w:r>
              <w:rPr>
                <w:b/>
                <w:color w:val="FFFFFF"/>
              </w:rPr>
              <w:t>Value</w:t>
            </w:r>
          </w:p>
        </w:tc>
      </w:tr>
      <w:tr>
        <w:tc>
          <w:tcPr>
            <w:tcW w:type="dxa" w:w="5112"/>
            <w:vAlign w:val="top"/>
          </w:tcPr>
          <w:p>
            <w:r/>
            <w:r>
              <w:rPr>
                <w:b w:val="0"/>
              </w:rPr>
              <w:t>Max available trade date</w:t>
            </w:r>
          </w:p>
        </w:tc>
        <w:tc>
          <w:tcPr>
            <w:tcW w:type="dxa" w:w="5112"/>
            <w:vAlign w:val="top"/>
          </w:tcPr>
          <w:p>
            <w:r/>
            <w:r>
              <w:rPr>
                <w:b w:val="0"/>
              </w:rPr>
              <w:t>2026-07-01</w:t>
            </w:r>
          </w:p>
        </w:tc>
      </w:tr>
      <w:tr>
        <w:tc>
          <w:tcPr>
            <w:tcW w:type="dxa" w:w="5112"/>
            <w:vAlign w:val="top"/>
          </w:tcPr>
          <w:p>
            <w:r/>
            <w:r>
              <w:rPr>
                <w:b w:val="0"/>
              </w:rPr>
              <w:t>Latest completed forward tenors on latest date</w:t>
            </w:r>
          </w:p>
        </w:tc>
        <w:tc>
          <w:tcPr>
            <w:tcW w:type="dxa" w:w="5112"/>
            <w:vAlign w:val="top"/>
          </w:tcPr>
          <w:p>
            <w:r/>
            <w:r>
              <w:rPr>
                <w:b w:val="0"/>
              </w:rPr>
              <w:t>0 / 9</w:t>
            </w:r>
          </w:p>
        </w:tc>
      </w:tr>
      <w:tr>
        <w:tc>
          <w:tcPr>
            <w:tcW w:type="dxa" w:w="5112"/>
            <w:vAlign w:val="top"/>
          </w:tcPr>
          <w:p>
            <w:r/>
            <w:r>
              <w:rPr>
                <w:b w:val="0"/>
              </w:rPr>
              <w:t>Suppressed incomplete realized rows</w:t>
            </w:r>
          </w:p>
        </w:tc>
        <w:tc>
          <w:tcPr>
            <w:tcW w:type="dxa" w:w="5112"/>
            <w:vAlign w:val="top"/>
          </w:tcPr>
          <w:p>
            <w:r/>
            <w:r>
              <w:rPr>
                <w:b w:val="0"/>
              </w:rPr>
              <w:t>129</w:t>
            </w:r>
          </w:p>
        </w:tc>
      </w:tr>
      <w:tr>
        <w:tc>
          <w:tcPr>
            <w:tcW w:type="dxa" w:w="5112"/>
            <w:vAlign w:val="top"/>
          </w:tcPr>
          <w:p>
            <w:r/>
            <w:r>
              <w:rPr>
                <w:b w:val="0"/>
              </w:rPr>
              <w:t>Latest completed forward-realized date selected</w:t>
            </w:r>
          </w:p>
        </w:tc>
        <w:tc>
          <w:tcPr>
            <w:tcW w:type="dxa" w:w="5112"/>
            <w:vAlign w:val="top"/>
          </w:tcPr>
          <w:p>
            <w:r/>
            <w:r>
              <w:rPr>
                <w:b w:val="0"/>
              </w:rPr>
              <w:t>2026-05-29</w:t>
            </w:r>
          </w:p>
        </w:tc>
      </w:tr>
    </w:tbl>
    <w:p/>
    <w:p>
      <w:pPr>
        <w:pStyle w:val="Heading1"/>
      </w:pPr>
      <w:r>
        <w:t>7. How to recreate the model</w:t>
      </w:r>
    </w:p>
    <w:p>
      <w:pPr>
        <w:pStyle w:val="ListNumber"/>
      </w:pPr>
      <w:r>
        <w:t>Verify that the source branches and input parquet files exist under C:\Users\patri\vrp_project.</w:t>
      </w:r>
    </w:p>
    <w:p>
      <w:pPr>
        <w:pStyle w:val="ListNumber"/>
      </w:pPr>
      <w:r>
        <w:t>Open the cleaned notebook vrp_unified_fds_no_min_return_locked_model_clean.ipynb.</w:t>
      </w:r>
    </w:p>
    <w:p>
      <w:pPr>
        <w:pStyle w:val="ListNumber"/>
      </w:pPr>
      <w:r>
        <w:t>Run Cell 1 to create or verify branch directories and the input manifest.</w:t>
      </w:r>
    </w:p>
    <w:p>
      <w:pPr>
        <w:pStyle w:val="ListNumber"/>
      </w:pPr>
      <w:r>
        <w:t>Run Cell 2 to build the research panel from the source denominator, signal, target, implied, and 30D feature panels.</w:t>
      </w:r>
    </w:p>
    <w:p>
      <w:pPr>
        <w:pStyle w:val="ListNumber"/>
      </w:pPr>
      <w:r>
        <w:t>Run Cell 3 to audit the baseline har_downside_v1 forecast by tenor, bucket, and year.</w:t>
      </w:r>
    </w:p>
    <w:p>
      <w:pPr>
        <w:pStyle w:val="ListNumber"/>
      </w:pPr>
      <w:r>
        <w:t>Run Cell 4 to construct the candidate fast/downside/shock features and audit forbidden feature exposure.</w:t>
      </w:r>
    </w:p>
    <w:p>
      <w:pPr>
        <w:pStyle w:val="ListNumber"/>
      </w:pPr>
      <w:r>
        <w:t>Run Cells 5 and 6 only if recreating the full Front/Middle candidate-research history.</w:t>
      </w:r>
    </w:p>
    <w:p>
      <w:pPr>
        <w:pStyle w:val="ListNumber"/>
      </w:pPr>
      <w:r>
        <w:t>Run Cells 6B and 6C only if recreating the Back unfreeze decision history.</w:t>
      </w:r>
    </w:p>
    <w:p>
      <w:pPr>
        <w:pStyle w:val="ListNumber"/>
      </w:pPr>
      <w:r>
        <w:t>Run Cell 7A to refit and score the locked unified fds_no_min_return denominator across all nine tenors.</w:t>
      </w:r>
    </w:p>
    <w:p>
      <w:pPr>
        <w:pStyle w:val="ListNumber"/>
      </w:pPr>
      <w:r>
        <w:t>Run Cell 7B to generate sanity-check charts with completed-forward realized-vol suppression.</w:t>
      </w:r>
    </w:p>
    <w:p>
      <w:pPr>
        <w:pStyle w:val="ListNumber"/>
      </w:pPr>
      <w:r>
        <w:t>Run Cell 7C to generate term-structure dashboard charts and display them inline.</w:t>
      </w:r>
    </w:p>
    <w:p>
      <w:r>
        <w:rPr>
          <w:b/>
        </w:rPr>
        <w:t xml:space="preserve">Minimal rerun path after inputs already exist. </w:t>
      </w:r>
      <w:r>
        <w:t>If the purpose is only to refresh the locked model and charts from the existing enriched feature panel, run Cells 7A, 7B, and 7C. If Cell 7A output already exists and no refit is needed, run only Cells 7B and 7C.</w:t>
      </w:r>
    </w:p>
    <w:p>
      <w:pPr>
        <w:pStyle w:val="Heading1"/>
      </w:pPr>
      <w:r>
        <w:t>8. Do-not-change contract for next research phase</w:t>
      </w:r>
    </w:p>
    <w:p>
      <w:pPr>
        <w:pStyle w:val="ListBullet"/>
      </w:pPr>
      <w:r>
        <w:t>Do not add candidate_min_return_* features back into the locked denominator.</w:t>
      </w:r>
    </w:p>
    <w:p>
      <w:pPr>
        <w:pStyle w:val="ListBullet"/>
      </w:pPr>
      <w:r>
        <w:t>Do not blend the unified forecast with har_downside_v1 or any other candidate model.</w:t>
      </w:r>
    </w:p>
    <w:p>
      <w:pPr>
        <w:pStyle w:val="ListBullet"/>
      </w:pPr>
      <w:r>
        <w:t>Do not use separate Front/Middle/Back denominator feature specs.</w:t>
      </w:r>
    </w:p>
    <w:p>
      <w:pPr>
        <w:pStyle w:val="ListBullet"/>
      </w:pPr>
      <w:r>
        <w:t>Do not include implied-vol, VRP, z-score, RSI, P&amp;L, option, strike, bucket, or tenor fields as model features.</w:t>
      </w:r>
    </w:p>
    <w:p>
      <w:pPr>
        <w:pStyle w:val="ListBullet"/>
      </w:pPr>
      <w:r>
        <w:t>Do not tune thresholds inside the denominator refit cell.</w:t>
      </w:r>
    </w:p>
    <w:p>
      <w:pPr>
        <w:pStyle w:val="ListBullet"/>
      </w:pPr>
      <w:r>
        <w:t>Keep the completed-forward guard in all charts that show forward realized vol.</w:t>
      </w:r>
    </w:p>
    <w:p>
      <w:r>
        <w:rPr>
          <w:b/>
        </w:rPr>
        <w:t xml:space="preserve">Next intended research step. </w:t>
      </w:r>
      <w:r>
        <w:t>The next research stage should be Core threshold research using only the locked unified denominator. Back should remain anchored at the locked Back thresholds unless a separate approved threshold-research scope says otherwise.</w:t>
      </w:r>
    </w:p>
    <w:p>
      <w:pPr>
        <w:pStyle w:val="Heading1"/>
      </w:pPr>
      <w:r>
        <w:t>Appendix A. Primary output file patterns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Output type</w:t>
            </w:r>
          </w:p>
        </w:tc>
        <w:tc>
          <w:tcPr>
            <w:tcW w:type="dxa" w:w="5112"/>
            <w:vAlign w:val="top"/>
            <w:shd w:fill="1F4E79"/>
          </w:tcPr>
          <w:p>
            <w:r/>
            <w:r>
              <w:rPr>
                <w:b/>
                <w:color w:val="FFFFFF"/>
              </w:rPr>
              <w:t>Pattern</w:t>
            </w:r>
          </w:p>
        </w:tc>
      </w:tr>
      <w:tr>
        <w:tc>
          <w:tcPr>
            <w:tcW w:type="dxa" w:w="5112"/>
            <w:vAlign w:val="top"/>
          </w:tcPr>
          <w:p>
            <w:r/>
            <w:r>
              <w:rPr>
                <w:b w:val="0"/>
              </w:rPr>
              <w:t>Unified forecast panel</w:t>
            </w:r>
          </w:p>
        </w:tc>
        <w:tc>
          <w:tcPr>
            <w:tcW w:type="dxa" w:w="5112"/>
            <w:vAlign w:val="top"/>
          </w:tcPr>
          <w:p>
            <w:r/>
            <w:r>
              <w:rPr>
                <w:b w:val="0"/>
              </w:rPr>
              <w:t>07A_unified_fds_no_min_return_oos_forecast_panel_*.parquet</w:t>
            </w:r>
          </w:p>
        </w:tc>
      </w:tr>
      <w:tr>
        <w:tc>
          <w:tcPr>
            <w:tcW w:type="dxa" w:w="5112"/>
            <w:vAlign w:val="top"/>
          </w:tcPr>
          <w:p>
            <w:r/>
            <w:r>
              <w:rPr>
                <w:b w:val="0"/>
              </w:rPr>
              <w:t>Unified common-row panel</w:t>
            </w:r>
          </w:p>
        </w:tc>
        <w:tc>
          <w:tcPr>
            <w:tcW w:type="dxa" w:w="5112"/>
            <w:vAlign w:val="top"/>
          </w:tcPr>
          <w:p>
            <w:r/>
            <w:r>
              <w:rPr>
                <w:b w:val="0"/>
              </w:rPr>
              <w:t>07A_unified_common_row_panel_*.parquet</w:t>
            </w:r>
          </w:p>
        </w:tc>
      </w:tr>
      <w:tr>
        <w:tc>
          <w:tcPr>
            <w:tcW w:type="dxa" w:w="5112"/>
            <w:vAlign w:val="top"/>
          </w:tcPr>
          <w:p>
            <w:r/>
            <w:r>
              <w:rPr>
                <w:b w:val="0"/>
              </w:rPr>
              <w:t>Unified signal threshold diagnostic panel</w:t>
            </w:r>
          </w:p>
        </w:tc>
        <w:tc>
          <w:tcPr>
            <w:tcW w:type="dxa" w:w="5112"/>
            <w:vAlign w:val="top"/>
          </w:tcPr>
          <w:p>
            <w:r/>
            <w:r>
              <w:rPr>
                <w:b w:val="0"/>
              </w:rPr>
              <w:t>07A_unified_signal_threshold_diagnostic_panel_*.parquet</w:t>
            </w:r>
          </w:p>
        </w:tc>
      </w:tr>
      <w:tr>
        <w:tc>
          <w:tcPr>
            <w:tcW w:type="dxa" w:w="5112"/>
            <w:vAlign w:val="top"/>
          </w:tcPr>
          <w:p>
            <w:r/>
            <w:r>
              <w:rPr>
                <w:b w:val="0"/>
              </w:rPr>
              <w:t>Unified qualified trade diagnostic panel</w:t>
            </w:r>
          </w:p>
        </w:tc>
        <w:tc>
          <w:tcPr>
            <w:tcW w:type="dxa" w:w="5112"/>
            <w:vAlign w:val="top"/>
          </w:tcPr>
          <w:p>
            <w:r/>
            <w:r>
              <w:rPr>
                <w:b w:val="0"/>
              </w:rPr>
              <w:t>07A_unified_qualified_trade_diagnostic_panel_*.parquet</w:t>
            </w:r>
          </w:p>
        </w:tc>
      </w:tr>
      <w:tr>
        <w:tc>
          <w:tcPr>
            <w:tcW w:type="dxa" w:w="5112"/>
            <w:vAlign w:val="top"/>
          </w:tcPr>
          <w:p>
            <w:r/>
            <w:r>
              <w:rPr>
                <w:b w:val="0"/>
              </w:rPr>
              <w:t>Unified model recommendation</w:t>
            </w:r>
          </w:p>
        </w:tc>
        <w:tc>
          <w:tcPr>
            <w:tcW w:type="dxa" w:w="5112"/>
            <w:vAlign w:val="top"/>
          </w:tcPr>
          <w:p>
            <w:r/>
            <w:r>
              <w:rPr>
                <w:b w:val="0"/>
              </w:rPr>
              <w:t>07A_unified_model_recommendation_*.csv</w:t>
            </w:r>
          </w:p>
        </w:tc>
      </w:tr>
      <w:tr>
        <w:tc>
          <w:tcPr>
            <w:tcW w:type="dxa" w:w="5112"/>
            <w:vAlign w:val="top"/>
          </w:tcPr>
          <w:p>
            <w:r/>
            <w:r>
              <w:rPr>
                <w:b w:val="0"/>
              </w:rPr>
              <w:t>Overall recommendation</w:t>
            </w:r>
          </w:p>
        </w:tc>
        <w:tc>
          <w:tcPr>
            <w:tcW w:type="dxa" w:w="5112"/>
            <w:vAlign w:val="top"/>
          </w:tcPr>
          <w:p>
            <w:r/>
            <w:r>
              <w:rPr>
                <w:b w:val="0"/>
              </w:rPr>
              <w:t>07A_overall_recommendation_*.csv</w:t>
            </w:r>
          </w:p>
        </w:tc>
      </w:tr>
      <w:tr>
        <w:tc>
          <w:tcPr>
            <w:tcW w:type="dxa" w:w="5112"/>
            <w:vAlign w:val="top"/>
          </w:tcPr>
          <w:p>
            <w:r/>
            <w:r>
              <w:rPr>
                <w:b w:val="0"/>
              </w:rPr>
              <w:t>7B chart manifest</w:t>
            </w:r>
          </w:p>
        </w:tc>
        <w:tc>
          <w:tcPr>
            <w:tcW w:type="dxa" w:w="5112"/>
            <w:vAlign w:val="top"/>
          </w:tcPr>
          <w:p>
            <w:r/>
            <w:r>
              <w:rPr>
                <w:b w:val="0"/>
              </w:rPr>
              <w:t>07B_chart_manifest_*.csv</w:t>
            </w:r>
          </w:p>
        </w:tc>
      </w:tr>
      <w:tr>
        <w:tc>
          <w:tcPr>
            <w:tcW w:type="dxa" w:w="5112"/>
            <w:vAlign w:val="top"/>
          </w:tcPr>
          <w:p>
            <w:r/>
            <w:r>
              <w:rPr>
                <w:b w:val="0"/>
              </w:rPr>
              <w:t>7C chart manifest</w:t>
            </w:r>
          </w:p>
        </w:tc>
        <w:tc>
          <w:tcPr>
            <w:tcW w:type="dxa" w:w="5112"/>
            <w:vAlign w:val="top"/>
          </w:tcPr>
          <w:p>
            <w:r/>
            <w:r>
              <w:rPr>
                <w:b w:val="0"/>
              </w:rPr>
              <w:t>07C_chart_manifest_*.csv</w:t>
            </w:r>
          </w:p>
        </w:tc>
      </w:tr>
      <w:tr>
        <w:tc>
          <w:tcPr>
            <w:tcW w:type="dxa" w:w="5112"/>
            <w:vAlign w:val="top"/>
          </w:tcPr>
          <w:p>
            <w:r/>
            <w:r>
              <w:rPr>
                <w:b w:val="0"/>
              </w:rPr>
              <w:t>Term-structure point panel</w:t>
            </w:r>
          </w:p>
        </w:tc>
        <w:tc>
          <w:tcPr>
            <w:tcW w:type="dxa" w:w="5112"/>
            <w:vAlign w:val="top"/>
          </w:tcPr>
          <w:p>
            <w:r/>
            <w:r>
              <w:rPr>
                <w:b w:val="0"/>
              </w:rPr>
              <w:t>07C_term_structure_point_panel_*.csv</w:t>
            </w:r>
          </w:p>
        </w:tc>
      </w:tr>
      <w:tr>
        <w:tc>
          <w:tcPr>
            <w:tcW w:type="dxa" w:w="5112"/>
            <w:vAlign w:val="top"/>
          </w:tcPr>
          <w:p>
            <w:r/>
            <w:r>
              <w:rPr>
                <w:b w:val="0"/>
              </w:rPr>
              <w:t>Chart PNGs</w:t>
            </w:r>
          </w:p>
        </w:tc>
        <w:tc>
          <w:tcPr>
            <w:tcW w:type="dxa" w:w="5112"/>
            <w:vAlign w:val="top"/>
          </w:tcPr>
          <w:p>
            <w:r/>
            <w:r>
              <w:rPr>
                <w:b w:val="0"/>
              </w:rPr>
              <w:t>data\audit\vrp_front_middle_corsi_forecast_repair_v1\charts\07B_*.png and 07C_*.png</w:t>
            </w:r>
          </w:p>
        </w:tc>
      </w:tr>
    </w:tbl>
    <w:p/>
    <w:p>
      <w:pPr>
        <w:pStyle w:val="Heading1"/>
      </w:pPr>
      <w:r>
        <w:t>Appendix B. Terminology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b/>
                <w:color w:val="FFFFFF"/>
              </w:rPr>
              <w:t>Term</w:t>
            </w:r>
          </w:p>
        </w:tc>
        <w:tc>
          <w:tcPr>
            <w:tcW w:type="dxa" w:w="5112"/>
            <w:vAlign w:val="top"/>
            <w:shd w:fill="1F4E79"/>
          </w:tcPr>
          <w:p>
            <w:r/>
            <w:r>
              <w:rPr>
                <w:b/>
                <w:color w:val="FFFFFF"/>
              </w:rPr>
              <w:t>Meaning</w:t>
            </w:r>
          </w:p>
        </w:tc>
      </w:tr>
      <w:tr>
        <w:tc>
          <w:tcPr>
            <w:tcW w:type="dxa" w:w="5112"/>
            <w:vAlign w:val="top"/>
          </w:tcPr>
          <w:p>
            <w:r/>
            <w:r>
              <w:rPr>
                <w:b w:val="0"/>
              </w:rPr>
              <w:t>Implied variance</w:t>
            </w:r>
          </w:p>
        </w:tc>
        <w:tc>
          <w:tcPr>
            <w:tcW w:type="dxa" w:w="5112"/>
            <w:vAlign w:val="top"/>
          </w:tcPr>
          <w:p>
            <w:r/>
            <w:r>
              <w:rPr>
                <w:b w:val="0"/>
              </w:rPr>
              <w:t>VIX-style variance level by tenor derived from the option/implied side of the project.</w:t>
            </w:r>
          </w:p>
        </w:tc>
      </w:tr>
      <w:tr>
        <w:tc>
          <w:tcPr>
            <w:tcW w:type="dxa" w:w="5112"/>
            <w:vAlign w:val="top"/>
          </w:tcPr>
          <w:p>
            <w:r/>
            <w:r>
              <w:rPr>
                <w:b w:val="0"/>
              </w:rPr>
              <w:t>Forecast variance</w:t>
            </w:r>
          </w:p>
        </w:tc>
        <w:tc>
          <w:tcPr>
            <w:tcW w:type="dxa" w:w="5112"/>
            <w:vAlign w:val="top"/>
          </w:tcPr>
          <w:p>
            <w:r/>
            <w:r>
              <w:rPr>
                <w:b w:val="0"/>
              </w:rPr>
              <w:t>Forward realized variance estimate from the locked unified denominator model.</w:t>
            </w:r>
          </w:p>
        </w:tc>
      </w:tr>
      <w:tr>
        <w:tc>
          <w:tcPr>
            <w:tcW w:type="dxa" w:w="5112"/>
            <w:vAlign w:val="top"/>
          </w:tcPr>
          <w:p>
            <w:r/>
            <w:r>
              <w:rPr>
                <w:b w:val="0"/>
              </w:rPr>
              <w:t>Target realized variance</w:t>
            </w:r>
          </w:p>
        </w:tc>
        <w:tc>
          <w:tcPr>
            <w:tcW w:type="dxa" w:w="5112"/>
            <w:vAlign w:val="top"/>
          </w:tcPr>
          <w:p>
            <w:r/>
            <w:r>
              <w:rPr>
                <w:b w:val="0"/>
              </w:rPr>
              <w:t>Observed forward realized variance used for model evaluation when complete.</w:t>
            </w:r>
          </w:p>
        </w:tc>
      </w:tr>
      <w:tr>
        <w:tc>
          <w:tcPr>
            <w:tcW w:type="dxa" w:w="5112"/>
            <w:vAlign w:val="top"/>
          </w:tcPr>
          <w:p>
            <w:r/>
            <w:r>
              <w:rPr>
                <w:b w:val="0"/>
              </w:rPr>
              <w:t>VRP log</w:t>
            </w:r>
          </w:p>
        </w:tc>
        <w:tc>
          <w:tcPr>
            <w:tcW w:type="dxa" w:w="5112"/>
            <w:vAlign w:val="top"/>
          </w:tcPr>
          <w:p>
            <w:r/>
            <w:r>
              <w:rPr>
                <w:b w:val="0"/>
              </w:rPr>
              <w:t>Log ratio of implied variance to forecast variance. Positive values mean implied is above forecast.</w:t>
            </w:r>
          </w:p>
        </w:tc>
      </w:tr>
      <w:tr>
        <w:tc>
          <w:tcPr>
            <w:tcW w:type="dxa" w:w="5112"/>
            <w:vAlign w:val="top"/>
          </w:tcPr>
          <w:p>
            <w:r/>
            <w:r>
              <w:rPr>
                <w:b w:val="0"/>
              </w:rPr>
              <w:t>Top-decile capture</w:t>
            </w:r>
          </w:p>
        </w:tc>
        <w:tc>
          <w:tcPr>
            <w:tcW w:type="dxa" w:w="5112"/>
            <w:vAlign w:val="top"/>
          </w:tcPr>
          <w:p>
            <w:r/>
            <w:r>
              <w:rPr>
                <w:b w:val="0"/>
              </w:rPr>
              <w:t>How often the forecast ranks in its top decile when realized variance is actually in its top decile.</w:t>
            </w:r>
          </w:p>
        </w:tc>
      </w:tr>
      <w:tr>
        <w:tc>
          <w:tcPr>
            <w:tcW w:type="dxa" w:w="5112"/>
            <w:vAlign w:val="top"/>
          </w:tcPr>
          <w:p>
            <w:r/>
            <w:r>
              <w:rPr>
                <w:b w:val="0"/>
              </w:rPr>
              <w:t>Completed-forward guard</w:t>
            </w:r>
          </w:p>
        </w:tc>
        <w:tc>
          <w:tcPr>
            <w:tcW w:type="dxa" w:w="5112"/>
            <w:vAlign w:val="top"/>
          </w:tcPr>
          <w:p>
            <w:r/>
            <w:r>
              <w:rPr>
                <w:b w:val="0"/>
              </w:rPr>
              <w:t>A plotting and evaluation guard that suppresses forward realized values until last_forward_rv_date is known to be &lt;= max available trade date.</w:t>
            </w:r>
          </w:p>
        </w:tc>
      </w:tr>
    </w:tbl>
    <w:p/>
    <w:p>
      <w:pPr>
        <w:jc w:val="center"/>
      </w:pPr>
      <w:r>
        <w:rPr>
          <w:i/>
          <w:sz w:val="18"/>
        </w:rPr>
        <w:t>End of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VRP Unified Forecast Denominator Model Documentation</dc:title>
  <dc:subject>unified_fds_no_min_return locked working model</dc:subject>
  <dc:creator>OpenAI ChatGPT</dc:creator>
  <cp:keywords/>
  <dc:description>Generated from the cleaned VRP model notebook and provided Cell 7A/7B outputs.</dc:description>
  <cp:lastModifiedBy/>
  <cp:revision>1</cp:revision>
  <dcterms:created xsi:type="dcterms:W3CDTF">2013-12-23T23:15:00Z</dcterms:created>
  <dcterms:modified xsi:type="dcterms:W3CDTF">2013-12-23T23:15:00Z</dcterms:modified>
  <cp:category/>
</cp:coreProperties>
</file>