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VRP Unified FDS Signal Stack and Sizing Documentation</w:t>
      </w:r>
    </w:p>
    <w:p>
      <w:pPr>
        <w:jc w:val="center"/>
      </w:pPr>
      <w:r>
        <w:rPr>
          <w:i/>
          <w:sz w:val="22"/>
        </w:rPr>
        <w:t>Final locked Core / Secondary one-trade-per-day naked-put sizing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6"/>
              </w:rPr>
              <w:t>Locked value / rule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Document updated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2026-07-06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Working model / denominator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unified_fds_no_min_return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Sizing research branch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vrp_core_secondary_tertiary_independent_sizing_research_v1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Final signal stack 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core_secondary_consistent_secondary_signal_stack_locked_v1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Final signal stack decision 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core_secondary_consistent_secondary_signal_stack_locked_001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Final sizing lock 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final_one_trade_per_day_naked_put_sizing_locked_v1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Final sizing lock decision 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final_one_trade_per_day_naked_put_sizing_locked_001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Program type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naked_short_put_tenor_selection_and_sizing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Program label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Final one-trade-per-day naked short put sizing program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Clean notebook deliverable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08_core_secondary_tertiary_sizing_research_v1_CLEANED.ipynb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document supersedes the earlier signal-stack-only documentation. The denominator remains unified_fds_no_min_return, but the sizing branch finalized a new Core / Secondary signal taxonomy and a locked one-trade-per-day naked short put sizing program.</w:t>
      </w:r>
    </w:p>
    <w:p>
      <w:pPr>
        <w:pStyle w:val="ListBullet"/>
      </w:pPr>
      <w:r>
        <w:t>Core Front and the old Tertiary Front layer are inactive in the final sizing branch.</w:t>
      </w:r>
    </w:p>
    <w:p>
      <w:pPr>
        <w:pStyle w:val="ListBullet"/>
      </w:pPr>
      <w:r>
        <w:t>Former Tertiary Front exposure was promoted into Secondary Front and kept smaller through the sizing table.</w:t>
      </w:r>
    </w:p>
    <w:p>
      <w:pPr>
        <w:pStyle w:val="ListBullet"/>
      </w:pPr>
      <w:r>
        <w:t>The final locked sizing program selects exactly one trade per day based primarily on the locked size table.</w:t>
      </w:r>
    </w:p>
    <w:p>
      <w:pPr>
        <w:pStyle w:val="ListBullet"/>
      </w:pPr>
      <w:r>
        <w:t>The current P&amp;L stream should be treated as short-put / naked-put candidate P&amp;L, not defined-spread P&amp;L.</w:t>
      </w:r>
    </w:p>
    <w:p>
      <w:pPr>
        <w:pStyle w:val="ListBullet"/>
      </w:pPr>
      <w:r>
        <w:t>No signal thresholds, denominator model, P&amp;L fields, or pricing logic are changed by the final cleanup notebook.</w:t>
      </w:r>
    </w:p>
    <w:p>
      <w:pPr>
        <w:pStyle w:val="Heading2"/>
      </w:pPr>
      <w:r>
        <w:t>1.1 Supersession note</w:t>
      </w:r>
    </w:p>
    <w:p>
      <w:r>
        <w:t>The prior document described core_secondary_tertiary_signal_stack_locked_v1 and core_secondary_tertiary_signal_stack_locked_001 as the final signal stack for sizing. That stack is now historical context only. The final sizing branch lock is core_secondary_consistent_secondary_signal_stack_locked_v1 / core_secondary_consistent_secondary_signal_stack_locked_001 for signal eligibility and final_one_trade_per_day_naked_put_sizing_locked_v1 / final_one_trade_per_day_naked_put_sizing_locked_001 for sizing and daily selection.</w:t>
      </w:r>
    </w:p>
    <w:p>
      <w:pPr>
        <w:pStyle w:val="Heading1"/>
      </w:pPr>
      <w:r>
        <w:t>2. Denominator and signal contract</w:t>
      </w:r>
    </w:p>
    <w:p>
      <w:r>
        <w:t>The denominator model contract remains unchanged from the earlier unified_fds_no_min_return documentation. The signal layer continues to use prior-only z-scores and rv21d_vol_pct as the volatility floor.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Contract item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6"/>
              </w:rPr>
              <w:t>Locked rule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Forecast variance denominator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forecast_variance_candidate from unified_fds_no_min_return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Forecast variance formula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forecast_variance_candidate = exp(predicted_log_variance_candidate)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VRP log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model_vrp_log = log(implied_variance / forecast_variance_candidate)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3m z-score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Prior-only rolling z-score of model_vrp_log using a 63-row window by tenor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1y z-score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Prior-only rolling z-score of model_vrp_log using a 252-row window by tenor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Signal volatility floor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rv21d_vol_pct &gt; threshold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Important correction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forecast_vol_pct is retained as a denominator/model diagnostic only; it is not the signal volatility-floor threshold variable.</w:t>
            </w:r>
          </w:p>
        </w:tc>
      </w:tr>
    </w:tbl>
    <w:p/>
    <w:p>
      <w:pPr>
        <w:pStyle w:val="Heading2"/>
      </w:pPr>
      <w:r>
        <w:t>2.1 Locked denominator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candidate_log_downside_rv_5d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Fast downside realized-variance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candidate_log_downside_rv_10d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Short downside realized-variance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candidate_log_downside_rv_21d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One-month downside realized-variance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candidate_log_downside_rv_63d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Three-month downside realized-variance state.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candidate_downside_share_5d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Share of recent variance attributable to downside moves over 5 days.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candidate_downside_share_10d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Share of recent variance attributable to downside moves over 10 days.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candidate_max_abs_return_3d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Recent three-day shock proxy.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candidate_max_abs_return_5d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Recent five-day shock proxy.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candidate_max_abs_return_10d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Recent ten-day shock proxy.</w:t>
            </w:r>
          </w:p>
        </w:tc>
      </w:tr>
    </w:tbl>
    <w:p/>
    <w:p>
      <w:r>
        <w:rPr>
          <w:i/>
          <w:sz w:val="18"/>
        </w:rPr>
        <w:t>Explicitly excluded from the denominator: candidate_min_return_3d, candidate_min_return_5d, candidate_min_return_10d. Forbidden feature classes remain implied volatility, VIX-style levels, VRP values, z-scores, RSI, actual DTE, P&amp;L/outcome fields, strikes/options fields, bucket labels, tenor labels, target/forward fields, and any leakage of future realized variance.</w:t>
      </w:r>
    </w:p>
    <w:p>
      <w:pPr>
        <w:pStyle w:val="Heading1"/>
      </w:pPr>
      <w:r>
        <w:t>3. Final Core / Secondary signal taxonomy</w:t>
      </w:r>
    </w:p>
    <w:p>
      <w:r>
        <w:t>The final sizing branch signal taxonomy uses active Core Middle/Back and active Secondary Front/Middle/Back. Tertiary is removed/inactive.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4"/>
              </w:rPr>
              <w:t>Bucket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4"/>
              </w:rPr>
              <w:t>Tenors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b/>
                <w:sz w:val="14"/>
              </w:rPr>
              <w:t>model_vrp_log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b/>
                <w:sz w:val="14"/>
              </w:rPr>
              <w:t>z 3m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b/>
                <w:sz w:val="14"/>
              </w:rPr>
              <w:t>z 1y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b/>
                <w:sz w:val="14"/>
              </w:rPr>
              <w:t>RSI14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4"/>
              </w:rPr>
              <w:t>rv21d_vol_pct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Middle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21, 24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&gt; 0.65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0.70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0.70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&lt; 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&gt; 8.5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Back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27, 30, 33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&gt; 0.70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0.70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0.70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&lt; 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&gt; 8.5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Secondary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Front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12, 15, 18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&gt; 0.65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0.20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0.20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&lt; 75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&gt; 7.0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Secondary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Middle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21, 24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&gt; 0.65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0.20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0.20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&lt; 76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&gt; 7.0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Secondary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Back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27, 30, 33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4"/>
              </w:rPr>
              <w:t>&gt; 0.65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0.00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&gt; 0.00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&lt; 77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&gt; 6.5</w:t>
            </w:r>
          </w:p>
        </w:tc>
      </w:tr>
    </w:tbl>
    <w:p/>
    <w:p>
      <w:pPr>
        <w:pStyle w:val="Heading2"/>
      </w:pPr>
      <w:r>
        <w:t>3.1 Inactive signal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Bucket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6"/>
              </w:rPr>
              <w:t>Tenors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12, 15, 18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Inactive in final sizing branch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Tertiary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12, 15, 18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Removed/inactive; former Tertiary Front promoted into Secondary Front taxonomy</w:t>
            </w:r>
          </w:p>
        </w:tc>
      </w:tr>
    </w:tbl>
    <w:p/>
    <w:p>
      <w:pPr>
        <w:pStyle w:val="Heading1"/>
      </w:pPr>
      <w:r>
        <w:t>4. Final one-trade-per-day sizing lock</w:t>
      </w:r>
    </w:p>
    <w:p>
      <w:r>
        <w:t>The final locked program is a one-trade-per-day naked short put tenor-selection and sizing program. Each qualifying sleeve receives its locked size. The selected trade for the date is the qualifying candidate with the highest locked 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Sleeve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Bucket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6"/>
              </w:rPr>
              <w:t>DTE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6"/>
              </w:rPr>
              <w:t>Locked size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Core_Middle_21D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Middle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3.50%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Core_Middle_24D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Middle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4.25%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Core_Back_27D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4.50%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Core_Back_30D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4.75%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Core_Back_33D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5.00%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Secondary_Front_12D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1.50%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Secondary_Front_15D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2.00%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Secondary_Front_18D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2.75%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Secondary_Middle_21D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Middle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3.50%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Secondary_Middle_24D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Middle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3.75%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Secondary_Back_27D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4.00%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Secondary_Back_30D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4.25%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Secondary_Back_33D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Back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6"/>
              </w:rPr>
              <w:t>4.50%</w:t>
            </w:r>
          </w:p>
        </w:tc>
      </w:tr>
    </w:tbl>
    <w:p/>
    <w:p>
      <w:pPr>
        <w:pStyle w:val="Heading2"/>
      </w:pPr>
      <w:r>
        <w:t>4.1 Locked daily selection rule</w:t>
      </w:r>
    </w:p>
    <w:p>
      <w:pPr>
        <w:pStyle w:val="ListBullet"/>
      </w:pPr>
      <w:r>
        <w:t>Evaluate all qualifying final Core / Secondary sleeve candidates.</w:t>
      </w:r>
    </w:p>
    <w:p>
      <w:pPr>
        <w:pStyle w:val="ListBullet"/>
      </w:pPr>
      <w:r>
        <w:t>Attach the locked size for each sleeve.</w:t>
      </w:r>
    </w:p>
    <w:p>
      <w:pPr>
        <w:pStyle w:val="ListBullet"/>
      </w:pPr>
      <w:r>
        <w:t>Select the candidate with the highest locked size.</w:t>
      </w:r>
    </w:p>
    <w:p>
      <w:pPr>
        <w:pStyle w:val="ListBullet"/>
      </w:pPr>
      <w:r>
        <w:t>If same locked size, Core beats Secondary.</w:t>
      </w:r>
    </w:p>
    <w:p>
      <w:pPr>
        <w:pStyle w:val="ListBullet"/>
      </w:pPr>
      <w:r>
        <w:t>If still tied, higher sizing quality score wins.</w:t>
      </w:r>
    </w:p>
    <w:p>
      <w:pPr>
        <w:pStyle w:val="ListBullet"/>
      </w:pPr>
      <w:r>
        <w:t>If still tied, higher sleeve win rate wins.</w:t>
      </w:r>
    </w:p>
    <w:p>
      <w:pPr>
        <w:pStyle w:val="ListBullet"/>
      </w:pPr>
      <w:r>
        <w:t>If still tied, lower 1% expected loss wins.</w:t>
      </w:r>
    </w:p>
    <w:p>
      <w:pPr>
        <w:pStyle w:val="ListBullet"/>
      </w:pPr>
      <w:r>
        <w:t>If still tied, longer DTE wins.</w:t>
      </w:r>
    </w:p>
    <w:p>
      <w:pPr>
        <w:pStyle w:val="Heading1"/>
      </w:pPr>
      <w:r>
        <w:t>5. Locked program performance summary</w:t>
      </w:r>
    </w:p>
    <w:p>
      <w:r>
        <w:t>The primary locked reporting view uses size-weighted P&amp;L on a static $1,000,000 account with no growth or decline of account value. The historical P&amp;L stream is inherited from the upstream short-put candidate outcome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Selected 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365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Selected unique dates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365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Base signal dates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1,632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Signal frequency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22.3652%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Win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85.4795%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Total size-weighted P&amp;L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$3.882mm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Avg size-weighted P&amp;L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$349.77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Median size-weighted P&amp;L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$447.68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Profit factor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3.8741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5% expected loss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$1,570.68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1% expected loss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$2,807.13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Worst trade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-$3,141.54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Worst 20-trade sum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-$12,418.92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Drawdown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-$16,975.12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2026 avg / 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$339.92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Cell 16 cumulative size-weighted P&amp;L on static $1mm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$3.882mm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Cell 16 cumulative return on static $1mm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388.23%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Cell 16 worst cumulative drawdown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-$548,437</w:t>
            </w:r>
          </w:p>
        </w:tc>
      </w:tr>
    </w:tbl>
    <w:p/>
    <w:p>
      <w:pPr>
        <w:pStyle w:val="Heading2"/>
      </w:pPr>
      <w:r>
        <w:t>5.1 DTE-level selected-trade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4"/>
              </w:rPr>
              <w:t>Sleeve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b/>
                <w:sz w:val="14"/>
              </w:rPr>
              <w:t>Trades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4"/>
              </w:rPr>
              <w:t>Freq vs base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4"/>
              </w:rPr>
              <w:t>Share selected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4"/>
              </w:rPr>
              <w:t>Win rate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4"/>
              </w:rPr>
              <w:t>Avg sw P&amp;L/day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4"/>
              </w:rPr>
              <w:t>Total sw P&amp;L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Core Mid 21D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0.06%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0.27%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$517.63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$10,870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Core Mid 24D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0.37%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1.64%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$449.16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$64,680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Core Back 27D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0.25%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1.10%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$-430.82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$-46,528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Core Back 30D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0.12%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0.55%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$595.69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$35,742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Core Back 33D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8.33%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37.26%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92.65%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$610.81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$2,741,309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Front 12D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3.43%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15.34%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82.14%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$144.69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$97,234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Front 15D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0.80%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3.56%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61.54%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$121.50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$23,692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Front 18D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0.86%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3.84%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92.86%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$356.97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$89,957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Mid 21D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0.31%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1.37%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$358.35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$37,627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Mid 24D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0.18%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0.82%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100.00%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$282.38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$20,331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Back 27D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0.43%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1.92%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71.43%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$84.48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$15,966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Back 30D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0.37%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1.64%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66.67%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$42.75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$7,695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Sec Back 33D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6.86%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30.68%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81.25%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$212.05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$783,732</w:t>
            </w:r>
          </w:p>
        </w:tc>
      </w:tr>
    </w:tbl>
    <w:p/>
    <w:p>
      <w:pPr>
        <w:pStyle w:val="Heading1"/>
      </w:pPr>
      <w:r>
        <w:t>6. Pricing-basis interpretation</w:t>
      </w:r>
    </w:p>
    <w:p>
      <w:r>
        <w:t>Cell 14S audited entry_credit_points. The automated classifier used a conservative label because it detected an entry_spread column, but the underlying evidence indicates that entry_spread is bid/ask spread rather than a vertical-spread credit. The upstream source exposed short-strike and short-option P&amp;L columns and did not expose long-leg columns. The final Cell 15S lock therefore labels the program as naked short put / short put candidate sizing, not defined-spread sizing.</w:t>
      </w:r>
    </w:p>
    <w:p>
      <w:pPr>
        <w:pStyle w:val="ListBullet"/>
      </w:pPr>
      <w:r>
        <w:t>Treat entry_credit_points as short-put entry credit points for this branch until a deeper quote-construction audit says otherwise.</w:t>
      </w:r>
    </w:p>
    <w:p>
      <w:pPr>
        <w:pStyle w:val="ListBullet"/>
      </w:pPr>
      <w:r>
        <w:t>Do not describe this branch as a defined put-spread backtest.</w:t>
      </w:r>
    </w:p>
    <w:p>
      <w:pPr>
        <w:pStyle w:val="ListBullet"/>
      </w:pPr>
      <w:r>
        <w:t>Future spread-specific research must create or join a source with explicit short-leg and long-leg quotes, net credit, width, and spread payoff fields.</w:t>
      </w:r>
    </w:p>
    <w:p>
      <w:pPr>
        <w:pStyle w:val="Heading1"/>
      </w:pPr>
      <w:r>
        <w:t>7. Clean notebook deliverable</w:t>
      </w:r>
    </w:p>
    <w:p>
      <w:r>
        <w:t>The cleaned notebook delivered with this document is: 08_core_secondary_tertiary_sizing_research_v1_CLEANED.ipynb</w:t>
      </w:r>
    </w:p>
    <w:p>
      <w:pPr>
        <w:pStyle w:val="ListBullet"/>
      </w:pPr>
      <w:r>
        <w:t>All execution outputs and execution counts were cleared.</w:t>
      </w:r>
    </w:p>
    <w:p>
      <w:pPr>
        <w:pStyle w:val="ListBullet"/>
      </w:pPr>
      <w:r>
        <w:t>The empty trailing cell was removed.</w:t>
      </w:r>
    </w:p>
    <w:p>
      <w:pPr>
        <w:pStyle w:val="ListBullet"/>
      </w:pPr>
      <w:r>
        <w:t>A top-level markdown overview was added.</w:t>
      </w:r>
    </w:p>
    <w:p>
      <w:pPr>
        <w:pStyle w:val="ListBullet"/>
      </w:pPr>
      <w:r>
        <w:t>Research, lock, and reporting cells were preserved through Cell 16S.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6"/>
              </w:rPr>
              <w:t>Cell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Setup independent sizing branch directories and environment.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Load source locked signal stack and repaired base panel.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3S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Build independent eligible trade panel across active layer x tenor rules.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4S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Generate sleeve-level performance and tail diagnostics.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5S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Create initial sizing scorecard, capped at 5%.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6S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Apply tail-budget independent sizing framework.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7S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Review Front taxonomy architecture: old stack, no-front, revised Secondary Front.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8S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Lock revised Front taxonomy signal stack: Core Middle/Back, Secondary Front/Middle/Back, no Tertiary.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9S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Lock Secondary consistency fix: Secondary Middle log and z-score thresholds aligned with final taxonomy.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10S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Build final independent Core/Secondary sizing opportunity panel.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11S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Compute final sleeve performance and tail diagnostics.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12S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Generate final tail-budget sizing scorecard.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13S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Run one-trade-per-day program using final recommended sizes.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14S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Audit entry_credit_points pricing basis and confirm branch should be treated as naked short put / short put candidate P&amp;L.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15S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Lock final one-trade-per-day naked-put sizing program.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16S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6"/>
              </w:rPr>
              <w:t>Report locked DTE performance and cumulative P&amp;L chart.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Primary locked artifact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Artifact type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6"/>
              </w:rPr>
              <w:t>File pattern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Sizing lock rules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15S_final_one_trade_per_day_naked_put_sizing_lock_rules_*.parquet / .csv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Sizing selection rule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15S_final_one_trade_per_day_naked_put_selection_rule_*.json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Sizing lock validation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15S_final_one_trade_per_day_naked_put_sizing_lock_validation_*.csv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Sizing lock manifest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15S_final_one_trade_per_day_naked_put_sizing_lock_manifest_*.json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Locked program summary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15S_final_one_trade_per_day_naked_put_program_summary_*.parquet / .csv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DTE performance table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16S_locked_dte_performance_table_*.parquet / .csv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Cumulative P&amp;L time series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16S_locked_cumulative_pnl_timeseries_*.parquet / .csv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Cumulative P&amp;L chart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charts/16S_locked_one_trade_per_day_cumulative_size_weighted_pnl_*.png</w:t>
            </w:r>
          </w:p>
        </w:tc>
      </w:tr>
    </w:tbl>
    <w:p/>
    <w:p>
      <w:pPr>
        <w:pStyle w:val="Heading1"/>
      </w:pPr>
      <w:r>
        <w:t>9. Do-not-change contract</w:t>
      </w:r>
    </w:p>
    <w:p>
      <w:pPr>
        <w:pStyle w:val="ListBullet"/>
      </w:pPr>
      <w:r>
        <w:t>Do not change the unified_fds_no_min_return denominator model, feature set, z-score construction, or rv21d_vol_pct threshold contract inside sizing or reporting cells.</w:t>
      </w:r>
    </w:p>
    <w:p>
      <w:pPr>
        <w:pStyle w:val="ListBullet"/>
      </w:pPr>
      <w:r>
        <w:t>Do not retune signal thresholds inside sizing cells.</w:t>
      </w:r>
    </w:p>
    <w:p>
      <w:pPr>
        <w:pStyle w:val="ListBullet"/>
      </w:pPr>
      <w:r>
        <w:t>Do not reactivate Core Front or Tertiary Front without a separately approved threshold-research scope.</w:t>
      </w:r>
    </w:p>
    <w:p>
      <w:pPr>
        <w:pStyle w:val="ListBullet"/>
      </w:pPr>
      <w:r>
        <w:t>Do not describe current P&amp;L as defined-spread P&amp;L unless a separate spread-pricing/outcome source is built and validated.</w:t>
      </w:r>
    </w:p>
    <w:p>
      <w:pPr>
        <w:pStyle w:val="ListBullet"/>
      </w:pPr>
      <w:r>
        <w:t>Do not change the locked sizing table unless a new sizing-research scope is approved.</w:t>
      </w:r>
    </w:p>
    <w:p>
      <w:pPr>
        <w:pStyle w:val="ListBullet"/>
      </w:pPr>
      <w:r>
        <w:t>Production/intraday implementation should consume the locked signal and sizing artifacts rather than recreating research logic ad hoc.</w:t>
      </w:r>
    </w:p>
    <w:p>
      <w:pPr>
        <w:pStyle w:val="Heading1"/>
      </w:pPr>
      <w:r>
        <w:t>10. Next phase</w:t>
      </w:r>
    </w:p>
    <w:p>
      <w:r>
        <w:t>The next natural phase is production/intraday implementation and portfolio-level risk management: rolling exposure caps, stress-node limits, dashboard views, and any separate spread-specific extension if the trade implementation is changed from naked short put to defined spread.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VRP signal stack and sizing documentation - final update 2026-07-06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