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VRP Unified FDS Signal Stack Documentation</w:t>
      </w:r>
    </w:p>
    <w:p>
      <w:pPr>
        <w:jc w:val="center"/>
      </w:pPr>
      <w:r>
        <w:rPr>
          <w:i/>
          <w:sz w:val="20"/>
        </w:rPr>
        <w:t>Locked signal stack after Core, Secondary, and Tertiary Front research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Item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Locked value / rule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 updated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2026-07-05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Working model / denominator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unified_fds_no_min_return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Research branch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vrp_unified_fds_core_signal_threshold_research_v1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Final signal stack version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core_secondary_tertiary_signal_stack_locked_v1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Final signal stack decision ID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core_secondary_tertiary_signal_stack_locked_001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Final notebook deliverable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07_unified_fds_core_signal_threshold_research_v1_RV21D_repaired_v2_CLEANED.ipynb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Next phase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Sizing, portfolio exposure, and risk-cap testing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document updates the earlier denominator-focused documentation to include the final locked signal stack used for the next sizing phase. The denominator remains unified_fds_no_min_return. The signal logic now locks a three-layer stack: Core first, Secondary second, and Tertiary Front third.</w:t>
      </w:r>
    </w:p>
    <w:p>
      <w:pPr>
        <w:pStyle w:val="ListBullet"/>
        <w:spacing w:after="0"/>
      </w:pPr>
      <w:r>
        <w:t>Core remains the primary/highest-quality layer.</w:t>
      </w:r>
    </w:p>
    <w:p>
      <w:pPr>
        <w:pStyle w:val="ListBullet"/>
        <w:spacing w:after="0"/>
      </w:pPr>
      <w:r>
        <w:t>Secondary adds Middle and Back frequency only when Core does not fire; Secondary Front remains excluded.</w:t>
      </w:r>
    </w:p>
    <w:p>
      <w:pPr>
        <w:pStyle w:val="ListBullet"/>
        <w:spacing w:after="0"/>
      </w:pPr>
      <w:r>
        <w:t>Tertiary Front adds a cleaner-quality Front-only layer only when both Core and Secondary do not fire.</w:t>
      </w:r>
    </w:p>
    <w:p>
      <w:pPr>
        <w:pStyle w:val="ListBullet"/>
        <w:spacing w:after="0"/>
      </w:pPr>
      <w:r>
        <w:t>The final stack is locked for sizing. Sizing work should not retune thresholds unless a separate threshold-research scope is approved.</w:t>
      </w:r>
    </w:p>
    <w:p>
      <w:pPr>
        <w:pStyle w:val="Heading1"/>
      </w:pPr>
      <w:r>
        <w:t>2. Denominator and signal contract</w:t>
      </w:r>
    </w:p>
    <w:p>
      <w:r>
        <w:t>The denominator model contract from the prior documentation remains in force. The working model is unified_fds_no_min_return, using a StandardScaler + Ridge regression framework fit separately by tenor with the same feature specification across tenors.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Contract item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Locked rule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Forecast variance denominator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forecast_variance_candidate from unified_fds_no_min_return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Forecast variance formula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forecast_variance_candidate = exp(predicted_log_variance_candidate)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VRP log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model_vrp_log = log(implied_variance / forecast_variance_candidate)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3m z-score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Prior-only rolling z-score of model_vrp_log using a 63-row window by tenor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1y z-score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Prior-only rolling z-score of model_vrp_log using a 252-row window by tenor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Signal volatility floor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rv21d_vol_pct &gt; threshold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Important correction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forecast_vol_pct is retained as a denominator/model diagnostic only; it is not the signal volatility-floor threshold variable.</w:t>
            </w:r>
          </w:p>
        </w:tc>
      </w:tr>
    </w:tbl>
    <w:p/>
    <w:p>
      <w:pPr>
        <w:pStyle w:val="Heading2"/>
      </w:pPr>
      <w:r>
        <w:t>2.1 Locked denominator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Feature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Interpretation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candidate_log_downside_rv_5d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Fast downside realized-variance state.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candidate_log_downside_rv_10d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Short downside realized-variance state.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candidate_log_downside_rv_21d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One-month downside realized-variance state.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candidate_log_downside_rv_63d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Three-month downside realized-variance state.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candidate_downside_share_5d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Share of recent variance attributable to downside moves over 5 days.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candidate_downside_share_10d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Share of recent variance attributable to downside moves over 10 days.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candidate_max_abs_return_3d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Recent three-day shock proxy.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candidate_max_abs_return_5d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Recent five-day shock proxy.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candidate_max_abs_return_10d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Recent ten-day shock proxy.</w:t>
            </w:r>
          </w:p>
        </w:tc>
      </w:tr>
    </w:tbl>
    <w:p/>
    <w:p>
      <w:r>
        <w:t>Explicitly excluded from the denominator: candidate_min_return_3d, candidate_min_return_5d, and candidate_min_return_10d. Also forbidden as denominator features: implied volatility, VIX-style levels, VRP values, z-scores, RSI, actual DTE, P&amp;L/outcome fields, strikes/options fields, bucket labels, tenor labels, target/forward fields, or any field that leaks future realized variance.</w:t>
      </w:r>
    </w:p>
    <w:p>
      <w:pPr>
        <w:pStyle w:val="Heading1"/>
      </w:pPr>
      <w:r>
        <w:t>3. Final locked selection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Layer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Priority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Scope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Gate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Core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 / Middle / Back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Evaluated first on every eligible date.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Middle / Back only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Evaluated only when no Core trade qualifies.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 Front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 only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Evaluated only when no Core and no Secondary trade qualifies.</w:t>
            </w:r>
          </w:p>
        </w:tc>
      </w:tr>
    </w:tbl>
    <w:p/>
    <w:p>
      <w:r>
        <w:t>Final selection rule:</w:t>
      </w:r>
    </w:p>
    <w:p>
      <w:pPr>
        <w:pStyle w:val="ListNumber"/>
        <w:spacing w:after="0"/>
      </w:pPr>
      <w:r>
        <w:t>Evaluate locked Core first.</w:t>
      </w:r>
    </w:p>
    <w:p>
      <w:pPr>
        <w:pStyle w:val="ListNumber"/>
        <w:spacing w:after="0"/>
      </w:pPr>
      <w:r>
        <w:t>If any locked Core tenor qualifies, select Core and ignore Secondary and Tertiary.</w:t>
      </w:r>
    </w:p>
    <w:p>
      <w:pPr>
        <w:pStyle w:val="ListNumber"/>
        <w:spacing w:after="0"/>
      </w:pPr>
      <w:r>
        <w:t>If no Core tenor qualifies, evaluate locked Secondary Middle and Back.</w:t>
      </w:r>
    </w:p>
    <w:p>
      <w:pPr>
        <w:pStyle w:val="ListNumber"/>
        <w:spacing w:after="0"/>
      </w:pPr>
      <w:r>
        <w:t>If any locked Secondary tenor qualifies, select Secondary and ignore Tertiary.</w:t>
      </w:r>
    </w:p>
    <w:p>
      <w:pPr>
        <w:pStyle w:val="ListNumber"/>
        <w:spacing w:after="0"/>
      </w:pPr>
      <w:r>
        <w:t>If no Core and no Secondary qualifies, evaluate Tertiary Front only.</w:t>
      </w:r>
    </w:p>
    <w:p>
      <w:pPr>
        <w:pStyle w:val="ListNumber"/>
        <w:spacing w:after="0"/>
      </w:pPr>
      <w:r>
        <w:t>If multiple Tertiary Front tenors qualify, select by BEST_SIGNAL_RANK.</w:t>
      </w:r>
    </w:p>
    <w:p>
      <w:pPr>
        <w:pStyle w:val="Heading1"/>
      </w:pPr>
      <w:r>
        <w:t>4. Locked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Layer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Bucket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Tenors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model_vrp_log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z 3m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z 1y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RSI14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rv21d_vol_pct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12, 15, 18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0.60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0.65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0.65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&lt; 70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8.5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Middle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21, 24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0.65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0.70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0.70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&lt; 70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8.5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27, 30, 33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0.70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0.70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0.70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&lt; 70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8.5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12, 15, 18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Excluded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Excluded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Excluded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Excluded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Excluded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Middle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21, 24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0.60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0.60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0.60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&lt; 76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7.0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27, 30, 33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0.65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0.00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0.00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&lt; 77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6.5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12, 15, 18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0.65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0.20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0.20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&lt; 75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&gt; 7.0</w:t>
            </w:r>
          </w:p>
        </w:tc>
      </w:tr>
    </w:tbl>
    <w:p/>
    <w:p>
      <w:pPr>
        <w:pStyle w:val="Heading1"/>
      </w:pPr>
      <w:r>
        <w:t>5. Lock evidence and decision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Cell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Decision / result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Status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11R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Locked repaired Core bucket map and parameters.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Confirmed higher-frequency Secondary candidate: secondary_confirm_pair_0028__BEST_SIGNAL_RANK.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21R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Wrote higher-frequency Secondary lock artifacts.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22R-FIX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Repaired Tertiary Front combined comparison; 35 hard-screen candidates found.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PASS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Wrote final Core + Secondary + Tertiary Front lock artifacts.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5.1 Secondary lock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Metric</w:t>
            </w:r>
          </w:p>
        </w:tc>
        <w:tc>
          <w:tcPr>
            <w:tcW w:type="dxa" w:w="67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Value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 lock version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secondary_frequency_unlock_locked_v1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 lock decision ID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secondary_frequency_unlock_locked_001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 candidate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secondary_confirm_pair_0028__BEST_SIGNAL_RANK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 trades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97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 win rate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80.41%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trade dates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317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frequency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19.42%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win rate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84.23%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avg/day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$392.32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2026 avg/day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$105.48</w:t>
            </w:r>
          </w:p>
        </w:tc>
      </w:tr>
    </w:tbl>
    <w:p/>
    <w:p>
      <w:pPr>
        <w:pStyle w:val="Heading2"/>
      </w:pPr>
      <w:r>
        <w:t>5.2 Tertiary Front lock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88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Metric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Value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 lock version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tertiary_front_cleaner_quality_locked_v1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 lock decision ID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tertiary_front_cleaner_quality_locked_001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 candidate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tertiary_front_LOG065_Z020_RSI75_RV70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 trades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60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 win rate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78.33%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 avg/day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$434.02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trade dates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377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frequency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23.10%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win rate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83.29%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avg/day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$398.96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Combined 2026 avg/day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$103.52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Drawdown/day deterioration vs Core+Secondary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$0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Worst-20/day deterioration vs Core+Secondary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$0</w:t>
            </w:r>
          </w:p>
        </w:tc>
      </w:tr>
    </w:tbl>
    <w:p/>
    <w:p>
      <w:pPr>
        <w:pStyle w:val="Heading2"/>
      </w:pPr>
      <w:r>
        <w:t>5.3 Final Cell 23R validation checks</w:t>
      </w:r>
    </w:p>
    <w:p>
      <w:pPr>
        <w:pStyle w:val="ListBullet"/>
        <w:spacing w:after="0"/>
      </w:pPr>
      <w:r>
        <w:t>Core rows = 8; Secondary rows = 8; Tertiary rows = 3; full stack rows = 19.</w:t>
      </w:r>
    </w:p>
    <w:p>
      <w:pPr>
        <w:pStyle w:val="ListBullet"/>
        <w:spacing w:after="0"/>
      </w:pPr>
      <w:r>
        <w:t>Expected active rules matched exactly with no missing or unexpected active rules.</w:t>
      </w:r>
    </w:p>
    <w:p>
      <w:pPr>
        <w:pStyle w:val="ListBullet"/>
        <w:spacing w:after="0"/>
      </w:pPr>
      <w:r>
        <w:t>Tertiary layer is Front-only and active on tenors 12D, 15D, and 18D.</w:t>
      </w:r>
    </w:p>
    <w:p>
      <w:pPr>
        <w:pStyle w:val="ListBullet"/>
        <w:spacing w:after="0"/>
      </w:pPr>
      <w:r>
        <w:t>No duplicate layer/tenor rows.</w:t>
      </w:r>
    </w:p>
    <w:p>
      <w:pPr>
        <w:pStyle w:val="ListBullet"/>
        <w:spacing w:after="0"/>
      </w:pPr>
      <w:r>
        <w:t>Core and Secondary signal rules unchanged from the already locked source stack.</w:t>
      </w:r>
    </w:p>
    <w:p>
      <w:pPr>
        <w:pStyle w:val="ListBullet"/>
        <w:spacing w:after="0"/>
      </w:pPr>
      <w:r>
        <w:t>Cell 22R-FIX source candidate cross-check passed.</w:t>
      </w:r>
    </w:p>
    <w:p>
      <w:pPr>
        <w:pStyle w:val="ListBullet"/>
        <w:spacing w:after="0"/>
      </w:pPr>
      <w:r>
        <w:t>No parameter optimization, sizing change, production implementation, or intraday implementation was performed.</w:t>
      </w:r>
    </w:p>
    <w:p>
      <w:pPr>
        <w:pStyle w:val="Heading1"/>
      </w:pPr>
      <w:r>
        <w:t>6. Clean notebook deliverable</w:t>
      </w:r>
    </w:p>
    <w:p>
      <w:r>
        <w:t>The cleaned notebook delivered with this document is:</w:t>
      </w:r>
    </w:p>
    <w:p>
      <w:pPr>
        <w:spacing w:after="60"/>
        <w:ind w:left="216"/>
      </w:pPr>
      <w:r>
        <w:rPr>
          <w:rFonts w:ascii="Courier New" w:hAnsi="Courier New" w:eastAsia="Courier New"/>
          <w:sz w:val="16"/>
        </w:rPr>
        <w:t>07_unified_fds_core_signal_threshold_research_v1_RV21D_repaired_v2_CLEANED.ipynb</w:t>
      </w:r>
    </w:p>
    <w:p>
      <w:pPr>
        <w:pStyle w:val="ListBullet"/>
        <w:spacing w:after="0"/>
      </w:pPr>
      <w:r>
        <w:t>All execution outputs and execution counts were cleared.</w:t>
      </w:r>
    </w:p>
    <w:p>
      <w:pPr>
        <w:pStyle w:val="ListBullet"/>
        <w:spacing w:after="0"/>
      </w:pPr>
      <w:r>
        <w:t>The empty trailing cell was removed.</w:t>
      </w:r>
    </w:p>
    <w:p>
      <w:pPr>
        <w:pStyle w:val="ListBullet"/>
        <w:spacing w:after="0"/>
      </w:pPr>
      <w:r>
        <w:t>The top markdown overview was updated to reflect the final locked stack.</w:t>
      </w:r>
    </w:p>
    <w:p>
      <w:pPr>
        <w:pStyle w:val="ListBullet"/>
        <w:spacing w:after="0"/>
      </w:pPr>
      <w:r>
        <w:t>A note was added that Cell 22R-FIX is the canonical repaired combined comparison for Tertiary Front decisions.</w:t>
      </w:r>
    </w:p>
    <w:p>
      <w:pPr>
        <w:pStyle w:val="ListBullet"/>
        <w:spacing w:after="0"/>
      </w:pPr>
      <w:r>
        <w:t>Research and lock cells were preserved through Cell 23R.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Cell</w:t>
            </w:r>
          </w:p>
        </w:tc>
        <w:tc>
          <w:tcPr>
            <w:tcW w:type="dxa" w:w="8064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Role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Setup and corrected RV21D threshold contract.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1R2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Discover and join RV21D source by trade date.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Build repaired signal base panel with rv21d_vol_pct.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Validate repaired signal base panel.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4R-11R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Core diagnostics, repair, candidate sweeps, reassignment tests, and final Core lock.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12R-16R-LITE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 Back/Middle/Front research and finalist grid.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19R-21R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Secondary frequency unlock, confirmation, and lock artifacts.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22R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 Front candidate grid and selected-panel source.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22R-FIX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Canonical repaired Tertiary Front combined comparison.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Final Core + Secondary + Tertiary Front lock artifacts.</w:t>
            </w:r>
          </w:p>
        </w:tc>
      </w:tr>
    </w:tbl>
    <w:p/>
    <w:p>
      <w:pPr>
        <w:pStyle w:val="Heading1"/>
      </w:pPr>
      <w:r>
        <w:t>7. Primary locked artifact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Artifact type</w:t>
            </w:r>
          </w:p>
        </w:tc>
        <w:tc>
          <w:tcPr>
            <w:tcW w:type="dxa" w:w="676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File pattern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Final stack rules long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23R_core_secondary_tertiary_locked_rules_long_*.parquet / .csv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Final stack rules wide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23R_core_secondary_tertiary_locked_rules_wide_*.parquet / .csv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 Front rules long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23R_tertiary_front_cleaner_quality_locked_rules_long_*.parquet / .csv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Tertiary Front rules wide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23R_tertiary_front_cleaner_quality_locked_rules_wide_*.parquet / .csv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Final lock decision summary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23R_core_secondary_tertiary_lock_decision_summary_*.csv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Final lock validation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23R_core_secondary_tertiary_lock_validation_*.csv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Final lock manifest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23R_core_secondary_tertiary_lock_manifest_*.json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Repaired Tertiary comparison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22R_FIX_tertiary_front_candidate_comparison_*.parquet / .csv</w:t>
            </w:r>
          </w:p>
        </w:tc>
      </w:tr>
    </w:tbl>
    <w:p/>
    <w:p>
      <w:pPr>
        <w:pStyle w:val="Heading1"/>
      </w:pPr>
      <w:r>
        <w:t>8. Do-not-change contract for sizing phase</w:t>
      </w:r>
    </w:p>
    <w:p>
      <w:pPr>
        <w:pStyle w:val="ListBullet"/>
        <w:spacing w:after="0"/>
      </w:pPr>
      <w:r>
        <w:t>Do not change Core, Secondary, or Tertiary signal thresholds during sizing work.</w:t>
      </w:r>
    </w:p>
    <w:p>
      <w:pPr>
        <w:pStyle w:val="ListBullet"/>
        <w:spacing w:after="0"/>
      </w:pPr>
      <w:r>
        <w:t>Do not re-include Secondary Front; Front exposure is handled only through the locked Tertiary Front layer.</w:t>
      </w:r>
    </w:p>
    <w:p>
      <w:pPr>
        <w:pStyle w:val="ListBullet"/>
        <w:spacing w:after="0"/>
      </w:pPr>
      <w:r>
        <w:t>Do not tune signal thresholds inside sizing cells.</w:t>
      </w:r>
    </w:p>
    <w:p>
      <w:pPr>
        <w:pStyle w:val="ListBullet"/>
        <w:spacing w:after="0"/>
      </w:pPr>
      <w:r>
        <w:t>Do not change the denominator model, features, z-score construction, or RV21D contract.</w:t>
      </w:r>
    </w:p>
    <w:p>
      <w:pPr>
        <w:pStyle w:val="ListBullet"/>
        <w:spacing w:after="0"/>
      </w:pPr>
      <w:r>
        <w:t>Sizing should use the final Cell 23R stack artifacts as the signal input.</w:t>
      </w:r>
    </w:p>
    <w:p>
      <w:pPr>
        <w:pStyle w:val="ListBullet"/>
        <w:spacing w:after="0"/>
      </w:pPr>
      <w:r>
        <w:t>Sizing work may define per-trade risk, tier multipliers, overlapping-trade exposure, rolling caps, stress tests, and portfolio risk limits.</w:t>
      </w:r>
    </w:p>
    <w:p>
      <w:pPr>
        <w:pStyle w:val="ListBullet"/>
        <w:spacing w:after="0"/>
      </w:pPr>
      <w:r>
        <w:t>Any future signal-threshold changes require a separately approved research scope before code is written.</w:t>
      </w:r>
    </w:p>
    <w:p>
      <w:pPr>
        <w:pStyle w:val="Heading1"/>
      </w:pPr>
      <w:r>
        <w:t>9. Next phase: sizing framework placeholder</w:t>
      </w:r>
    </w:p>
    <w:p>
      <w:r>
        <w:t>The next phase should begin only after the user sets the direction for sizing. The likely design space includes tier-level sizing for Core, Secondary, and Tertiary; tenor-bucket sizing within each tier; overlap-aware portfolio exposure; stress-node risk caps; and final production-friendly signal outputs. This section is intentionally a placeholder and does not prescribe sizing methodology.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VRP unified FDS signal stack documentation - updated 2026-07-05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