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VRP Unified FDS Signal Stack and Sizing Documentation</w:t>
      </w:r>
    </w:p>
    <w:p>
      <w:pPr>
        <w:jc w:val="center"/>
      </w:pPr>
      <w:r>
        <w:rPr>
          <w:i/>
          <w:sz w:val="22"/>
        </w:rPr>
        <w:t>Final locked Core / Secondary one-trade-per-day naked-put sizing program</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D9EAF7"/>
          </w:tcPr>
          <w:p>
            <w:r/>
            <w:r>
              <w:rPr>
                <w:b/>
                <w:sz w:val="16"/>
              </w:rPr>
              <w:t>Item</w:t>
            </w:r>
          </w:p>
        </w:tc>
        <w:tc>
          <w:tcPr>
            <w:tcW w:type="dxa" w:w="6768"/>
            <w:vAlign w:val="center"/>
            <w:shd w:fill="D9EAF7"/>
          </w:tcPr>
          <w:p>
            <w:r/>
            <w:r>
              <w:rPr>
                <w:b/>
                <w:sz w:val="16"/>
              </w:rPr>
              <w:t>Locked value / rule</w:t>
            </w:r>
          </w:p>
        </w:tc>
      </w:tr>
      <w:tr>
        <w:tc>
          <w:tcPr>
            <w:tcW w:type="dxa" w:w="3312"/>
            <w:vAlign w:val="center"/>
          </w:tcPr>
          <w:p>
            <w:r/>
            <w:r>
              <w:rPr>
                <w:b w:val="0"/>
                <w:sz w:val="16"/>
              </w:rPr>
              <w:t>Document updated</w:t>
            </w:r>
          </w:p>
        </w:tc>
        <w:tc>
          <w:tcPr>
            <w:tcW w:type="dxa" w:w="6768"/>
            <w:vAlign w:val="center"/>
          </w:tcPr>
          <w:p>
            <w:r>
              <w:t>2026-07-06; reviewed and expanded Corsi/FDS model description</w:t>
            </w:r>
          </w:p>
        </w:tc>
      </w:tr>
      <w:tr>
        <w:tc>
          <w:tcPr>
            <w:tcW w:type="dxa" w:w="3312"/>
            <w:vAlign w:val="center"/>
          </w:tcPr>
          <w:p>
            <w:r/>
            <w:r>
              <w:rPr>
                <w:b w:val="0"/>
                <w:sz w:val="16"/>
              </w:rPr>
              <w:t>Working model / denominator</w:t>
            </w:r>
          </w:p>
        </w:tc>
        <w:tc>
          <w:tcPr>
            <w:tcW w:type="dxa" w:w="6768"/>
            <w:vAlign w:val="center"/>
          </w:tcPr>
          <w:p>
            <w:r/>
            <w:r>
              <w:rPr>
                <w:b w:val="0"/>
                <w:sz w:val="16"/>
              </w:rPr>
              <w:t>unified_fds_no_min_return</w:t>
            </w:r>
          </w:p>
        </w:tc>
      </w:tr>
      <w:tr>
        <w:tc>
          <w:tcPr>
            <w:tcW w:type="dxa" w:w="3312"/>
            <w:vAlign w:val="center"/>
          </w:tcPr>
          <w:p>
            <w:r/>
            <w:r>
              <w:rPr>
                <w:b w:val="0"/>
                <w:sz w:val="16"/>
              </w:rPr>
              <w:t>Sizing research branch</w:t>
            </w:r>
          </w:p>
        </w:tc>
        <w:tc>
          <w:tcPr>
            <w:tcW w:type="dxa" w:w="6768"/>
            <w:vAlign w:val="center"/>
          </w:tcPr>
          <w:p>
            <w:r/>
            <w:r>
              <w:rPr>
                <w:b w:val="0"/>
                <w:sz w:val="16"/>
              </w:rPr>
              <w:t>vrp_core_secondary_tertiary_independent_sizing_research_v1</w:t>
            </w:r>
          </w:p>
        </w:tc>
      </w:tr>
      <w:tr>
        <w:tc>
          <w:tcPr>
            <w:tcW w:type="dxa" w:w="3312"/>
            <w:vAlign w:val="center"/>
          </w:tcPr>
          <w:p>
            <w:r/>
            <w:r>
              <w:rPr>
                <w:b w:val="0"/>
                <w:sz w:val="16"/>
              </w:rPr>
              <w:t>Final signal stack version</w:t>
            </w:r>
          </w:p>
        </w:tc>
        <w:tc>
          <w:tcPr>
            <w:tcW w:type="dxa" w:w="6768"/>
            <w:vAlign w:val="center"/>
          </w:tcPr>
          <w:p>
            <w:r/>
            <w:r>
              <w:rPr>
                <w:b w:val="0"/>
                <w:sz w:val="16"/>
              </w:rPr>
              <w:t>core_secondary_consistent_secondary_signal_stack_locked_v1</w:t>
            </w:r>
          </w:p>
        </w:tc>
      </w:tr>
      <w:tr>
        <w:tc>
          <w:tcPr>
            <w:tcW w:type="dxa" w:w="3312"/>
            <w:vAlign w:val="center"/>
          </w:tcPr>
          <w:p>
            <w:r/>
            <w:r>
              <w:rPr>
                <w:b w:val="0"/>
                <w:sz w:val="16"/>
              </w:rPr>
              <w:t>Final signal stack decision ID</w:t>
            </w:r>
          </w:p>
        </w:tc>
        <w:tc>
          <w:tcPr>
            <w:tcW w:type="dxa" w:w="6768"/>
            <w:vAlign w:val="center"/>
          </w:tcPr>
          <w:p>
            <w:r/>
            <w:r>
              <w:rPr>
                <w:b w:val="0"/>
                <w:sz w:val="16"/>
              </w:rPr>
              <w:t>core_secondary_consistent_secondary_signal_stack_locked_001</w:t>
            </w:r>
          </w:p>
        </w:tc>
      </w:tr>
      <w:tr>
        <w:tc>
          <w:tcPr>
            <w:tcW w:type="dxa" w:w="3312"/>
            <w:vAlign w:val="center"/>
          </w:tcPr>
          <w:p>
            <w:r/>
            <w:r>
              <w:rPr>
                <w:b w:val="0"/>
                <w:sz w:val="16"/>
              </w:rPr>
              <w:t>Final sizing lock version</w:t>
            </w:r>
          </w:p>
        </w:tc>
        <w:tc>
          <w:tcPr>
            <w:tcW w:type="dxa" w:w="6768"/>
            <w:vAlign w:val="center"/>
          </w:tcPr>
          <w:p>
            <w:r/>
            <w:r>
              <w:rPr>
                <w:b w:val="0"/>
                <w:sz w:val="16"/>
              </w:rPr>
              <w:t>final_one_trade_per_day_naked_put_sizing_locked_v1</w:t>
            </w:r>
          </w:p>
        </w:tc>
      </w:tr>
      <w:tr>
        <w:tc>
          <w:tcPr>
            <w:tcW w:type="dxa" w:w="3312"/>
            <w:vAlign w:val="center"/>
          </w:tcPr>
          <w:p>
            <w:r/>
            <w:r>
              <w:rPr>
                <w:b w:val="0"/>
                <w:sz w:val="16"/>
              </w:rPr>
              <w:t>Final sizing lock decision ID</w:t>
            </w:r>
          </w:p>
        </w:tc>
        <w:tc>
          <w:tcPr>
            <w:tcW w:type="dxa" w:w="6768"/>
            <w:vAlign w:val="center"/>
          </w:tcPr>
          <w:p>
            <w:r/>
            <w:r>
              <w:rPr>
                <w:b w:val="0"/>
                <w:sz w:val="16"/>
              </w:rPr>
              <w:t>final_one_trade_per_day_naked_put_sizing_locked_001</w:t>
            </w:r>
          </w:p>
        </w:tc>
      </w:tr>
      <w:tr>
        <w:tc>
          <w:tcPr>
            <w:tcW w:type="dxa" w:w="3312"/>
            <w:vAlign w:val="center"/>
          </w:tcPr>
          <w:p>
            <w:r/>
            <w:r>
              <w:rPr>
                <w:b w:val="0"/>
                <w:sz w:val="16"/>
              </w:rPr>
              <w:t>Program type</w:t>
            </w:r>
          </w:p>
        </w:tc>
        <w:tc>
          <w:tcPr>
            <w:tcW w:type="dxa" w:w="6768"/>
            <w:vAlign w:val="center"/>
          </w:tcPr>
          <w:p>
            <w:r/>
            <w:r>
              <w:rPr>
                <w:b w:val="0"/>
                <w:sz w:val="16"/>
              </w:rPr>
              <w:t>naked_short_put_tenor_selection_and_sizing</w:t>
            </w:r>
          </w:p>
        </w:tc>
      </w:tr>
      <w:tr>
        <w:tc>
          <w:tcPr>
            <w:tcW w:type="dxa" w:w="3312"/>
            <w:vAlign w:val="center"/>
          </w:tcPr>
          <w:p>
            <w:r/>
            <w:r>
              <w:rPr>
                <w:b w:val="0"/>
                <w:sz w:val="16"/>
              </w:rPr>
              <w:t>Program label</w:t>
            </w:r>
          </w:p>
        </w:tc>
        <w:tc>
          <w:tcPr>
            <w:tcW w:type="dxa" w:w="6768"/>
            <w:vAlign w:val="center"/>
          </w:tcPr>
          <w:p>
            <w:r/>
            <w:r>
              <w:rPr>
                <w:b w:val="0"/>
                <w:sz w:val="16"/>
              </w:rPr>
              <w:t>Final one-trade-per-day naked short put sizing program</w:t>
            </w:r>
          </w:p>
        </w:tc>
      </w:tr>
      <w:tr>
        <w:tc>
          <w:tcPr>
            <w:tcW w:type="dxa" w:w="3312"/>
            <w:vAlign w:val="center"/>
          </w:tcPr>
          <w:p>
            <w:r/>
            <w:r>
              <w:rPr>
                <w:b w:val="0"/>
                <w:sz w:val="16"/>
              </w:rPr>
              <w:t>Clean notebook deliverable</w:t>
            </w:r>
          </w:p>
        </w:tc>
        <w:tc>
          <w:tcPr>
            <w:tcW w:type="dxa" w:w="6768"/>
            <w:vAlign w:val="center"/>
          </w:tcPr>
          <w:p>
            <w:r>
              <w:t>08_core_secondary_tertiary_sizing_research_v1_CLEANED.ipynb; vrp_unified_fds_no_min_return_locked_model_clean.ipynb</w:t>
            </w:r>
          </w:p>
        </w:tc>
      </w:tr>
    </w:tbl>
    <w:p/>
    <w:p>
      <w:pPr>
        <w:pStyle w:val="Heading1"/>
      </w:pPr>
      <w:r>
        <w:t>1. Executive summary</w:t>
      </w:r>
    </w:p>
    <w:p>
      <w:r>
        <w:t>This document supersedes the earlier signal-stack-only documentation. The denominator remains unified_fds_no_min_return, but the sizing branch finalized a new Core / Secondary signal taxonomy and a locked one-trade-per-day naked short put sizing program.</w:t>
      </w:r>
    </w:p>
    <w:p>
      <w:pPr>
        <w:pStyle w:val="ListBullet"/>
      </w:pPr>
      <w:r>
        <w:t>Core Front and the old Tertiary Front layer are inactive in the final sizing branch.</w:t>
      </w:r>
    </w:p>
    <w:p>
      <w:pPr>
        <w:pStyle w:val="ListBullet"/>
      </w:pPr>
      <w:r>
        <w:t>Former Tertiary Front exposure was promoted into Secondary Front and kept smaller through the sizing table.</w:t>
      </w:r>
    </w:p>
    <w:p>
      <w:pPr>
        <w:pStyle w:val="ListBullet"/>
      </w:pPr>
      <w:r>
        <w:t>The final locked sizing program selects exactly one trade per day based primarily on the locked size table.</w:t>
      </w:r>
    </w:p>
    <w:p>
      <w:pPr>
        <w:pStyle w:val="ListBullet"/>
      </w:pPr>
      <w:r>
        <w:t>The current P&amp;L stream should be treated as short-put / naked-put candidate P&amp;L, not defined-spread P&amp;L.</w:t>
      </w:r>
    </w:p>
    <w:p>
      <w:pPr>
        <w:pStyle w:val="ListBullet"/>
      </w:pPr>
      <w:r>
        <w:t>No signal thresholds, denominator model, P&amp;L fields, or pricing logic are changed by the final cleanup notebook.</w:t>
      </w:r>
    </w:p>
    <w:p>
      <w:pPr>
        <w:pStyle w:val="Heading2"/>
      </w:pPr>
      <w:r>
        <w:t>1.1 Supersession note</w:t>
      </w:r>
    </w:p>
    <w:p>
      <w:r>
        <w:t>The prior document described core_secondary_tertiary_signal_stack_locked_v1 and core_secondary_tertiary_signal_stack_locked_001 as the final signal stack for sizing. That stack is now historical context only. The final sizing branch lock is core_secondary_consistent_secondary_signal_stack_locked_v1 / core_secondary_consistent_secondary_signal_stack_locked_001 for signal eligibility and final_one_trade_per_day_naked_put_sizing_locked_v1 / final_one_trade_per_day_naked_put_sizing_locked_001 for sizing and daily selection.</w:t>
      </w:r>
    </w:p>
    <w:p>
      <w:pPr>
        <w:pStyle w:val="Heading1"/>
      </w:pPr>
      <w:r>
        <w:t>2. Denominator and signal contract</w:t>
      </w:r>
    </w:p>
    <w:p>
      <w:r>
        <w:t>The denominator model contract remains unchanged from the earlier unified_fds_no_min_return documentation. The signal layer continues to use prior-only z-scores and rv21d_vol_pct as the volatility floor.</w:t>
      </w:r>
    </w:p>
    <w:tbl>
      <w:tblPr>
        <w:tblStyle w:val="TableGrid"/>
        <w:tblW w:type="auto" w:w="0"/>
        <w:jc w:val="center"/>
        <w:tblLook w:firstColumn="1" w:firstRow="1" w:lastColumn="0" w:lastRow="0" w:noHBand="0" w:noVBand="1" w:val="04A0"/>
      </w:tblPr>
      <w:tblGrid>
        <w:gridCol w:w="5256"/>
        <w:gridCol w:w="5256"/>
      </w:tblGrid>
      <w:tr>
        <w:tc>
          <w:tcPr>
            <w:tcW w:type="dxa" w:w="3168"/>
            <w:vAlign w:val="center"/>
            <w:shd w:fill="D9EAF7"/>
          </w:tcPr>
          <w:p>
            <w:r/>
            <w:r>
              <w:rPr>
                <w:b/>
                <w:sz w:val="16"/>
              </w:rPr>
              <w:t>Contract item</w:t>
            </w:r>
          </w:p>
        </w:tc>
        <w:tc>
          <w:tcPr>
            <w:tcW w:type="dxa" w:w="6912"/>
            <w:vAlign w:val="center"/>
            <w:shd w:fill="D9EAF7"/>
          </w:tcPr>
          <w:p>
            <w:r/>
            <w:r>
              <w:rPr>
                <w:b/>
                <w:sz w:val="16"/>
              </w:rPr>
              <w:t>Locked rule</w:t>
            </w:r>
          </w:p>
        </w:tc>
      </w:tr>
      <w:tr>
        <w:tc>
          <w:tcPr>
            <w:tcW w:type="dxa" w:w="3168"/>
            <w:vAlign w:val="center"/>
          </w:tcPr>
          <w:p>
            <w:r/>
            <w:r>
              <w:rPr>
                <w:b w:val="0"/>
                <w:sz w:val="16"/>
              </w:rPr>
              <w:t>Forecast variance denominator</w:t>
            </w:r>
          </w:p>
        </w:tc>
        <w:tc>
          <w:tcPr>
            <w:tcW w:type="dxa" w:w="6912"/>
            <w:vAlign w:val="center"/>
          </w:tcPr>
          <w:p>
            <w:r/>
            <w:r>
              <w:rPr>
                <w:b w:val="0"/>
                <w:sz w:val="16"/>
              </w:rPr>
              <w:t>forecast_variance_candidate from unified_fds_no_min_return</w:t>
            </w:r>
          </w:p>
        </w:tc>
      </w:tr>
      <w:tr>
        <w:tc>
          <w:tcPr>
            <w:tcW w:type="dxa" w:w="3168"/>
            <w:vAlign w:val="center"/>
          </w:tcPr>
          <w:p>
            <w:r/>
            <w:r>
              <w:rPr>
                <w:b w:val="0"/>
                <w:sz w:val="16"/>
              </w:rPr>
              <w:t>Forecast variance formula</w:t>
            </w:r>
          </w:p>
        </w:tc>
        <w:tc>
          <w:tcPr>
            <w:tcW w:type="dxa" w:w="6912"/>
            <w:vAlign w:val="center"/>
          </w:tcPr>
          <w:p>
            <w:r/>
            <w:r>
              <w:rPr>
                <w:b w:val="0"/>
                <w:sz w:val="16"/>
              </w:rPr>
              <w:t>forecast_variance_candidate = exp(predicted_log_variance_candidate)</w:t>
            </w:r>
          </w:p>
        </w:tc>
      </w:tr>
      <w:tr>
        <w:tc>
          <w:tcPr>
            <w:tcW w:type="dxa" w:w="3168"/>
            <w:vAlign w:val="center"/>
          </w:tcPr>
          <w:p>
            <w:r/>
            <w:r>
              <w:rPr>
                <w:b w:val="0"/>
                <w:sz w:val="16"/>
              </w:rPr>
              <w:t>VRP log</w:t>
            </w:r>
          </w:p>
        </w:tc>
        <w:tc>
          <w:tcPr>
            <w:tcW w:type="dxa" w:w="6912"/>
            <w:vAlign w:val="center"/>
          </w:tcPr>
          <w:p>
            <w:r/>
            <w:r>
              <w:rPr>
                <w:b w:val="0"/>
                <w:sz w:val="16"/>
              </w:rPr>
              <w:t>model_vrp_log = log(implied_variance / forecast_variance_candidate)</w:t>
            </w:r>
          </w:p>
        </w:tc>
      </w:tr>
      <w:tr>
        <w:tc>
          <w:tcPr>
            <w:tcW w:type="dxa" w:w="3168"/>
            <w:vAlign w:val="center"/>
          </w:tcPr>
          <w:p>
            <w:r/>
            <w:r>
              <w:rPr>
                <w:b w:val="0"/>
                <w:sz w:val="16"/>
              </w:rPr>
              <w:t>3m z-score</w:t>
            </w:r>
          </w:p>
        </w:tc>
        <w:tc>
          <w:tcPr>
            <w:tcW w:type="dxa" w:w="6912"/>
            <w:vAlign w:val="center"/>
          </w:tcPr>
          <w:p>
            <w:r/>
            <w:r>
              <w:rPr>
                <w:b w:val="0"/>
                <w:sz w:val="16"/>
              </w:rPr>
              <w:t>Prior-only rolling z-score of model_vrp_log using a 63-row window by tenor</w:t>
            </w:r>
          </w:p>
        </w:tc>
      </w:tr>
      <w:tr>
        <w:tc>
          <w:tcPr>
            <w:tcW w:type="dxa" w:w="3168"/>
            <w:vAlign w:val="center"/>
          </w:tcPr>
          <w:p>
            <w:r/>
            <w:r>
              <w:rPr>
                <w:b w:val="0"/>
                <w:sz w:val="16"/>
              </w:rPr>
              <w:t>1y z-score</w:t>
            </w:r>
          </w:p>
        </w:tc>
        <w:tc>
          <w:tcPr>
            <w:tcW w:type="dxa" w:w="6912"/>
            <w:vAlign w:val="center"/>
          </w:tcPr>
          <w:p>
            <w:r/>
            <w:r>
              <w:rPr>
                <w:b w:val="0"/>
                <w:sz w:val="16"/>
              </w:rPr>
              <w:t>Prior-only rolling z-score of model_vrp_log using a 252-row window by tenor</w:t>
            </w:r>
          </w:p>
        </w:tc>
      </w:tr>
      <w:tr>
        <w:tc>
          <w:tcPr>
            <w:tcW w:type="dxa" w:w="3168"/>
            <w:vAlign w:val="center"/>
          </w:tcPr>
          <w:p>
            <w:r/>
            <w:r>
              <w:rPr>
                <w:b w:val="0"/>
                <w:sz w:val="16"/>
              </w:rPr>
              <w:t>Signal volatility floor</w:t>
            </w:r>
          </w:p>
        </w:tc>
        <w:tc>
          <w:tcPr>
            <w:tcW w:type="dxa" w:w="6912"/>
            <w:vAlign w:val="center"/>
          </w:tcPr>
          <w:p>
            <w:r/>
            <w:r>
              <w:rPr>
                <w:b w:val="0"/>
                <w:sz w:val="16"/>
              </w:rPr>
              <w:t>rv21d_vol_pct &gt; threshold</w:t>
            </w:r>
          </w:p>
        </w:tc>
      </w:tr>
      <w:tr>
        <w:tc>
          <w:tcPr>
            <w:tcW w:type="dxa" w:w="3168"/>
            <w:vAlign w:val="center"/>
          </w:tcPr>
          <w:p>
            <w:r/>
            <w:r>
              <w:rPr>
                <w:b w:val="0"/>
                <w:sz w:val="16"/>
              </w:rPr>
              <w:t>Important correction</w:t>
            </w:r>
          </w:p>
        </w:tc>
        <w:tc>
          <w:tcPr>
            <w:tcW w:type="dxa" w:w="6912"/>
            <w:vAlign w:val="center"/>
          </w:tcPr>
          <w:p>
            <w:r/>
            <w:r>
              <w:rPr>
                <w:b w:val="0"/>
                <w:sz w:val="16"/>
              </w:rPr>
              <w:t>forecast_vol_pct is retained as a denominator/model diagnostic only; it is not the signal volatility-floor threshold variable.</w:t>
            </w:r>
          </w:p>
        </w:tc>
      </w:tr>
    </w:tbl>
    <w:p/>
    <w:p>
      <w:pPr>
        <w:pStyle w:val="Heading2"/>
      </w:pPr>
      <w:r>
        <w:t>2.1 Locked denominator features</w:t>
      </w:r>
    </w:p>
    <w:tbl>
      <w:tblPr>
        <w:tblStyle w:val="TableGrid"/>
        <w:tblW w:type="auto" w:w="0"/>
        <w:jc w:val="center"/>
        <w:tblLook w:firstColumn="1" w:firstRow="1" w:lastColumn="0" w:lastRow="0" w:noHBand="0" w:noVBand="1" w:val="04A0"/>
      </w:tblPr>
      <w:tblGrid>
        <w:gridCol w:w="5256"/>
        <w:gridCol w:w="5256"/>
      </w:tblGrid>
      <w:tr>
        <w:tc>
          <w:tcPr>
            <w:tcW w:type="dxa" w:w="3456"/>
            <w:vAlign w:val="center"/>
            <w:shd w:fill="D9EAF7"/>
          </w:tcPr>
          <w:p>
            <w:r/>
            <w:r>
              <w:rPr>
                <w:b/>
                <w:sz w:val="16"/>
              </w:rPr>
              <w:t>Feature</w:t>
            </w:r>
          </w:p>
        </w:tc>
        <w:tc>
          <w:tcPr>
            <w:tcW w:type="dxa" w:w="6624"/>
            <w:vAlign w:val="center"/>
            <w:shd w:fill="D9EAF7"/>
          </w:tcPr>
          <w:p>
            <w:r/>
            <w:r>
              <w:rPr>
                <w:b/>
                <w:sz w:val="16"/>
              </w:rPr>
              <w:t>Interpretation</w:t>
            </w:r>
          </w:p>
        </w:tc>
      </w:tr>
      <w:tr>
        <w:tc>
          <w:tcPr>
            <w:tcW w:type="dxa" w:w="3456"/>
            <w:vAlign w:val="center"/>
          </w:tcPr>
          <w:p>
            <w:r/>
            <w:r>
              <w:rPr>
                <w:b w:val="0"/>
                <w:sz w:val="16"/>
              </w:rPr>
              <w:t>candidate_log_downside_rv_5d</w:t>
            </w:r>
          </w:p>
        </w:tc>
        <w:tc>
          <w:tcPr>
            <w:tcW w:type="dxa" w:w="6624"/>
            <w:vAlign w:val="center"/>
          </w:tcPr>
          <w:p>
            <w:r/>
            <w:r>
              <w:rPr>
                <w:b w:val="0"/>
                <w:sz w:val="16"/>
              </w:rPr>
              <w:t>Fast downside realized-variance state.</w:t>
            </w:r>
          </w:p>
        </w:tc>
      </w:tr>
      <w:tr>
        <w:tc>
          <w:tcPr>
            <w:tcW w:type="dxa" w:w="3456"/>
            <w:vAlign w:val="center"/>
          </w:tcPr>
          <w:p>
            <w:r/>
            <w:r>
              <w:rPr>
                <w:b w:val="0"/>
                <w:sz w:val="16"/>
              </w:rPr>
              <w:t>candidate_log_downside_rv_10d</w:t>
            </w:r>
          </w:p>
        </w:tc>
        <w:tc>
          <w:tcPr>
            <w:tcW w:type="dxa" w:w="6624"/>
            <w:vAlign w:val="center"/>
          </w:tcPr>
          <w:p>
            <w:r/>
            <w:r>
              <w:rPr>
                <w:b w:val="0"/>
                <w:sz w:val="16"/>
              </w:rPr>
              <w:t>Short downside realized-variance state.</w:t>
            </w:r>
          </w:p>
        </w:tc>
      </w:tr>
      <w:tr>
        <w:tc>
          <w:tcPr>
            <w:tcW w:type="dxa" w:w="3456"/>
            <w:vAlign w:val="center"/>
          </w:tcPr>
          <w:p>
            <w:r/>
            <w:r>
              <w:rPr>
                <w:b w:val="0"/>
                <w:sz w:val="16"/>
              </w:rPr>
              <w:t>candidate_log_downside_rv_21d</w:t>
            </w:r>
          </w:p>
        </w:tc>
        <w:tc>
          <w:tcPr>
            <w:tcW w:type="dxa" w:w="6624"/>
            <w:vAlign w:val="center"/>
          </w:tcPr>
          <w:p>
            <w:r/>
            <w:r>
              <w:rPr>
                <w:b w:val="0"/>
                <w:sz w:val="16"/>
              </w:rPr>
              <w:t>One-month downside realized-variance state.</w:t>
            </w:r>
          </w:p>
        </w:tc>
      </w:tr>
      <w:tr>
        <w:tc>
          <w:tcPr>
            <w:tcW w:type="dxa" w:w="3456"/>
            <w:vAlign w:val="center"/>
          </w:tcPr>
          <w:p>
            <w:r/>
            <w:r>
              <w:rPr>
                <w:b w:val="0"/>
                <w:sz w:val="16"/>
              </w:rPr>
              <w:t>candidate_log_downside_rv_63d</w:t>
            </w:r>
          </w:p>
        </w:tc>
        <w:tc>
          <w:tcPr>
            <w:tcW w:type="dxa" w:w="6624"/>
            <w:vAlign w:val="center"/>
          </w:tcPr>
          <w:p>
            <w:r/>
            <w:r>
              <w:rPr>
                <w:b w:val="0"/>
                <w:sz w:val="16"/>
              </w:rPr>
              <w:t>Three-month downside realized-variance state.</w:t>
            </w:r>
          </w:p>
        </w:tc>
      </w:tr>
      <w:tr>
        <w:tc>
          <w:tcPr>
            <w:tcW w:type="dxa" w:w="3456"/>
            <w:vAlign w:val="center"/>
          </w:tcPr>
          <w:p>
            <w:r/>
            <w:r>
              <w:rPr>
                <w:b w:val="0"/>
                <w:sz w:val="16"/>
              </w:rPr>
              <w:t>candidate_downside_share_5d</w:t>
            </w:r>
          </w:p>
        </w:tc>
        <w:tc>
          <w:tcPr>
            <w:tcW w:type="dxa" w:w="6624"/>
            <w:vAlign w:val="center"/>
          </w:tcPr>
          <w:p>
            <w:r/>
            <w:r>
              <w:rPr>
                <w:b w:val="0"/>
                <w:sz w:val="16"/>
              </w:rPr>
              <w:t>Share of recent variance attributable to downside moves over 5 days.</w:t>
            </w:r>
          </w:p>
        </w:tc>
      </w:tr>
      <w:tr>
        <w:tc>
          <w:tcPr>
            <w:tcW w:type="dxa" w:w="3456"/>
            <w:vAlign w:val="center"/>
          </w:tcPr>
          <w:p>
            <w:r/>
            <w:r>
              <w:rPr>
                <w:b w:val="0"/>
                <w:sz w:val="16"/>
              </w:rPr>
              <w:t>candidate_downside_share_10d</w:t>
            </w:r>
          </w:p>
        </w:tc>
        <w:tc>
          <w:tcPr>
            <w:tcW w:type="dxa" w:w="6624"/>
            <w:vAlign w:val="center"/>
          </w:tcPr>
          <w:p>
            <w:r/>
            <w:r>
              <w:rPr>
                <w:b w:val="0"/>
                <w:sz w:val="16"/>
              </w:rPr>
              <w:t>Share of recent variance attributable to downside moves over 10 days.</w:t>
            </w:r>
          </w:p>
        </w:tc>
      </w:tr>
      <w:tr>
        <w:tc>
          <w:tcPr>
            <w:tcW w:type="dxa" w:w="3456"/>
            <w:vAlign w:val="center"/>
          </w:tcPr>
          <w:p>
            <w:r/>
            <w:r>
              <w:rPr>
                <w:b w:val="0"/>
                <w:sz w:val="16"/>
              </w:rPr>
              <w:t>candidate_max_abs_return_3d</w:t>
            </w:r>
          </w:p>
        </w:tc>
        <w:tc>
          <w:tcPr>
            <w:tcW w:type="dxa" w:w="6624"/>
            <w:vAlign w:val="center"/>
          </w:tcPr>
          <w:p>
            <w:r/>
            <w:r>
              <w:rPr>
                <w:b w:val="0"/>
                <w:sz w:val="16"/>
              </w:rPr>
              <w:t>Recent three-day shock proxy.</w:t>
            </w:r>
          </w:p>
        </w:tc>
      </w:tr>
      <w:tr>
        <w:tc>
          <w:tcPr>
            <w:tcW w:type="dxa" w:w="3456"/>
            <w:vAlign w:val="center"/>
          </w:tcPr>
          <w:p>
            <w:r/>
            <w:r>
              <w:rPr>
                <w:b w:val="0"/>
                <w:sz w:val="16"/>
              </w:rPr>
              <w:t>candidate_max_abs_return_5d</w:t>
            </w:r>
          </w:p>
        </w:tc>
        <w:tc>
          <w:tcPr>
            <w:tcW w:type="dxa" w:w="6624"/>
            <w:vAlign w:val="center"/>
          </w:tcPr>
          <w:p>
            <w:r/>
            <w:r>
              <w:rPr>
                <w:b w:val="0"/>
                <w:sz w:val="16"/>
              </w:rPr>
              <w:t>Recent five-day shock proxy.</w:t>
            </w:r>
          </w:p>
        </w:tc>
      </w:tr>
      <w:tr>
        <w:tc>
          <w:tcPr>
            <w:tcW w:type="dxa" w:w="3456"/>
            <w:vAlign w:val="center"/>
          </w:tcPr>
          <w:p>
            <w:r/>
            <w:r>
              <w:rPr>
                <w:b w:val="0"/>
                <w:sz w:val="16"/>
              </w:rPr>
              <w:t>candidate_max_abs_return_10d</w:t>
            </w:r>
          </w:p>
        </w:tc>
        <w:tc>
          <w:tcPr>
            <w:tcW w:type="dxa" w:w="6624"/>
            <w:vAlign w:val="center"/>
          </w:tcPr>
          <w:p>
            <w:r/>
            <w:r>
              <w:rPr>
                <w:b w:val="0"/>
                <w:sz w:val="16"/>
              </w:rPr>
              <w:t>Recent ten-day shock proxy.</w:t>
            </w:r>
          </w:p>
        </w:tc>
      </w:tr>
    </w:tbl>
    <w:p/>
    <w:p>
      <w:r>
        <w:rPr>
          <w:i/>
          <w:sz w:val="18"/>
        </w:rPr>
        <w:t>Explicitly excluded from the denominator: candidate_min_return_3d, candidate_min_return_5d, candidate_min_return_10d. Forbidden feature classes remain implied volatility, VIX-style levels, VRP values, z-scores, RSI, actual DTE, P&amp;L/outcome fields, strikes/options fields, bucket labels, tenor labels, target/forward fields, and any leakage of future realized variance.</w:t>
      </w:r>
    </w:p>
    <w:p>
      <w:pPr>
        <w:pStyle w:val="Heading2"/>
      </w:pPr>
      <w:r>
        <w:rPr>
          <w:b w:val="0"/>
        </w:rPr>
        <w:t>2.2 In-depth Corsi / FDS denominator description</w:t>
      </w:r>
    </w:p>
    <w:p>
      <w:r>
        <w:rPr>
          <w:b w:val="0"/>
        </w:rPr>
        <w:t>In this project, the "Corsi model" means the forecast-denominator pipeline used to estimate future realized variance for the VRP signal. It is separate from the signal thresholds and separate from the sizing program. The denominator model forecasts variance, not price direction, and its output is compared against VIX-style implied variance across the fixed tenor grid.</w:t>
      </w:r>
    </w:p>
    <w:p>
      <w:r>
        <w:rPr>
          <w:b w:val="0"/>
        </w:rPr>
        <w:t>The current locked working model is unified_fds_no_min_return. It is a unified all-tenor forecast-denominator specification: the same feature set, estimator class, training procedure, and leakage controls are used across the exact model tenor grid. The model grid includes 9, 12, 15, 18, 21, 24, 27, 30, and 33 DTE; the final sizing program may choose to activate only a subset of those tenors.</w:t>
      </w:r>
    </w:p>
    <w:p>
      <w:r>
        <w:rPr>
          <w:b w:val="0"/>
        </w:rPr>
        <w:t>The model converts realized-price-derived state variables into a forecast of forward realized variance. The prediction is made in log-variance space and converted back to variance with forecast_variance_candidate = exp(predicted_log_variance_candidate). The signal then uses model_vrp_log = log(implied_variance / forecast_variance_candidate).</w:t>
      </w:r>
    </w:p>
    <w:p>
      <w:pPr>
        <w:pStyle w:val="Heading2"/>
      </w:pPr>
      <w:r>
        <w:rPr>
          <w:b w:val="0"/>
        </w:rPr>
        <w:t>2.3 Realized-variance target, 5-minute data, and overnight treatment</w:t>
      </w:r>
    </w:p>
    <w:p>
      <w:r>
        <w:rPr>
          <w:b w:val="0"/>
        </w:rPr>
        <w:t>The forecast target should be treated as total forward realized variance over the relevant tenor. The locked unified denominator notebook consumes the prebuilt target source rather than rebuilding raw intraday returns inside the signal/sizing notebook.</w:t>
      </w:r>
    </w:p>
    <w:tbl>
      <w:tblPr>
        <w:tblStyle w:val="TableGrid"/>
        <w:tblW w:type="auto" w:w="0"/>
        <w:tblLook w:firstColumn="1" w:firstRow="1" w:lastColumn="0" w:lastRow="0" w:noHBand="0" w:noVBand="1" w:val="04A0"/>
      </w:tblPr>
      <w:tblGrid>
        <w:gridCol w:w="5256"/>
        <w:gridCol w:w="5256"/>
      </w:tblGrid>
      <w:tr>
        <w:tc>
          <w:tcPr>
            <w:tcW w:type="dxa" w:w="5256"/>
          </w:tcPr>
          <w:p>
            <w:r/>
            <w:r>
              <w:rPr>
                <w:b/>
              </w:rPr>
              <w:t>Item</w:t>
            </w:r>
          </w:p>
        </w:tc>
        <w:tc>
          <w:tcPr>
            <w:tcW w:type="dxa" w:w="5256"/>
          </w:tcPr>
          <w:p>
            <w:r/>
            <w:r>
              <w:rPr>
                <w:b/>
              </w:rPr>
              <w:t>Locked / required treatment</w:t>
            </w:r>
          </w:p>
        </w:tc>
      </w:tr>
      <w:tr>
        <w:tc>
          <w:tcPr>
            <w:tcW w:type="dxa" w:w="5256"/>
          </w:tcPr>
          <w:p>
            <w:r/>
            <w:r>
              <w:rPr>
                <w:b w:val="0"/>
              </w:rPr>
              <w:t>Target concept</w:t>
            </w:r>
          </w:p>
        </w:tc>
        <w:tc>
          <w:tcPr>
            <w:tcW w:type="dxa" w:w="5256"/>
          </w:tcPr>
          <w:p>
            <w:r/>
            <w:r>
              <w:rPr>
                <w:b w:val="0"/>
              </w:rPr>
              <w:t>Forward Corsi-style realized variance over the selected tenor, stored as target_log_variance or derived from forward_realized_variance_corsi.</w:t>
            </w:r>
          </w:p>
        </w:tc>
      </w:tr>
      <w:tr>
        <w:tc>
          <w:tcPr>
            <w:tcW w:type="dxa" w:w="5256"/>
          </w:tcPr>
          <w:p>
            <w:r/>
            <w:r>
              <w:rPr>
                <w:b w:val="0"/>
              </w:rPr>
              <w:t>Target source</w:t>
            </w:r>
          </w:p>
        </w:tc>
        <w:tc>
          <w:tcPr>
            <w:tcW w:type="dxa" w:w="5256"/>
          </w:tcPr>
          <w:p>
            <w:r/>
            <w:r>
              <w:rPr>
                <w:b w:val="0"/>
              </w:rPr>
              <w:t>data\processed\forecast_model_corsi_v1\corsi_forward_realized_variance_targets_v1_*.parquet</w:t>
            </w:r>
          </w:p>
        </w:tc>
      </w:tr>
      <w:tr>
        <w:tc>
          <w:tcPr>
            <w:tcW w:type="dxa" w:w="5256"/>
          </w:tcPr>
          <w:p>
            <w:r/>
            <w:r>
              <w:rPr>
                <w:b w:val="0"/>
              </w:rPr>
              <w:t>Leakage guard field</w:t>
            </w:r>
          </w:p>
        </w:tc>
        <w:tc>
          <w:tcPr>
            <w:tcW w:type="dxa" w:w="5256"/>
          </w:tcPr>
          <w:p>
            <w:r/>
            <w:r>
              <w:rPr>
                <w:b w:val="0"/>
              </w:rPr>
              <w:t>last_forward_rv_date. A row may enter a test-year training set only when last_forward_rv_date &lt; test-year start and trade_date &lt; test-year start.</w:t>
            </w:r>
          </w:p>
        </w:tc>
      </w:tr>
      <w:tr>
        <w:tc>
          <w:tcPr>
            <w:tcW w:type="dxa" w:w="5256"/>
          </w:tcPr>
          <w:p>
            <w:r/>
            <w:r>
              <w:rPr>
                <w:b w:val="0"/>
              </w:rPr>
              <w:t>5-minute intraday treatment</w:t>
            </w:r>
          </w:p>
        </w:tc>
        <w:tc>
          <w:tcPr>
            <w:tcW w:type="dxa" w:w="5256"/>
          </w:tcPr>
          <w:p>
            <w:r/>
            <w:r>
              <w:rPr>
                <w:b w:val="0"/>
              </w:rPr>
              <w:t>If the upstream Corsi target builder uses 5-minute SPY/SPX returns, the intraday component should be the realized variance from the 5-minute return grid. This raw-bar construction is upstream of the locked unified FDS notebook.</w:t>
            </w:r>
          </w:p>
        </w:tc>
      </w:tr>
      <w:tr>
        <w:tc>
          <w:tcPr>
            <w:tcW w:type="dxa" w:w="5256"/>
          </w:tcPr>
          <w:p>
            <w:r/>
            <w:r>
              <w:rPr>
                <w:b w:val="0"/>
              </w:rPr>
              <w:t>Overnight treatment</w:t>
            </w:r>
          </w:p>
        </w:tc>
        <w:tc>
          <w:tcPr>
            <w:tcW w:type="dxa" w:w="5256"/>
          </w:tcPr>
          <w:p>
            <w:r/>
            <w:r>
              <w:rPr>
                <w:b w:val="0"/>
              </w:rPr>
              <w:t>Overnight close-to-open variance should be included in total realized variance. It should not be silently dropped. In the locked unified_fds_no_min_return model it is part of the target/source contract, not a separate named model feature unless a future approved model scope adds explicit overnight features.</w:t>
            </w:r>
          </w:p>
        </w:tc>
      </w:tr>
      <w:tr>
        <w:tc>
          <w:tcPr>
            <w:tcW w:type="dxa" w:w="5256"/>
          </w:tcPr>
          <w:p>
            <w:r/>
            <w:r>
              <w:rPr>
                <w:b w:val="0"/>
              </w:rPr>
              <w:t>Current feature-panel boundary</w:t>
            </w:r>
          </w:p>
        </w:tc>
        <w:tc>
          <w:tcPr>
            <w:tcW w:type="dxa" w:w="5256"/>
          </w:tcPr>
          <w:p>
            <w:r/>
            <w:r>
              <w:rPr>
                <w:b w:val="0"/>
              </w:rPr>
              <w:t>The locked model notebook consumes date-level target/features. It does not recalculate raw 5-minute or overnight returns itself. Production rebuilds must preserve the target/source semantics before fitting or scoring.</w:t>
            </w:r>
          </w:p>
        </w:tc>
      </w:tr>
    </w:tbl>
    <w:p>
      <w:r>
        <w:rPr>
          <w:b w:val="0"/>
        </w:rPr>
        <w:t>Practical interpretation: yes, overnight variance should be included in the total realized-variance target. The important implementation boundary is that the current locked model notebook does not independently prove or rebuild the raw 5-minute plus overnight decomposition; it relies on the upstream Corsi target file to supply the correct total realized-variance target.</w:t>
      </w:r>
    </w:p>
    <w:p>
      <w:pPr>
        <w:pStyle w:val="Heading2"/>
      </w:pPr>
      <w:r>
        <w:rPr>
          <w:b w:val="0"/>
        </w:rPr>
        <w:t>2.4 Locked model fit, scoring, and leakage controls</w:t>
      </w:r>
    </w:p>
    <w:tbl>
      <w:tblPr>
        <w:tblStyle w:val="TableGrid"/>
        <w:tblW w:type="auto" w:w="0"/>
        <w:tblLook w:firstColumn="1" w:firstRow="1" w:lastColumn="0" w:lastRow="0" w:noHBand="0" w:noVBand="1" w:val="04A0"/>
      </w:tblPr>
      <w:tblGrid>
        <w:gridCol w:w="5256"/>
        <w:gridCol w:w="5256"/>
      </w:tblGrid>
      <w:tr>
        <w:tc>
          <w:tcPr>
            <w:tcW w:type="dxa" w:w="5256"/>
          </w:tcPr>
          <w:p>
            <w:r/>
            <w:r>
              <w:rPr>
                <w:b/>
              </w:rPr>
              <w:t>Model item</w:t>
            </w:r>
          </w:p>
        </w:tc>
        <w:tc>
          <w:tcPr>
            <w:tcW w:type="dxa" w:w="5256"/>
          </w:tcPr>
          <w:p>
            <w:r/>
            <w:r>
              <w:rPr>
                <w:b/>
              </w:rPr>
              <w:t>Locked specification</w:t>
            </w:r>
          </w:p>
        </w:tc>
      </w:tr>
      <w:tr>
        <w:tc>
          <w:tcPr>
            <w:tcW w:type="dxa" w:w="5256"/>
          </w:tcPr>
          <w:p>
            <w:r/>
            <w:r>
              <w:rPr>
                <w:b w:val="0"/>
              </w:rPr>
              <w:t>Model name</w:t>
            </w:r>
          </w:p>
        </w:tc>
        <w:tc>
          <w:tcPr>
            <w:tcW w:type="dxa" w:w="5256"/>
          </w:tcPr>
          <w:p>
            <w:r/>
            <w:r>
              <w:rPr>
                <w:b w:val="0"/>
              </w:rPr>
              <w:t>unified_fds_no_min_return</w:t>
            </w:r>
          </w:p>
        </w:tc>
      </w:tr>
      <w:tr>
        <w:tc>
          <w:tcPr>
            <w:tcW w:type="dxa" w:w="5256"/>
          </w:tcPr>
          <w:p>
            <w:r/>
            <w:r>
              <w:rPr>
                <w:b w:val="0"/>
              </w:rPr>
              <w:t>Estimator</w:t>
            </w:r>
          </w:p>
        </w:tc>
        <w:tc>
          <w:tcPr>
            <w:tcW w:type="dxa" w:w="5256"/>
          </w:tcPr>
          <w:p>
            <w:r/>
            <w:r>
              <w:rPr>
                <w:b w:val="0"/>
              </w:rPr>
              <w:t>Pipeline(StandardScaler(), Ridge(alpha))</w:t>
            </w:r>
          </w:p>
        </w:tc>
      </w:tr>
      <w:tr>
        <w:tc>
          <w:tcPr>
            <w:tcW w:type="dxa" w:w="5256"/>
          </w:tcPr>
          <w:p>
            <w:r/>
            <w:r>
              <w:rPr>
                <w:b w:val="0"/>
              </w:rPr>
              <w:t>Fit unit</w:t>
            </w:r>
          </w:p>
        </w:tc>
        <w:tc>
          <w:tcPr>
            <w:tcW w:type="dxa" w:w="5256"/>
          </w:tcPr>
          <w:p>
            <w:r/>
            <w:r>
              <w:rPr>
                <w:b w:val="0"/>
              </w:rPr>
              <w:t>Separate fit per tenor; same feature set and training procedure across all tenors.</w:t>
            </w:r>
          </w:p>
        </w:tc>
      </w:tr>
      <w:tr>
        <w:tc>
          <w:tcPr>
            <w:tcW w:type="dxa" w:w="5256"/>
          </w:tcPr>
          <w:p>
            <w:r/>
            <w:r>
              <w:rPr>
                <w:b w:val="0"/>
              </w:rPr>
              <w:t>Target column</w:t>
            </w:r>
          </w:p>
        </w:tc>
        <w:tc>
          <w:tcPr>
            <w:tcW w:type="dxa" w:w="5256"/>
          </w:tcPr>
          <w:p>
            <w:r/>
            <w:r>
              <w:rPr>
                <w:b w:val="0"/>
              </w:rPr>
              <w:t>target_log_variance</w:t>
            </w:r>
          </w:p>
        </w:tc>
      </w:tr>
      <w:tr>
        <w:tc>
          <w:tcPr>
            <w:tcW w:type="dxa" w:w="5256"/>
          </w:tcPr>
          <w:p>
            <w:r/>
            <w:r>
              <w:rPr>
                <w:b w:val="0"/>
              </w:rPr>
              <w:t>Output columns</w:t>
            </w:r>
          </w:p>
        </w:tc>
        <w:tc>
          <w:tcPr>
            <w:tcW w:type="dxa" w:w="5256"/>
          </w:tcPr>
          <w:p>
            <w:r/>
            <w:r>
              <w:rPr>
                <w:b w:val="0"/>
              </w:rPr>
              <w:t>predicted_log_variance_candidate; forecast_variance_candidate; candidate_forecast_vol_pct</w:t>
            </w:r>
          </w:p>
        </w:tc>
      </w:tr>
      <w:tr>
        <w:tc>
          <w:tcPr>
            <w:tcW w:type="dxa" w:w="5256"/>
          </w:tcPr>
          <w:p>
            <w:r/>
            <w:r>
              <w:rPr>
                <w:b w:val="0"/>
              </w:rPr>
              <w:t>Alpha grid</w:t>
            </w:r>
          </w:p>
        </w:tc>
        <w:tc>
          <w:tcPr>
            <w:tcW w:type="dxa" w:w="5256"/>
          </w:tcPr>
          <w:p>
            <w:r/>
            <w:r>
              <w:rPr>
                <w:b w:val="0"/>
              </w:rPr>
              <w:t>[1.0, 10.0, 100.0, 300.0, 1000.0]</w:t>
            </w:r>
          </w:p>
        </w:tc>
      </w:tr>
      <w:tr>
        <w:tc>
          <w:tcPr>
            <w:tcW w:type="dxa" w:w="5256"/>
          </w:tcPr>
          <w:p>
            <w:r/>
            <w:r>
              <w:rPr>
                <w:b w:val="0"/>
              </w:rPr>
              <w:t>Fallback alpha</w:t>
            </w:r>
          </w:p>
        </w:tc>
        <w:tc>
          <w:tcPr>
            <w:tcW w:type="dxa" w:w="5256"/>
          </w:tcPr>
          <w:p>
            <w:r/>
            <w:r>
              <w:rPr>
                <w:b w:val="0"/>
              </w:rPr>
              <w:t>100.0</w:t>
            </w:r>
          </w:p>
        </w:tc>
      </w:tr>
      <w:tr>
        <w:tc>
          <w:tcPr>
            <w:tcW w:type="dxa" w:w="5256"/>
          </w:tcPr>
          <w:p>
            <w:r/>
            <w:r>
              <w:rPr>
                <w:b w:val="0"/>
              </w:rPr>
              <w:t>Minimum outer train rows</w:t>
            </w:r>
          </w:p>
        </w:tc>
        <w:tc>
          <w:tcPr>
            <w:tcW w:type="dxa" w:w="5256"/>
          </w:tcPr>
          <w:p>
            <w:r/>
            <w:r>
              <w:rPr>
                <w:b w:val="0"/>
              </w:rPr>
              <w:t>250</w:t>
            </w:r>
          </w:p>
        </w:tc>
      </w:tr>
      <w:tr>
        <w:tc>
          <w:tcPr>
            <w:tcW w:type="dxa" w:w="5256"/>
          </w:tcPr>
          <w:p>
            <w:r/>
            <w:r>
              <w:rPr>
                <w:b w:val="0"/>
              </w:rPr>
              <w:t>Inner CV rule</w:t>
            </w:r>
          </w:p>
        </w:tc>
        <w:tc>
          <w:tcPr>
            <w:tcW w:type="dxa" w:w="5256"/>
          </w:tcPr>
          <w:p>
            <w:r/>
            <w:r>
              <w:rPr>
                <w:b w:val="0"/>
              </w:rPr>
              <w:t>Train-only inner yearly walk-forward with minimum 250 train rows and 30 validation rows.</w:t>
            </w:r>
          </w:p>
        </w:tc>
      </w:tr>
      <w:tr>
        <w:tc>
          <w:tcPr>
            <w:tcW w:type="dxa" w:w="5256"/>
          </w:tcPr>
          <w:p>
            <w:r/>
            <w:r>
              <w:rPr>
                <w:b w:val="0"/>
              </w:rPr>
              <w:t>Outer OOS rule</w:t>
            </w:r>
          </w:p>
        </w:tc>
        <w:tc>
          <w:tcPr>
            <w:tcW w:type="dxa" w:w="5256"/>
          </w:tcPr>
          <w:p>
            <w:r/>
            <w:r>
              <w:rPr>
                <w:b w:val="0"/>
              </w:rPr>
              <w:t>Expanding yearly out-of-sample: train rows precede the test year and pass the target-window leakage guard.</w:t>
            </w:r>
          </w:p>
        </w:tc>
      </w:tr>
      <w:tr>
        <w:tc>
          <w:tcPr>
            <w:tcW w:type="dxa" w:w="5256"/>
          </w:tcPr>
          <w:p>
            <w:r/>
            <w:r>
              <w:rPr>
                <w:b w:val="0"/>
              </w:rPr>
              <w:t>No-blend rule</w:t>
            </w:r>
          </w:p>
        </w:tc>
        <w:tc>
          <w:tcPr>
            <w:tcW w:type="dxa" w:w="5256"/>
          </w:tcPr>
          <w:p>
            <w:r/>
            <w:r>
              <w:rPr>
                <w:b w:val="0"/>
              </w:rPr>
              <w:t>No blending with har_downside_v1 or any other forecast candidate.</w:t>
            </w:r>
          </w:p>
        </w:tc>
      </w:tr>
      <w:tr>
        <w:tc>
          <w:tcPr>
            <w:tcW w:type="dxa" w:w="5256"/>
          </w:tcPr>
          <w:p>
            <w:r/>
            <w:r>
              <w:rPr>
                <w:b w:val="0"/>
              </w:rPr>
              <w:t>No-threshold-grid rule</w:t>
            </w:r>
          </w:p>
        </w:tc>
        <w:tc>
          <w:tcPr>
            <w:tcW w:type="dxa" w:w="5256"/>
          </w:tcPr>
          <w:p>
            <w:r/>
            <w:r>
              <w:rPr>
                <w:b w:val="0"/>
              </w:rPr>
              <w:t>The denominator lock test did not tune signal thresholds.</w:t>
            </w:r>
          </w:p>
        </w:tc>
      </w:tr>
    </w:tbl>
    <w:p>
      <w:pPr>
        <w:pStyle w:val="Heading2"/>
      </w:pPr>
      <w:r>
        <w:rPr>
          <w:b w:val="0"/>
        </w:rPr>
        <w:t>2.5 Locked feature interpretation</w:t>
      </w:r>
    </w:p>
    <w:p>
      <w:r>
        <w:rPr>
          <w:b w:val="0"/>
        </w:rPr>
        <w:t>The locked unified feature set is downside- and shock-oriented. It intentionally excludes candidate_min_return_* fields, implied-volatility fields, VRP/z-score fields, RSI, option/pricing fields, trade outcomes, bucket labels, and tenor labels.</w:t>
      </w:r>
    </w:p>
    <w:tbl>
      <w:tblPr>
        <w:tblStyle w:val="TableGrid"/>
        <w:tblW w:type="auto" w:w="0"/>
        <w:tblLook w:firstColumn="1" w:firstRow="1" w:lastColumn="0" w:lastRow="0" w:noHBand="0" w:noVBand="1" w:val="04A0"/>
      </w:tblPr>
      <w:tblGrid>
        <w:gridCol w:w="3504"/>
        <w:gridCol w:w="3504"/>
        <w:gridCol w:w="3504"/>
      </w:tblGrid>
      <w:tr>
        <w:tc>
          <w:tcPr>
            <w:tcW w:type="dxa" w:w="3504"/>
          </w:tcPr>
          <w:p>
            <w:r/>
            <w:r>
              <w:rPr>
                <w:b/>
              </w:rPr>
              <w:t>Feature group</w:t>
            </w:r>
          </w:p>
        </w:tc>
        <w:tc>
          <w:tcPr>
            <w:tcW w:type="dxa" w:w="3504"/>
          </w:tcPr>
          <w:p>
            <w:r/>
            <w:r>
              <w:rPr>
                <w:b/>
              </w:rPr>
              <w:t>Features</w:t>
            </w:r>
          </w:p>
        </w:tc>
        <w:tc>
          <w:tcPr>
            <w:tcW w:type="dxa" w:w="3504"/>
          </w:tcPr>
          <w:p>
            <w:r/>
            <w:r>
              <w:rPr>
                <w:b/>
              </w:rPr>
              <w:t>Interpretation</w:t>
            </w:r>
          </w:p>
        </w:tc>
      </w:tr>
      <w:tr>
        <w:tc>
          <w:tcPr>
            <w:tcW w:type="dxa" w:w="3504"/>
          </w:tcPr>
          <w:p>
            <w:r/>
            <w:r>
              <w:rPr>
                <w:b w:val="0"/>
              </w:rPr>
              <w:t>Downside realized-variance levels</w:t>
            </w:r>
          </w:p>
        </w:tc>
        <w:tc>
          <w:tcPr>
            <w:tcW w:type="dxa" w:w="3504"/>
          </w:tcPr>
          <w:p>
            <w:r/>
            <w:r>
              <w:rPr>
                <w:b w:val="0"/>
              </w:rPr>
              <w:t>candidate_log_downside_rv_5d, candidate_log_downside_rv_10d, candidate_log_downside_rv_21d, candidate_log_downside_rv_63d</w:t>
            </w:r>
          </w:p>
        </w:tc>
        <w:tc>
          <w:tcPr>
            <w:tcW w:type="dxa" w:w="3504"/>
          </w:tcPr>
          <w:p>
            <w:r/>
            <w:r>
              <w:rPr>
                <w:b w:val="0"/>
              </w:rPr>
              <w:t>Captures the recent downside-variance state from fast to three-month windows.</w:t>
            </w:r>
          </w:p>
        </w:tc>
      </w:tr>
      <w:tr>
        <w:tc>
          <w:tcPr>
            <w:tcW w:type="dxa" w:w="3504"/>
          </w:tcPr>
          <w:p>
            <w:r/>
            <w:r>
              <w:rPr>
                <w:b w:val="0"/>
              </w:rPr>
              <w:t>Downside-share state</w:t>
            </w:r>
          </w:p>
        </w:tc>
        <w:tc>
          <w:tcPr>
            <w:tcW w:type="dxa" w:w="3504"/>
          </w:tcPr>
          <w:p>
            <w:r/>
            <w:r>
              <w:rPr>
                <w:b w:val="0"/>
              </w:rPr>
              <w:t>candidate_downside_share_5d, candidate_downside_share_10d</w:t>
            </w:r>
          </w:p>
        </w:tc>
        <w:tc>
          <w:tcPr>
            <w:tcW w:type="dxa" w:w="3504"/>
          </w:tcPr>
          <w:p>
            <w:r/>
            <w:r>
              <w:rPr>
                <w:b w:val="0"/>
              </w:rPr>
              <w:t>Measures the share of recent variance attributable to negative-return days.</w:t>
            </w:r>
          </w:p>
        </w:tc>
      </w:tr>
      <w:tr>
        <w:tc>
          <w:tcPr>
            <w:tcW w:type="dxa" w:w="3504"/>
          </w:tcPr>
          <w:p>
            <w:r/>
            <w:r>
              <w:rPr>
                <w:b w:val="0"/>
              </w:rPr>
              <w:t>Recent shock proxies</w:t>
            </w:r>
          </w:p>
        </w:tc>
        <w:tc>
          <w:tcPr>
            <w:tcW w:type="dxa" w:w="3504"/>
          </w:tcPr>
          <w:p>
            <w:r/>
            <w:r>
              <w:rPr>
                <w:b w:val="0"/>
              </w:rPr>
              <w:t>candidate_max_abs_return_3d, candidate_max_abs_return_5d, candidate_max_abs_return_10d</w:t>
            </w:r>
          </w:p>
        </w:tc>
        <w:tc>
          <w:tcPr>
            <w:tcW w:type="dxa" w:w="3504"/>
          </w:tcPr>
          <w:p>
            <w:r/>
            <w:r>
              <w:rPr>
                <w:b w:val="0"/>
              </w:rPr>
              <w:t>Captures recent absolute-return shocks without using the explicitly excluded min-return features.</w:t>
            </w:r>
          </w:p>
        </w:tc>
      </w:tr>
    </w:tbl>
    <w:p>
      <w:r>
        <w:rPr>
          <w:b w:val="0"/>
        </w:rPr>
        <w:t>Important implementation note: rv21d_vol_pct remains a separate signal volatility-floor variable. It is not the denominator forecast and should not be substituted for forecast_variance_candidate.</w:t>
      </w:r>
    </w:p>
    <w:p>
      <w:pPr>
        <w:pStyle w:val="Heading1"/>
      </w:pPr>
      <w:r>
        <w:t>3. Final Core / Secondary signal taxonomy</w:t>
      </w:r>
    </w:p>
    <w:p>
      <w:r>
        <w:t>The final sizing branch signal taxonomy uses active Core Middle/Back and active Secondary Front/Middle/Back. Tertiary is removed/inactive.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80"/>
            <w:vAlign w:val="center"/>
            <w:shd w:fill="D9EAF7"/>
          </w:tcPr>
          <w:p>
            <w:r/>
            <w:r>
              <w:rPr>
                <w:b/>
                <w:sz w:val="14"/>
              </w:rPr>
              <w:t>Layer</w:t>
            </w:r>
          </w:p>
        </w:tc>
        <w:tc>
          <w:tcPr>
            <w:tcW w:type="dxa" w:w="1224"/>
            <w:vAlign w:val="center"/>
            <w:shd w:fill="D9EAF7"/>
          </w:tcPr>
          <w:p>
            <w:r/>
            <w:r>
              <w:rPr>
                <w:b/>
                <w:sz w:val="14"/>
              </w:rPr>
              <w:t>Bucket</w:t>
            </w:r>
          </w:p>
        </w:tc>
        <w:tc>
          <w:tcPr>
            <w:tcW w:type="dxa" w:w="1440"/>
            <w:vAlign w:val="center"/>
            <w:shd w:fill="D9EAF7"/>
          </w:tcPr>
          <w:p>
            <w:r/>
            <w:r>
              <w:rPr>
                <w:b/>
                <w:sz w:val="14"/>
              </w:rPr>
              <w:t>Tenors</w:t>
            </w:r>
          </w:p>
        </w:tc>
        <w:tc>
          <w:tcPr>
            <w:tcW w:type="dxa" w:w="1224"/>
            <w:vAlign w:val="center"/>
            <w:shd w:fill="D9EAF7"/>
          </w:tcPr>
          <w:p>
            <w:r/>
            <w:r>
              <w:rPr>
                <w:b/>
                <w:sz w:val="14"/>
              </w:rPr>
              <w:t>model_vrp_log</w:t>
            </w:r>
          </w:p>
        </w:tc>
        <w:tc>
          <w:tcPr>
            <w:tcW w:type="dxa" w:w="936"/>
            <w:vAlign w:val="center"/>
            <w:shd w:fill="D9EAF7"/>
          </w:tcPr>
          <w:p>
            <w:r/>
            <w:r>
              <w:rPr>
                <w:b/>
                <w:sz w:val="14"/>
              </w:rPr>
              <w:t>z 3m</w:t>
            </w:r>
          </w:p>
        </w:tc>
        <w:tc>
          <w:tcPr>
            <w:tcW w:type="dxa" w:w="936"/>
            <w:vAlign w:val="center"/>
            <w:shd w:fill="D9EAF7"/>
          </w:tcPr>
          <w:p>
            <w:r/>
            <w:r>
              <w:rPr>
                <w:b/>
                <w:sz w:val="14"/>
              </w:rPr>
              <w:t>z 1y</w:t>
            </w:r>
          </w:p>
        </w:tc>
        <w:tc>
          <w:tcPr>
            <w:tcW w:type="dxa" w:w="936"/>
            <w:vAlign w:val="center"/>
            <w:shd w:fill="D9EAF7"/>
          </w:tcPr>
          <w:p>
            <w:r/>
            <w:r>
              <w:rPr>
                <w:b/>
                <w:sz w:val="14"/>
              </w:rPr>
              <w:t>RSI14</w:t>
            </w:r>
          </w:p>
        </w:tc>
        <w:tc>
          <w:tcPr>
            <w:tcW w:type="dxa" w:w="1296"/>
            <w:vAlign w:val="center"/>
            <w:shd w:fill="D9EAF7"/>
          </w:tcPr>
          <w:p>
            <w:r/>
            <w:r>
              <w:rPr>
                <w:b/>
                <w:sz w:val="14"/>
              </w:rPr>
              <w:t>rv21d_vol_pct</w:t>
            </w:r>
          </w:p>
        </w:tc>
      </w:tr>
      <w:tr>
        <w:tc>
          <w:tcPr>
            <w:tcW w:type="dxa" w:w="1080"/>
            <w:vAlign w:val="center"/>
          </w:tcPr>
          <w:p>
            <w:r/>
            <w:r>
              <w:rPr>
                <w:b w:val="0"/>
                <w:sz w:val="14"/>
              </w:rPr>
              <w:t>Core</w:t>
            </w:r>
          </w:p>
        </w:tc>
        <w:tc>
          <w:tcPr>
            <w:tcW w:type="dxa" w:w="1224"/>
            <w:vAlign w:val="center"/>
          </w:tcPr>
          <w:p>
            <w:r/>
            <w:r>
              <w:rPr>
                <w:b w:val="0"/>
                <w:sz w:val="14"/>
              </w:rPr>
              <w:t>Middle</w:t>
            </w:r>
          </w:p>
        </w:tc>
        <w:tc>
          <w:tcPr>
            <w:tcW w:type="dxa" w:w="1440"/>
            <w:vAlign w:val="center"/>
          </w:tcPr>
          <w:p>
            <w:r/>
            <w:r>
              <w:rPr>
                <w:b w:val="0"/>
                <w:sz w:val="14"/>
              </w:rPr>
              <w:t>21, 24</w:t>
            </w:r>
          </w:p>
        </w:tc>
        <w:tc>
          <w:tcPr>
            <w:tcW w:type="dxa" w:w="1224"/>
            <w:vAlign w:val="center"/>
          </w:tcPr>
          <w:p>
            <w:r/>
            <w:r>
              <w:rPr>
                <w:b w:val="0"/>
                <w:sz w:val="14"/>
              </w:rPr>
              <w:t>&gt; 0.65</w:t>
            </w:r>
          </w:p>
        </w:tc>
        <w:tc>
          <w:tcPr>
            <w:tcW w:type="dxa" w:w="936"/>
            <w:vAlign w:val="center"/>
          </w:tcPr>
          <w:p>
            <w:r/>
            <w:r>
              <w:rPr>
                <w:b w:val="0"/>
                <w:sz w:val="14"/>
              </w:rPr>
              <w:t>&gt; 0.70</w:t>
            </w:r>
          </w:p>
        </w:tc>
        <w:tc>
          <w:tcPr>
            <w:tcW w:type="dxa" w:w="936"/>
            <w:vAlign w:val="center"/>
          </w:tcPr>
          <w:p>
            <w:r/>
            <w:r>
              <w:rPr>
                <w:b w:val="0"/>
                <w:sz w:val="14"/>
              </w:rPr>
              <w:t>&gt; 0.70</w:t>
            </w:r>
          </w:p>
        </w:tc>
        <w:tc>
          <w:tcPr>
            <w:tcW w:type="dxa" w:w="936"/>
            <w:vAlign w:val="center"/>
          </w:tcPr>
          <w:p>
            <w:r/>
            <w:r>
              <w:rPr>
                <w:b w:val="0"/>
                <w:sz w:val="14"/>
              </w:rPr>
              <w:t>&lt; 70</w:t>
            </w:r>
          </w:p>
        </w:tc>
        <w:tc>
          <w:tcPr>
            <w:tcW w:type="dxa" w:w="1296"/>
            <w:vAlign w:val="center"/>
          </w:tcPr>
          <w:p>
            <w:r/>
            <w:r>
              <w:rPr>
                <w:b w:val="0"/>
                <w:sz w:val="14"/>
              </w:rPr>
              <w:t>&gt; 8.5</w:t>
            </w:r>
          </w:p>
        </w:tc>
      </w:tr>
      <w:tr>
        <w:tc>
          <w:tcPr>
            <w:tcW w:type="dxa" w:w="1080"/>
            <w:vAlign w:val="center"/>
          </w:tcPr>
          <w:p>
            <w:r/>
            <w:r>
              <w:rPr>
                <w:b w:val="0"/>
                <w:sz w:val="14"/>
              </w:rPr>
              <w:t>Core</w:t>
            </w:r>
          </w:p>
        </w:tc>
        <w:tc>
          <w:tcPr>
            <w:tcW w:type="dxa" w:w="1224"/>
            <w:vAlign w:val="center"/>
          </w:tcPr>
          <w:p>
            <w:r/>
            <w:r>
              <w:rPr>
                <w:b w:val="0"/>
                <w:sz w:val="14"/>
              </w:rPr>
              <w:t>Back</w:t>
            </w:r>
          </w:p>
        </w:tc>
        <w:tc>
          <w:tcPr>
            <w:tcW w:type="dxa" w:w="1440"/>
            <w:vAlign w:val="center"/>
          </w:tcPr>
          <w:p>
            <w:r/>
            <w:r>
              <w:rPr>
                <w:b w:val="0"/>
                <w:sz w:val="14"/>
              </w:rPr>
              <w:t>27, 30, 33</w:t>
            </w:r>
          </w:p>
        </w:tc>
        <w:tc>
          <w:tcPr>
            <w:tcW w:type="dxa" w:w="1224"/>
            <w:vAlign w:val="center"/>
          </w:tcPr>
          <w:p>
            <w:r/>
            <w:r>
              <w:rPr>
                <w:b w:val="0"/>
                <w:sz w:val="14"/>
              </w:rPr>
              <w:t>&gt; 0.70</w:t>
            </w:r>
          </w:p>
        </w:tc>
        <w:tc>
          <w:tcPr>
            <w:tcW w:type="dxa" w:w="936"/>
            <w:vAlign w:val="center"/>
          </w:tcPr>
          <w:p>
            <w:r/>
            <w:r>
              <w:rPr>
                <w:b w:val="0"/>
                <w:sz w:val="14"/>
              </w:rPr>
              <w:t>&gt; 0.70</w:t>
            </w:r>
          </w:p>
        </w:tc>
        <w:tc>
          <w:tcPr>
            <w:tcW w:type="dxa" w:w="936"/>
            <w:vAlign w:val="center"/>
          </w:tcPr>
          <w:p>
            <w:r/>
            <w:r>
              <w:rPr>
                <w:b w:val="0"/>
                <w:sz w:val="14"/>
              </w:rPr>
              <w:t>&gt; 0.70</w:t>
            </w:r>
          </w:p>
        </w:tc>
        <w:tc>
          <w:tcPr>
            <w:tcW w:type="dxa" w:w="936"/>
            <w:vAlign w:val="center"/>
          </w:tcPr>
          <w:p>
            <w:r/>
            <w:r>
              <w:rPr>
                <w:b w:val="0"/>
                <w:sz w:val="14"/>
              </w:rPr>
              <w:t>&lt; 70</w:t>
            </w:r>
          </w:p>
        </w:tc>
        <w:tc>
          <w:tcPr>
            <w:tcW w:type="dxa" w:w="1296"/>
            <w:vAlign w:val="center"/>
          </w:tcPr>
          <w:p>
            <w:r/>
            <w:r>
              <w:rPr>
                <w:b w:val="0"/>
                <w:sz w:val="14"/>
              </w:rPr>
              <w:t>&gt; 8.5</w:t>
            </w:r>
          </w:p>
        </w:tc>
      </w:tr>
      <w:tr>
        <w:tc>
          <w:tcPr>
            <w:tcW w:type="dxa" w:w="1080"/>
            <w:vAlign w:val="center"/>
          </w:tcPr>
          <w:p>
            <w:r/>
            <w:r>
              <w:rPr>
                <w:b w:val="0"/>
                <w:sz w:val="14"/>
              </w:rPr>
              <w:t>Secondary</w:t>
            </w:r>
          </w:p>
        </w:tc>
        <w:tc>
          <w:tcPr>
            <w:tcW w:type="dxa" w:w="1224"/>
            <w:vAlign w:val="center"/>
          </w:tcPr>
          <w:p>
            <w:r/>
            <w:r>
              <w:rPr>
                <w:b w:val="0"/>
                <w:sz w:val="14"/>
              </w:rPr>
              <w:t>Front</w:t>
            </w:r>
          </w:p>
        </w:tc>
        <w:tc>
          <w:tcPr>
            <w:tcW w:type="dxa" w:w="1440"/>
            <w:vAlign w:val="center"/>
          </w:tcPr>
          <w:p>
            <w:r/>
            <w:r>
              <w:rPr>
                <w:b w:val="0"/>
                <w:sz w:val="14"/>
              </w:rPr>
              <w:t>12, 15, 18</w:t>
            </w:r>
          </w:p>
        </w:tc>
        <w:tc>
          <w:tcPr>
            <w:tcW w:type="dxa" w:w="1224"/>
            <w:vAlign w:val="center"/>
          </w:tcPr>
          <w:p>
            <w:r/>
            <w:r>
              <w:rPr>
                <w:b w:val="0"/>
                <w:sz w:val="14"/>
              </w:rPr>
              <w:t>&gt; 0.65</w:t>
            </w:r>
          </w:p>
        </w:tc>
        <w:tc>
          <w:tcPr>
            <w:tcW w:type="dxa" w:w="936"/>
            <w:vAlign w:val="center"/>
          </w:tcPr>
          <w:p>
            <w:r/>
            <w:r>
              <w:rPr>
                <w:b w:val="0"/>
                <w:sz w:val="14"/>
              </w:rPr>
              <w:t>&gt; 0.20</w:t>
            </w:r>
          </w:p>
        </w:tc>
        <w:tc>
          <w:tcPr>
            <w:tcW w:type="dxa" w:w="936"/>
            <w:vAlign w:val="center"/>
          </w:tcPr>
          <w:p>
            <w:r/>
            <w:r>
              <w:rPr>
                <w:b w:val="0"/>
                <w:sz w:val="14"/>
              </w:rPr>
              <w:t>&gt; 0.20</w:t>
            </w:r>
          </w:p>
        </w:tc>
        <w:tc>
          <w:tcPr>
            <w:tcW w:type="dxa" w:w="936"/>
            <w:vAlign w:val="center"/>
          </w:tcPr>
          <w:p>
            <w:r/>
            <w:r>
              <w:rPr>
                <w:b w:val="0"/>
                <w:sz w:val="14"/>
              </w:rPr>
              <w:t>&lt; 75</w:t>
            </w:r>
          </w:p>
        </w:tc>
        <w:tc>
          <w:tcPr>
            <w:tcW w:type="dxa" w:w="1296"/>
            <w:vAlign w:val="center"/>
          </w:tcPr>
          <w:p>
            <w:r/>
            <w:r>
              <w:rPr>
                <w:b w:val="0"/>
                <w:sz w:val="14"/>
              </w:rPr>
              <w:t>&gt; 7.0</w:t>
            </w:r>
          </w:p>
        </w:tc>
      </w:tr>
      <w:tr>
        <w:tc>
          <w:tcPr>
            <w:tcW w:type="dxa" w:w="1080"/>
            <w:vAlign w:val="center"/>
          </w:tcPr>
          <w:p>
            <w:r/>
            <w:r>
              <w:rPr>
                <w:b w:val="0"/>
                <w:sz w:val="14"/>
              </w:rPr>
              <w:t>Secondary</w:t>
            </w:r>
          </w:p>
        </w:tc>
        <w:tc>
          <w:tcPr>
            <w:tcW w:type="dxa" w:w="1224"/>
            <w:vAlign w:val="center"/>
          </w:tcPr>
          <w:p>
            <w:r/>
            <w:r>
              <w:rPr>
                <w:b w:val="0"/>
                <w:sz w:val="14"/>
              </w:rPr>
              <w:t>Middle</w:t>
            </w:r>
          </w:p>
        </w:tc>
        <w:tc>
          <w:tcPr>
            <w:tcW w:type="dxa" w:w="1440"/>
            <w:vAlign w:val="center"/>
          </w:tcPr>
          <w:p>
            <w:r/>
            <w:r>
              <w:rPr>
                <w:b w:val="0"/>
                <w:sz w:val="14"/>
              </w:rPr>
              <w:t>21, 24</w:t>
            </w:r>
          </w:p>
        </w:tc>
        <w:tc>
          <w:tcPr>
            <w:tcW w:type="dxa" w:w="1224"/>
            <w:vAlign w:val="center"/>
          </w:tcPr>
          <w:p>
            <w:r/>
            <w:r>
              <w:rPr>
                <w:b w:val="0"/>
                <w:sz w:val="14"/>
              </w:rPr>
              <w:t>&gt; 0.65</w:t>
            </w:r>
          </w:p>
        </w:tc>
        <w:tc>
          <w:tcPr>
            <w:tcW w:type="dxa" w:w="936"/>
            <w:vAlign w:val="center"/>
          </w:tcPr>
          <w:p>
            <w:r/>
            <w:r>
              <w:rPr>
                <w:b w:val="0"/>
                <w:sz w:val="14"/>
              </w:rPr>
              <w:t>&gt; 0.20</w:t>
            </w:r>
          </w:p>
        </w:tc>
        <w:tc>
          <w:tcPr>
            <w:tcW w:type="dxa" w:w="936"/>
            <w:vAlign w:val="center"/>
          </w:tcPr>
          <w:p>
            <w:r/>
            <w:r>
              <w:rPr>
                <w:b w:val="0"/>
                <w:sz w:val="14"/>
              </w:rPr>
              <w:t>&gt; 0.20</w:t>
            </w:r>
          </w:p>
        </w:tc>
        <w:tc>
          <w:tcPr>
            <w:tcW w:type="dxa" w:w="936"/>
            <w:vAlign w:val="center"/>
          </w:tcPr>
          <w:p>
            <w:r/>
            <w:r>
              <w:rPr>
                <w:b w:val="0"/>
                <w:sz w:val="14"/>
              </w:rPr>
              <w:t>&lt; 76</w:t>
            </w:r>
          </w:p>
        </w:tc>
        <w:tc>
          <w:tcPr>
            <w:tcW w:type="dxa" w:w="1296"/>
            <w:vAlign w:val="center"/>
          </w:tcPr>
          <w:p>
            <w:r/>
            <w:r>
              <w:rPr>
                <w:b w:val="0"/>
                <w:sz w:val="14"/>
              </w:rPr>
              <w:t>&gt; 7.0</w:t>
            </w:r>
          </w:p>
        </w:tc>
      </w:tr>
      <w:tr>
        <w:tc>
          <w:tcPr>
            <w:tcW w:type="dxa" w:w="1080"/>
            <w:vAlign w:val="center"/>
          </w:tcPr>
          <w:p>
            <w:r/>
            <w:r>
              <w:rPr>
                <w:b w:val="0"/>
                <w:sz w:val="14"/>
              </w:rPr>
              <w:t>Secondary</w:t>
            </w:r>
          </w:p>
        </w:tc>
        <w:tc>
          <w:tcPr>
            <w:tcW w:type="dxa" w:w="1224"/>
            <w:vAlign w:val="center"/>
          </w:tcPr>
          <w:p>
            <w:r/>
            <w:r>
              <w:rPr>
                <w:b w:val="0"/>
                <w:sz w:val="14"/>
              </w:rPr>
              <w:t>Back</w:t>
            </w:r>
          </w:p>
        </w:tc>
        <w:tc>
          <w:tcPr>
            <w:tcW w:type="dxa" w:w="1440"/>
            <w:vAlign w:val="center"/>
          </w:tcPr>
          <w:p>
            <w:r/>
            <w:r>
              <w:rPr>
                <w:b w:val="0"/>
                <w:sz w:val="14"/>
              </w:rPr>
              <w:t>27, 30, 33</w:t>
            </w:r>
          </w:p>
        </w:tc>
        <w:tc>
          <w:tcPr>
            <w:tcW w:type="dxa" w:w="1224"/>
            <w:vAlign w:val="center"/>
          </w:tcPr>
          <w:p>
            <w:r/>
            <w:r>
              <w:rPr>
                <w:b w:val="0"/>
                <w:sz w:val="14"/>
              </w:rPr>
              <w:t>&gt; 0.65</w:t>
            </w:r>
          </w:p>
        </w:tc>
        <w:tc>
          <w:tcPr>
            <w:tcW w:type="dxa" w:w="936"/>
            <w:vAlign w:val="center"/>
          </w:tcPr>
          <w:p>
            <w:r/>
            <w:r>
              <w:rPr>
                <w:b w:val="0"/>
                <w:sz w:val="14"/>
              </w:rPr>
              <w:t>&gt; 0.00</w:t>
            </w:r>
          </w:p>
        </w:tc>
        <w:tc>
          <w:tcPr>
            <w:tcW w:type="dxa" w:w="936"/>
            <w:vAlign w:val="center"/>
          </w:tcPr>
          <w:p>
            <w:r/>
            <w:r>
              <w:rPr>
                <w:b w:val="0"/>
                <w:sz w:val="14"/>
              </w:rPr>
              <w:t>&gt; 0.00</w:t>
            </w:r>
          </w:p>
        </w:tc>
        <w:tc>
          <w:tcPr>
            <w:tcW w:type="dxa" w:w="936"/>
            <w:vAlign w:val="center"/>
          </w:tcPr>
          <w:p>
            <w:r/>
            <w:r>
              <w:rPr>
                <w:b w:val="0"/>
                <w:sz w:val="14"/>
              </w:rPr>
              <w:t>&lt; 77</w:t>
            </w:r>
          </w:p>
        </w:tc>
        <w:tc>
          <w:tcPr>
            <w:tcW w:type="dxa" w:w="1296"/>
            <w:vAlign w:val="center"/>
          </w:tcPr>
          <w:p>
            <w:r/>
            <w:r>
              <w:rPr>
                <w:b w:val="0"/>
                <w:sz w:val="14"/>
              </w:rPr>
              <w:t>&gt; 6.5</w:t>
            </w:r>
          </w:p>
        </w:tc>
      </w:tr>
    </w:tbl>
    <w:p/>
    <w:p>
      <w:pPr>
        <w:pStyle w:val="Heading2"/>
      </w:pPr>
      <w:r>
        <w:t>3.1 Inactive signal rules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440"/>
            <w:vAlign w:val="center"/>
            <w:shd w:fill="D9EAF7"/>
          </w:tcPr>
          <w:p>
            <w:r/>
            <w:r>
              <w:rPr>
                <w:b/>
                <w:sz w:val="16"/>
              </w:rPr>
              <w:t>Layer</w:t>
            </w:r>
          </w:p>
        </w:tc>
        <w:tc>
          <w:tcPr>
            <w:tcW w:type="dxa" w:w="1440"/>
            <w:vAlign w:val="center"/>
            <w:shd w:fill="D9EAF7"/>
          </w:tcPr>
          <w:p>
            <w:r/>
            <w:r>
              <w:rPr>
                <w:b/>
                <w:sz w:val="16"/>
              </w:rPr>
              <w:t>Bucket</w:t>
            </w:r>
          </w:p>
        </w:tc>
        <w:tc>
          <w:tcPr>
            <w:tcW w:type="dxa" w:w="1728"/>
            <w:vAlign w:val="center"/>
            <w:shd w:fill="D9EAF7"/>
          </w:tcPr>
          <w:p>
            <w:r/>
            <w:r>
              <w:rPr>
                <w:b/>
                <w:sz w:val="16"/>
              </w:rPr>
              <w:t>Tenors</w:t>
            </w:r>
          </w:p>
        </w:tc>
        <w:tc>
          <w:tcPr>
            <w:tcW w:type="dxa" w:w="5760"/>
            <w:vAlign w:val="center"/>
            <w:shd w:fill="D9EAF7"/>
          </w:tcPr>
          <w:p>
            <w:r/>
            <w:r>
              <w:rPr>
                <w:b/>
                <w:sz w:val="16"/>
              </w:rPr>
              <w:t>Status</w:t>
            </w:r>
          </w:p>
        </w:tc>
      </w:tr>
      <w:tr>
        <w:tc>
          <w:tcPr>
            <w:tcW w:type="dxa" w:w="1440"/>
            <w:vAlign w:val="center"/>
          </w:tcPr>
          <w:p>
            <w:r/>
            <w:r>
              <w:rPr>
                <w:b w:val="0"/>
                <w:sz w:val="16"/>
              </w:rPr>
              <w:t>Core</w:t>
            </w:r>
          </w:p>
        </w:tc>
        <w:tc>
          <w:tcPr>
            <w:tcW w:type="dxa" w:w="1440"/>
            <w:vAlign w:val="center"/>
          </w:tcPr>
          <w:p>
            <w:r/>
            <w:r>
              <w:rPr>
                <w:b w:val="0"/>
                <w:sz w:val="16"/>
              </w:rPr>
              <w:t>Front</w:t>
            </w:r>
          </w:p>
        </w:tc>
        <w:tc>
          <w:tcPr>
            <w:tcW w:type="dxa" w:w="1728"/>
            <w:vAlign w:val="center"/>
          </w:tcPr>
          <w:p>
            <w:r/>
            <w:r>
              <w:rPr>
                <w:b w:val="0"/>
                <w:sz w:val="16"/>
              </w:rPr>
              <w:t>12, 15, 18</w:t>
            </w:r>
          </w:p>
        </w:tc>
        <w:tc>
          <w:tcPr>
            <w:tcW w:type="dxa" w:w="5760"/>
            <w:vAlign w:val="center"/>
          </w:tcPr>
          <w:p>
            <w:r/>
            <w:r>
              <w:rPr>
                <w:b w:val="0"/>
                <w:sz w:val="16"/>
              </w:rPr>
              <w:t>Inactive in final sizing branch</w:t>
            </w:r>
          </w:p>
        </w:tc>
      </w:tr>
      <w:tr>
        <w:tc>
          <w:tcPr>
            <w:tcW w:type="dxa" w:w="1440"/>
            <w:vAlign w:val="center"/>
          </w:tcPr>
          <w:p>
            <w:r/>
            <w:r>
              <w:rPr>
                <w:b w:val="0"/>
                <w:sz w:val="16"/>
              </w:rPr>
              <w:t>Tertiary</w:t>
            </w:r>
          </w:p>
        </w:tc>
        <w:tc>
          <w:tcPr>
            <w:tcW w:type="dxa" w:w="1440"/>
            <w:vAlign w:val="center"/>
          </w:tcPr>
          <w:p>
            <w:r/>
            <w:r>
              <w:rPr>
                <w:b w:val="0"/>
                <w:sz w:val="16"/>
              </w:rPr>
              <w:t>Front</w:t>
            </w:r>
          </w:p>
        </w:tc>
        <w:tc>
          <w:tcPr>
            <w:tcW w:type="dxa" w:w="1728"/>
            <w:vAlign w:val="center"/>
          </w:tcPr>
          <w:p>
            <w:r/>
            <w:r>
              <w:rPr>
                <w:b w:val="0"/>
                <w:sz w:val="16"/>
              </w:rPr>
              <w:t>12, 15, 18</w:t>
            </w:r>
          </w:p>
        </w:tc>
        <w:tc>
          <w:tcPr>
            <w:tcW w:type="dxa" w:w="5760"/>
            <w:vAlign w:val="center"/>
          </w:tcPr>
          <w:p>
            <w:r/>
            <w:r>
              <w:rPr>
                <w:b w:val="0"/>
                <w:sz w:val="16"/>
              </w:rPr>
              <w:t>Removed/inactive; former Tertiary Front promoted into Secondary Front taxonomy</w:t>
            </w:r>
          </w:p>
        </w:tc>
      </w:tr>
    </w:tbl>
    <w:p/>
    <w:p>
      <w:pPr>
        <w:pStyle w:val="Heading1"/>
      </w:pPr>
      <w:r>
        <w:t>4. Final one-trade-per-day sizing lock</w:t>
      </w:r>
    </w:p>
    <w:p>
      <w:r>
        <w:t>The final locked program is a one-trade-per-day naked short put tenor-selection and sizing program. Each qualifying sleeve receives its locked size. The selected trade for the date is the qualifying candidate with the highest locked size.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168"/>
            <w:vAlign w:val="center"/>
            <w:shd w:fill="D9EAF7"/>
          </w:tcPr>
          <w:p>
            <w:r/>
            <w:r>
              <w:rPr>
                <w:b/>
                <w:sz w:val="16"/>
              </w:rPr>
              <w:t>Sleeve</w:t>
            </w:r>
          </w:p>
        </w:tc>
        <w:tc>
          <w:tcPr>
            <w:tcW w:type="dxa" w:w="1440"/>
            <w:vAlign w:val="center"/>
            <w:shd w:fill="D9EAF7"/>
          </w:tcPr>
          <w:p>
            <w:r/>
            <w:r>
              <w:rPr>
                <w:b/>
                <w:sz w:val="16"/>
              </w:rPr>
              <w:t>Layer</w:t>
            </w:r>
          </w:p>
        </w:tc>
        <w:tc>
          <w:tcPr>
            <w:tcW w:type="dxa" w:w="1440"/>
            <w:vAlign w:val="center"/>
            <w:shd w:fill="D9EAF7"/>
          </w:tcPr>
          <w:p>
            <w:r/>
            <w:r>
              <w:rPr>
                <w:b/>
                <w:sz w:val="16"/>
              </w:rPr>
              <w:t>Bucket</w:t>
            </w:r>
          </w:p>
        </w:tc>
        <w:tc>
          <w:tcPr>
            <w:tcW w:type="dxa" w:w="864"/>
            <w:vAlign w:val="center"/>
            <w:shd w:fill="D9EAF7"/>
          </w:tcPr>
          <w:p>
            <w:r/>
            <w:r>
              <w:rPr>
                <w:b/>
                <w:sz w:val="16"/>
              </w:rPr>
              <w:t>DTE</w:t>
            </w:r>
          </w:p>
        </w:tc>
        <w:tc>
          <w:tcPr>
            <w:tcW w:type="dxa" w:w="1296"/>
            <w:vAlign w:val="center"/>
            <w:shd w:fill="D9EAF7"/>
          </w:tcPr>
          <w:p>
            <w:r/>
            <w:r>
              <w:rPr>
                <w:b/>
                <w:sz w:val="16"/>
              </w:rPr>
              <w:t>Locked size</w:t>
            </w:r>
          </w:p>
        </w:tc>
      </w:tr>
      <w:tr>
        <w:tc>
          <w:tcPr>
            <w:tcW w:type="dxa" w:w="3168"/>
            <w:vAlign w:val="center"/>
          </w:tcPr>
          <w:p>
            <w:r/>
            <w:r>
              <w:rPr>
                <w:b w:val="0"/>
                <w:sz w:val="16"/>
              </w:rPr>
              <w:t>Core_Middle_21D</w:t>
            </w:r>
          </w:p>
        </w:tc>
        <w:tc>
          <w:tcPr>
            <w:tcW w:type="dxa" w:w="1440"/>
            <w:vAlign w:val="center"/>
          </w:tcPr>
          <w:p>
            <w:r/>
            <w:r>
              <w:rPr>
                <w:b w:val="0"/>
                <w:sz w:val="16"/>
              </w:rPr>
              <w:t>Core</w:t>
            </w:r>
          </w:p>
        </w:tc>
        <w:tc>
          <w:tcPr>
            <w:tcW w:type="dxa" w:w="1440"/>
            <w:vAlign w:val="center"/>
          </w:tcPr>
          <w:p>
            <w:r/>
            <w:r>
              <w:rPr>
                <w:b w:val="0"/>
                <w:sz w:val="16"/>
              </w:rPr>
              <w:t>Middle</w:t>
            </w:r>
          </w:p>
        </w:tc>
        <w:tc>
          <w:tcPr>
            <w:tcW w:type="dxa" w:w="864"/>
            <w:vAlign w:val="center"/>
          </w:tcPr>
          <w:p>
            <w:r/>
            <w:r>
              <w:rPr>
                <w:b w:val="0"/>
                <w:sz w:val="16"/>
              </w:rPr>
              <w:t>21</w:t>
            </w:r>
          </w:p>
        </w:tc>
        <w:tc>
          <w:tcPr>
            <w:tcW w:type="dxa" w:w="1296"/>
            <w:vAlign w:val="center"/>
          </w:tcPr>
          <w:p>
            <w:r/>
            <w:r>
              <w:rPr>
                <w:b w:val="0"/>
                <w:sz w:val="16"/>
              </w:rPr>
              <w:t>3.50%</w:t>
            </w:r>
          </w:p>
        </w:tc>
      </w:tr>
      <w:tr>
        <w:tc>
          <w:tcPr>
            <w:tcW w:type="dxa" w:w="3168"/>
            <w:vAlign w:val="center"/>
          </w:tcPr>
          <w:p>
            <w:r/>
            <w:r>
              <w:rPr>
                <w:b w:val="0"/>
                <w:sz w:val="16"/>
              </w:rPr>
              <w:t>Core_Middle_24D</w:t>
            </w:r>
          </w:p>
        </w:tc>
        <w:tc>
          <w:tcPr>
            <w:tcW w:type="dxa" w:w="1440"/>
            <w:vAlign w:val="center"/>
          </w:tcPr>
          <w:p>
            <w:r/>
            <w:r>
              <w:rPr>
                <w:b w:val="0"/>
                <w:sz w:val="16"/>
              </w:rPr>
              <w:t>Core</w:t>
            </w:r>
          </w:p>
        </w:tc>
        <w:tc>
          <w:tcPr>
            <w:tcW w:type="dxa" w:w="1440"/>
            <w:vAlign w:val="center"/>
          </w:tcPr>
          <w:p>
            <w:r/>
            <w:r>
              <w:rPr>
                <w:b w:val="0"/>
                <w:sz w:val="16"/>
              </w:rPr>
              <w:t>Middle</w:t>
            </w:r>
          </w:p>
        </w:tc>
        <w:tc>
          <w:tcPr>
            <w:tcW w:type="dxa" w:w="864"/>
            <w:vAlign w:val="center"/>
          </w:tcPr>
          <w:p>
            <w:r/>
            <w:r>
              <w:rPr>
                <w:b w:val="0"/>
                <w:sz w:val="16"/>
              </w:rPr>
              <w:t>24</w:t>
            </w:r>
          </w:p>
        </w:tc>
        <w:tc>
          <w:tcPr>
            <w:tcW w:type="dxa" w:w="1296"/>
            <w:vAlign w:val="center"/>
          </w:tcPr>
          <w:p>
            <w:r/>
            <w:r>
              <w:rPr>
                <w:b w:val="0"/>
                <w:sz w:val="16"/>
              </w:rPr>
              <w:t>4.25%</w:t>
            </w:r>
          </w:p>
        </w:tc>
      </w:tr>
      <w:tr>
        <w:tc>
          <w:tcPr>
            <w:tcW w:type="dxa" w:w="3168"/>
            <w:vAlign w:val="center"/>
          </w:tcPr>
          <w:p>
            <w:r/>
            <w:r>
              <w:rPr>
                <w:b w:val="0"/>
                <w:sz w:val="16"/>
              </w:rPr>
              <w:t>Core_Back_27D</w:t>
            </w:r>
          </w:p>
        </w:tc>
        <w:tc>
          <w:tcPr>
            <w:tcW w:type="dxa" w:w="1440"/>
            <w:vAlign w:val="center"/>
          </w:tcPr>
          <w:p>
            <w:r/>
            <w:r>
              <w:rPr>
                <w:b w:val="0"/>
                <w:sz w:val="16"/>
              </w:rPr>
              <w:t>Core</w:t>
            </w:r>
          </w:p>
        </w:tc>
        <w:tc>
          <w:tcPr>
            <w:tcW w:type="dxa" w:w="1440"/>
            <w:vAlign w:val="center"/>
          </w:tcPr>
          <w:p>
            <w:r/>
            <w:r>
              <w:rPr>
                <w:b w:val="0"/>
                <w:sz w:val="16"/>
              </w:rPr>
              <w:t>Back</w:t>
            </w:r>
          </w:p>
        </w:tc>
        <w:tc>
          <w:tcPr>
            <w:tcW w:type="dxa" w:w="864"/>
            <w:vAlign w:val="center"/>
          </w:tcPr>
          <w:p>
            <w:r/>
            <w:r>
              <w:rPr>
                <w:b w:val="0"/>
                <w:sz w:val="16"/>
              </w:rPr>
              <w:t>27</w:t>
            </w:r>
          </w:p>
        </w:tc>
        <w:tc>
          <w:tcPr>
            <w:tcW w:type="dxa" w:w="1296"/>
            <w:vAlign w:val="center"/>
          </w:tcPr>
          <w:p>
            <w:r/>
            <w:r>
              <w:rPr>
                <w:b w:val="0"/>
                <w:sz w:val="16"/>
              </w:rPr>
              <w:t>4.50%</w:t>
            </w:r>
          </w:p>
        </w:tc>
      </w:tr>
      <w:tr>
        <w:tc>
          <w:tcPr>
            <w:tcW w:type="dxa" w:w="3168"/>
            <w:vAlign w:val="center"/>
          </w:tcPr>
          <w:p>
            <w:r/>
            <w:r>
              <w:rPr>
                <w:b w:val="0"/>
                <w:sz w:val="16"/>
              </w:rPr>
              <w:t>Core_Back_30D</w:t>
            </w:r>
          </w:p>
        </w:tc>
        <w:tc>
          <w:tcPr>
            <w:tcW w:type="dxa" w:w="1440"/>
            <w:vAlign w:val="center"/>
          </w:tcPr>
          <w:p>
            <w:r/>
            <w:r>
              <w:rPr>
                <w:b w:val="0"/>
                <w:sz w:val="16"/>
              </w:rPr>
              <w:t>Core</w:t>
            </w:r>
          </w:p>
        </w:tc>
        <w:tc>
          <w:tcPr>
            <w:tcW w:type="dxa" w:w="1440"/>
            <w:vAlign w:val="center"/>
          </w:tcPr>
          <w:p>
            <w:r/>
            <w:r>
              <w:rPr>
                <w:b w:val="0"/>
                <w:sz w:val="16"/>
              </w:rPr>
              <w:t>Back</w:t>
            </w:r>
          </w:p>
        </w:tc>
        <w:tc>
          <w:tcPr>
            <w:tcW w:type="dxa" w:w="864"/>
            <w:vAlign w:val="center"/>
          </w:tcPr>
          <w:p>
            <w:r/>
            <w:r>
              <w:rPr>
                <w:b w:val="0"/>
                <w:sz w:val="16"/>
              </w:rPr>
              <w:t>30</w:t>
            </w:r>
          </w:p>
        </w:tc>
        <w:tc>
          <w:tcPr>
            <w:tcW w:type="dxa" w:w="1296"/>
            <w:vAlign w:val="center"/>
          </w:tcPr>
          <w:p>
            <w:r/>
            <w:r>
              <w:rPr>
                <w:b w:val="0"/>
                <w:sz w:val="16"/>
              </w:rPr>
              <w:t>4.75%</w:t>
            </w:r>
          </w:p>
        </w:tc>
      </w:tr>
      <w:tr>
        <w:tc>
          <w:tcPr>
            <w:tcW w:type="dxa" w:w="3168"/>
            <w:vAlign w:val="center"/>
          </w:tcPr>
          <w:p>
            <w:r/>
            <w:r>
              <w:rPr>
                <w:b w:val="0"/>
                <w:sz w:val="16"/>
              </w:rPr>
              <w:t>Core_Back_33D</w:t>
            </w:r>
          </w:p>
        </w:tc>
        <w:tc>
          <w:tcPr>
            <w:tcW w:type="dxa" w:w="1440"/>
            <w:vAlign w:val="center"/>
          </w:tcPr>
          <w:p>
            <w:r/>
            <w:r>
              <w:rPr>
                <w:b w:val="0"/>
                <w:sz w:val="16"/>
              </w:rPr>
              <w:t>Core</w:t>
            </w:r>
          </w:p>
        </w:tc>
        <w:tc>
          <w:tcPr>
            <w:tcW w:type="dxa" w:w="1440"/>
            <w:vAlign w:val="center"/>
          </w:tcPr>
          <w:p>
            <w:r/>
            <w:r>
              <w:rPr>
                <w:b w:val="0"/>
                <w:sz w:val="16"/>
              </w:rPr>
              <w:t>Back</w:t>
            </w:r>
          </w:p>
        </w:tc>
        <w:tc>
          <w:tcPr>
            <w:tcW w:type="dxa" w:w="864"/>
            <w:vAlign w:val="center"/>
          </w:tcPr>
          <w:p>
            <w:r/>
            <w:r>
              <w:rPr>
                <w:b w:val="0"/>
                <w:sz w:val="16"/>
              </w:rPr>
              <w:t>33</w:t>
            </w:r>
          </w:p>
        </w:tc>
        <w:tc>
          <w:tcPr>
            <w:tcW w:type="dxa" w:w="1296"/>
            <w:vAlign w:val="center"/>
          </w:tcPr>
          <w:p>
            <w:r/>
            <w:r>
              <w:rPr>
                <w:b w:val="0"/>
                <w:sz w:val="16"/>
              </w:rPr>
              <w:t>5.00%</w:t>
            </w:r>
          </w:p>
        </w:tc>
      </w:tr>
      <w:tr>
        <w:tc>
          <w:tcPr>
            <w:tcW w:type="dxa" w:w="3168"/>
            <w:vAlign w:val="center"/>
          </w:tcPr>
          <w:p>
            <w:r/>
            <w:r>
              <w:rPr>
                <w:b w:val="0"/>
                <w:sz w:val="16"/>
              </w:rPr>
              <w:t>Secondary_Front_12D</w:t>
            </w:r>
          </w:p>
        </w:tc>
        <w:tc>
          <w:tcPr>
            <w:tcW w:type="dxa" w:w="1440"/>
            <w:vAlign w:val="center"/>
          </w:tcPr>
          <w:p>
            <w:r/>
            <w:r>
              <w:rPr>
                <w:b w:val="0"/>
                <w:sz w:val="16"/>
              </w:rPr>
              <w:t>Secondary</w:t>
            </w:r>
          </w:p>
        </w:tc>
        <w:tc>
          <w:tcPr>
            <w:tcW w:type="dxa" w:w="1440"/>
            <w:vAlign w:val="center"/>
          </w:tcPr>
          <w:p>
            <w:r/>
            <w:r>
              <w:rPr>
                <w:b w:val="0"/>
                <w:sz w:val="16"/>
              </w:rPr>
              <w:t>Front</w:t>
            </w:r>
          </w:p>
        </w:tc>
        <w:tc>
          <w:tcPr>
            <w:tcW w:type="dxa" w:w="864"/>
            <w:vAlign w:val="center"/>
          </w:tcPr>
          <w:p>
            <w:r/>
            <w:r>
              <w:rPr>
                <w:b w:val="0"/>
                <w:sz w:val="16"/>
              </w:rPr>
              <w:t>12</w:t>
            </w:r>
          </w:p>
        </w:tc>
        <w:tc>
          <w:tcPr>
            <w:tcW w:type="dxa" w:w="1296"/>
            <w:vAlign w:val="center"/>
          </w:tcPr>
          <w:p>
            <w:r/>
            <w:r>
              <w:rPr>
                <w:b w:val="0"/>
                <w:sz w:val="16"/>
              </w:rPr>
              <w:t>1.50%</w:t>
            </w:r>
          </w:p>
        </w:tc>
      </w:tr>
      <w:tr>
        <w:tc>
          <w:tcPr>
            <w:tcW w:type="dxa" w:w="3168"/>
            <w:vAlign w:val="center"/>
          </w:tcPr>
          <w:p>
            <w:r/>
            <w:r>
              <w:rPr>
                <w:b w:val="0"/>
                <w:sz w:val="16"/>
              </w:rPr>
              <w:t>Secondary_Front_15D</w:t>
            </w:r>
          </w:p>
        </w:tc>
        <w:tc>
          <w:tcPr>
            <w:tcW w:type="dxa" w:w="1440"/>
            <w:vAlign w:val="center"/>
          </w:tcPr>
          <w:p>
            <w:r/>
            <w:r>
              <w:rPr>
                <w:b w:val="0"/>
                <w:sz w:val="16"/>
              </w:rPr>
              <w:t>Secondary</w:t>
            </w:r>
          </w:p>
        </w:tc>
        <w:tc>
          <w:tcPr>
            <w:tcW w:type="dxa" w:w="1440"/>
            <w:vAlign w:val="center"/>
          </w:tcPr>
          <w:p>
            <w:r/>
            <w:r>
              <w:rPr>
                <w:b w:val="0"/>
                <w:sz w:val="16"/>
              </w:rPr>
              <w:t>Front</w:t>
            </w:r>
          </w:p>
        </w:tc>
        <w:tc>
          <w:tcPr>
            <w:tcW w:type="dxa" w:w="864"/>
            <w:vAlign w:val="center"/>
          </w:tcPr>
          <w:p>
            <w:r/>
            <w:r>
              <w:rPr>
                <w:b w:val="0"/>
                <w:sz w:val="16"/>
              </w:rPr>
              <w:t>15</w:t>
            </w:r>
          </w:p>
        </w:tc>
        <w:tc>
          <w:tcPr>
            <w:tcW w:type="dxa" w:w="1296"/>
            <w:vAlign w:val="center"/>
          </w:tcPr>
          <w:p>
            <w:r/>
            <w:r>
              <w:rPr>
                <w:b w:val="0"/>
                <w:sz w:val="16"/>
              </w:rPr>
              <w:t>2.00%</w:t>
            </w:r>
          </w:p>
        </w:tc>
      </w:tr>
      <w:tr>
        <w:tc>
          <w:tcPr>
            <w:tcW w:type="dxa" w:w="3168"/>
            <w:vAlign w:val="center"/>
          </w:tcPr>
          <w:p>
            <w:r/>
            <w:r>
              <w:rPr>
                <w:b w:val="0"/>
                <w:sz w:val="16"/>
              </w:rPr>
              <w:t>Secondary_Front_18D</w:t>
            </w:r>
          </w:p>
        </w:tc>
        <w:tc>
          <w:tcPr>
            <w:tcW w:type="dxa" w:w="1440"/>
            <w:vAlign w:val="center"/>
          </w:tcPr>
          <w:p>
            <w:r/>
            <w:r>
              <w:rPr>
                <w:b w:val="0"/>
                <w:sz w:val="16"/>
              </w:rPr>
              <w:t>Secondary</w:t>
            </w:r>
          </w:p>
        </w:tc>
        <w:tc>
          <w:tcPr>
            <w:tcW w:type="dxa" w:w="1440"/>
            <w:vAlign w:val="center"/>
          </w:tcPr>
          <w:p>
            <w:r/>
            <w:r>
              <w:rPr>
                <w:b w:val="0"/>
                <w:sz w:val="16"/>
              </w:rPr>
              <w:t>Front</w:t>
            </w:r>
          </w:p>
        </w:tc>
        <w:tc>
          <w:tcPr>
            <w:tcW w:type="dxa" w:w="864"/>
            <w:vAlign w:val="center"/>
          </w:tcPr>
          <w:p>
            <w:r/>
            <w:r>
              <w:rPr>
                <w:b w:val="0"/>
                <w:sz w:val="16"/>
              </w:rPr>
              <w:t>18</w:t>
            </w:r>
          </w:p>
        </w:tc>
        <w:tc>
          <w:tcPr>
            <w:tcW w:type="dxa" w:w="1296"/>
            <w:vAlign w:val="center"/>
          </w:tcPr>
          <w:p>
            <w:r/>
            <w:r>
              <w:rPr>
                <w:b w:val="0"/>
                <w:sz w:val="16"/>
              </w:rPr>
              <w:t>2.75%</w:t>
            </w:r>
          </w:p>
        </w:tc>
      </w:tr>
      <w:tr>
        <w:tc>
          <w:tcPr>
            <w:tcW w:type="dxa" w:w="3168"/>
            <w:vAlign w:val="center"/>
          </w:tcPr>
          <w:p>
            <w:r/>
            <w:r>
              <w:rPr>
                <w:b w:val="0"/>
                <w:sz w:val="16"/>
              </w:rPr>
              <w:t>Secondary_Middle_21D</w:t>
            </w:r>
          </w:p>
        </w:tc>
        <w:tc>
          <w:tcPr>
            <w:tcW w:type="dxa" w:w="1440"/>
            <w:vAlign w:val="center"/>
          </w:tcPr>
          <w:p>
            <w:r/>
            <w:r>
              <w:rPr>
                <w:b w:val="0"/>
                <w:sz w:val="16"/>
              </w:rPr>
              <w:t>Secondary</w:t>
            </w:r>
          </w:p>
        </w:tc>
        <w:tc>
          <w:tcPr>
            <w:tcW w:type="dxa" w:w="1440"/>
            <w:vAlign w:val="center"/>
          </w:tcPr>
          <w:p>
            <w:r/>
            <w:r>
              <w:rPr>
                <w:b w:val="0"/>
                <w:sz w:val="16"/>
              </w:rPr>
              <w:t>Middle</w:t>
            </w:r>
          </w:p>
        </w:tc>
        <w:tc>
          <w:tcPr>
            <w:tcW w:type="dxa" w:w="864"/>
            <w:vAlign w:val="center"/>
          </w:tcPr>
          <w:p>
            <w:r/>
            <w:r>
              <w:rPr>
                <w:b w:val="0"/>
                <w:sz w:val="16"/>
              </w:rPr>
              <w:t>21</w:t>
            </w:r>
          </w:p>
        </w:tc>
        <w:tc>
          <w:tcPr>
            <w:tcW w:type="dxa" w:w="1296"/>
            <w:vAlign w:val="center"/>
          </w:tcPr>
          <w:p>
            <w:r/>
            <w:r>
              <w:rPr>
                <w:b w:val="0"/>
                <w:sz w:val="16"/>
              </w:rPr>
              <w:t>3.50%</w:t>
            </w:r>
          </w:p>
        </w:tc>
      </w:tr>
      <w:tr>
        <w:tc>
          <w:tcPr>
            <w:tcW w:type="dxa" w:w="3168"/>
            <w:vAlign w:val="center"/>
          </w:tcPr>
          <w:p>
            <w:r/>
            <w:r>
              <w:rPr>
                <w:b w:val="0"/>
                <w:sz w:val="16"/>
              </w:rPr>
              <w:t>Secondary_Middle_24D</w:t>
            </w:r>
          </w:p>
        </w:tc>
        <w:tc>
          <w:tcPr>
            <w:tcW w:type="dxa" w:w="1440"/>
            <w:vAlign w:val="center"/>
          </w:tcPr>
          <w:p>
            <w:r/>
            <w:r>
              <w:rPr>
                <w:b w:val="0"/>
                <w:sz w:val="16"/>
              </w:rPr>
              <w:t>Secondary</w:t>
            </w:r>
          </w:p>
        </w:tc>
        <w:tc>
          <w:tcPr>
            <w:tcW w:type="dxa" w:w="1440"/>
            <w:vAlign w:val="center"/>
          </w:tcPr>
          <w:p>
            <w:r/>
            <w:r>
              <w:rPr>
                <w:b w:val="0"/>
                <w:sz w:val="16"/>
              </w:rPr>
              <w:t>Middle</w:t>
            </w:r>
          </w:p>
        </w:tc>
        <w:tc>
          <w:tcPr>
            <w:tcW w:type="dxa" w:w="864"/>
            <w:vAlign w:val="center"/>
          </w:tcPr>
          <w:p>
            <w:r/>
            <w:r>
              <w:rPr>
                <w:b w:val="0"/>
                <w:sz w:val="16"/>
              </w:rPr>
              <w:t>24</w:t>
            </w:r>
          </w:p>
        </w:tc>
        <w:tc>
          <w:tcPr>
            <w:tcW w:type="dxa" w:w="1296"/>
            <w:vAlign w:val="center"/>
          </w:tcPr>
          <w:p>
            <w:r/>
            <w:r>
              <w:rPr>
                <w:b w:val="0"/>
                <w:sz w:val="16"/>
              </w:rPr>
              <w:t>3.75%</w:t>
            </w:r>
          </w:p>
        </w:tc>
      </w:tr>
      <w:tr>
        <w:tc>
          <w:tcPr>
            <w:tcW w:type="dxa" w:w="3168"/>
            <w:vAlign w:val="center"/>
          </w:tcPr>
          <w:p>
            <w:r/>
            <w:r>
              <w:rPr>
                <w:b w:val="0"/>
                <w:sz w:val="16"/>
              </w:rPr>
              <w:t>Secondary_Back_27D</w:t>
            </w:r>
          </w:p>
        </w:tc>
        <w:tc>
          <w:tcPr>
            <w:tcW w:type="dxa" w:w="1440"/>
            <w:vAlign w:val="center"/>
          </w:tcPr>
          <w:p>
            <w:r/>
            <w:r>
              <w:rPr>
                <w:b w:val="0"/>
                <w:sz w:val="16"/>
              </w:rPr>
              <w:t>Secondary</w:t>
            </w:r>
          </w:p>
        </w:tc>
        <w:tc>
          <w:tcPr>
            <w:tcW w:type="dxa" w:w="1440"/>
            <w:vAlign w:val="center"/>
          </w:tcPr>
          <w:p>
            <w:r/>
            <w:r>
              <w:rPr>
                <w:b w:val="0"/>
                <w:sz w:val="16"/>
              </w:rPr>
              <w:t>Back</w:t>
            </w:r>
          </w:p>
        </w:tc>
        <w:tc>
          <w:tcPr>
            <w:tcW w:type="dxa" w:w="864"/>
            <w:vAlign w:val="center"/>
          </w:tcPr>
          <w:p>
            <w:r/>
            <w:r>
              <w:rPr>
                <w:b w:val="0"/>
                <w:sz w:val="16"/>
              </w:rPr>
              <w:t>27</w:t>
            </w:r>
          </w:p>
        </w:tc>
        <w:tc>
          <w:tcPr>
            <w:tcW w:type="dxa" w:w="1296"/>
            <w:vAlign w:val="center"/>
          </w:tcPr>
          <w:p>
            <w:r/>
            <w:r>
              <w:rPr>
                <w:b w:val="0"/>
                <w:sz w:val="16"/>
              </w:rPr>
              <w:t>4.00%</w:t>
            </w:r>
          </w:p>
        </w:tc>
      </w:tr>
      <w:tr>
        <w:tc>
          <w:tcPr>
            <w:tcW w:type="dxa" w:w="3168"/>
            <w:vAlign w:val="center"/>
          </w:tcPr>
          <w:p>
            <w:r/>
            <w:r>
              <w:rPr>
                <w:b w:val="0"/>
                <w:sz w:val="16"/>
              </w:rPr>
              <w:t>Secondary_Back_30D</w:t>
            </w:r>
          </w:p>
        </w:tc>
        <w:tc>
          <w:tcPr>
            <w:tcW w:type="dxa" w:w="1440"/>
            <w:vAlign w:val="center"/>
          </w:tcPr>
          <w:p>
            <w:r/>
            <w:r>
              <w:rPr>
                <w:b w:val="0"/>
                <w:sz w:val="16"/>
              </w:rPr>
              <w:t>Secondary</w:t>
            </w:r>
          </w:p>
        </w:tc>
        <w:tc>
          <w:tcPr>
            <w:tcW w:type="dxa" w:w="1440"/>
            <w:vAlign w:val="center"/>
          </w:tcPr>
          <w:p>
            <w:r/>
            <w:r>
              <w:rPr>
                <w:b w:val="0"/>
                <w:sz w:val="16"/>
              </w:rPr>
              <w:t>Back</w:t>
            </w:r>
          </w:p>
        </w:tc>
        <w:tc>
          <w:tcPr>
            <w:tcW w:type="dxa" w:w="864"/>
            <w:vAlign w:val="center"/>
          </w:tcPr>
          <w:p>
            <w:r/>
            <w:r>
              <w:rPr>
                <w:b w:val="0"/>
                <w:sz w:val="16"/>
              </w:rPr>
              <w:t>30</w:t>
            </w:r>
          </w:p>
        </w:tc>
        <w:tc>
          <w:tcPr>
            <w:tcW w:type="dxa" w:w="1296"/>
            <w:vAlign w:val="center"/>
          </w:tcPr>
          <w:p>
            <w:r/>
            <w:r>
              <w:rPr>
                <w:b w:val="0"/>
                <w:sz w:val="16"/>
              </w:rPr>
              <w:t>4.25%</w:t>
            </w:r>
          </w:p>
        </w:tc>
      </w:tr>
      <w:tr>
        <w:tc>
          <w:tcPr>
            <w:tcW w:type="dxa" w:w="3168"/>
            <w:vAlign w:val="center"/>
          </w:tcPr>
          <w:p>
            <w:r/>
            <w:r>
              <w:rPr>
                <w:b w:val="0"/>
                <w:sz w:val="16"/>
              </w:rPr>
              <w:t>Secondary_Back_33D</w:t>
            </w:r>
          </w:p>
        </w:tc>
        <w:tc>
          <w:tcPr>
            <w:tcW w:type="dxa" w:w="1440"/>
            <w:vAlign w:val="center"/>
          </w:tcPr>
          <w:p>
            <w:r/>
            <w:r>
              <w:rPr>
                <w:b w:val="0"/>
                <w:sz w:val="16"/>
              </w:rPr>
              <w:t>Secondary</w:t>
            </w:r>
          </w:p>
        </w:tc>
        <w:tc>
          <w:tcPr>
            <w:tcW w:type="dxa" w:w="1440"/>
            <w:vAlign w:val="center"/>
          </w:tcPr>
          <w:p>
            <w:r/>
            <w:r>
              <w:rPr>
                <w:b w:val="0"/>
                <w:sz w:val="16"/>
              </w:rPr>
              <w:t>Back</w:t>
            </w:r>
          </w:p>
        </w:tc>
        <w:tc>
          <w:tcPr>
            <w:tcW w:type="dxa" w:w="864"/>
            <w:vAlign w:val="center"/>
          </w:tcPr>
          <w:p>
            <w:r/>
            <w:r>
              <w:rPr>
                <w:b w:val="0"/>
                <w:sz w:val="16"/>
              </w:rPr>
              <w:t>33</w:t>
            </w:r>
          </w:p>
        </w:tc>
        <w:tc>
          <w:tcPr>
            <w:tcW w:type="dxa" w:w="1296"/>
            <w:vAlign w:val="center"/>
          </w:tcPr>
          <w:p>
            <w:r/>
            <w:r>
              <w:rPr>
                <w:b w:val="0"/>
                <w:sz w:val="16"/>
              </w:rPr>
              <w:t>4.50%</w:t>
            </w:r>
          </w:p>
        </w:tc>
      </w:tr>
    </w:tbl>
    <w:p/>
    <w:p>
      <w:pPr>
        <w:pStyle w:val="Heading2"/>
      </w:pPr>
      <w:r>
        <w:t>4.1 Locked daily selection rule</w:t>
      </w:r>
    </w:p>
    <w:p>
      <w:pPr>
        <w:pStyle w:val="ListBullet"/>
      </w:pPr>
      <w:r>
        <w:t>Evaluate all qualifying final Core / Secondary sleeve candidates.</w:t>
      </w:r>
    </w:p>
    <w:p>
      <w:pPr>
        <w:pStyle w:val="ListBullet"/>
      </w:pPr>
      <w:r>
        <w:t>Attach the locked size for each sleeve.</w:t>
      </w:r>
    </w:p>
    <w:p>
      <w:pPr>
        <w:pStyle w:val="ListBullet"/>
      </w:pPr>
      <w:r>
        <w:t>Select the candidate with the highest locked size.</w:t>
      </w:r>
    </w:p>
    <w:p>
      <w:pPr>
        <w:pStyle w:val="ListBullet"/>
      </w:pPr>
      <w:r>
        <w:t>If same locked size, Core beats Secondary.</w:t>
      </w:r>
    </w:p>
    <w:p>
      <w:pPr>
        <w:pStyle w:val="ListBullet"/>
      </w:pPr>
      <w:r>
        <w:t>If still tied, higher sizing quality score wins.</w:t>
      </w:r>
    </w:p>
    <w:p>
      <w:pPr>
        <w:pStyle w:val="ListBullet"/>
      </w:pPr>
      <w:r>
        <w:t>If still tied, higher sleeve win rate wins.</w:t>
      </w:r>
    </w:p>
    <w:p>
      <w:pPr>
        <w:pStyle w:val="ListBullet"/>
      </w:pPr>
      <w:r>
        <w:t>If still tied, lower 1% expected loss wins.</w:t>
      </w:r>
    </w:p>
    <w:p>
      <w:pPr>
        <w:pStyle w:val="ListBullet"/>
      </w:pPr>
      <w:r>
        <w:t>If still tied, longer DTE wins.</w:t>
      </w:r>
    </w:p>
    <w:p>
      <w:pPr>
        <w:pStyle w:val="Heading1"/>
      </w:pPr>
      <w:r>
        <w:t>5. Locked program performance summary</w:t>
      </w:r>
    </w:p>
    <w:p>
      <w:r>
        <w:t>The primary locked reporting view uses size-weighted P&amp;L on a static $1,000,000 account with no growth or decline of account value. The historical P&amp;L stream is inherited from the upstream short-put candidate outcome source.</w:t>
      </w:r>
    </w:p>
    <w:tbl>
      <w:tblPr>
        <w:tblStyle w:val="TableGrid"/>
        <w:tblW w:type="auto" w:w="0"/>
        <w:jc w:val="center"/>
        <w:tblLook w:firstColumn="1" w:firstRow="1" w:lastColumn="0" w:lastRow="0" w:noHBand="0" w:noVBand="1" w:val="04A0"/>
      </w:tblPr>
      <w:tblGrid>
        <w:gridCol w:w="5256"/>
        <w:gridCol w:w="5256"/>
      </w:tblGrid>
      <w:tr>
        <w:tc>
          <w:tcPr>
            <w:tcW w:type="dxa" w:w="5328"/>
            <w:vAlign w:val="center"/>
            <w:shd w:fill="D9EAF7"/>
          </w:tcPr>
          <w:p>
            <w:r/>
            <w:r>
              <w:rPr>
                <w:b/>
                <w:sz w:val="16"/>
              </w:rPr>
              <w:t>Metric</w:t>
            </w:r>
          </w:p>
        </w:tc>
        <w:tc>
          <w:tcPr>
            <w:tcW w:type="dxa" w:w="2880"/>
            <w:vAlign w:val="center"/>
            <w:shd w:fill="D9EAF7"/>
          </w:tcPr>
          <w:p>
            <w:r/>
            <w:r>
              <w:rPr>
                <w:b/>
                <w:sz w:val="16"/>
              </w:rPr>
              <w:t>Value</w:t>
            </w:r>
          </w:p>
        </w:tc>
      </w:tr>
      <w:tr>
        <w:tc>
          <w:tcPr>
            <w:tcW w:type="dxa" w:w="5328"/>
            <w:vAlign w:val="center"/>
          </w:tcPr>
          <w:p>
            <w:r/>
            <w:r>
              <w:rPr>
                <w:b w:val="0"/>
                <w:sz w:val="16"/>
              </w:rPr>
              <w:t>Selected trades</w:t>
            </w:r>
          </w:p>
        </w:tc>
        <w:tc>
          <w:tcPr>
            <w:tcW w:type="dxa" w:w="2880"/>
            <w:vAlign w:val="center"/>
          </w:tcPr>
          <w:p>
            <w:r/>
            <w:r>
              <w:rPr>
                <w:b w:val="0"/>
                <w:sz w:val="16"/>
              </w:rPr>
              <w:t>365</w:t>
            </w:r>
          </w:p>
        </w:tc>
      </w:tr>
      <w:tr>
        <w:tc>
          <w:tcPr>
            <w:tcW w:type="dxa" w:w="5328"/>
            <w:vAlign w:val="center"/>
          </w:tcPr>
          <w:p>
            <w:r/>
            <w:r>
              <w:rPr>
                <w:b w:val="0"/>
                <w:sz w:val="16"/>
              </w:rPr>
              <w:t>Selected unique dates</w:t>
            </w:r>
          </w:p>
        </w:tc>
        <w:tc>
          <w:tcPr>
            <w:tcW w:type="dxa" w:w="2880"/>
            <w:vAlign w:val="center"/>
          </w:tcPr>
          <w:p>
            <w:r/>
            <w:r>
              <w:rPr>
                <w:b w:val="0"/>
                <w:sz w:val="16"/>
              </w:rPr>
              <w:t>365</w:t>
            </w:r>
          </w:p>
        </w:tc>
      </w:tr>
      <w:tr>
        <w:tc>
          <w:tcPr>
            <w:tcW w:type="dxa" w:w="5328"/>
            <w:vAlign w:val="center"/>
          </w:tcPr>
          <w:p>
            <w:r/>
            <w:r>
              <w:rPr>
                <w:b w:val="0"/>
                <w:sz w:val="16"/>
              </w:rPr>
              <w:t>Base signal dates</w:t>
            </w:r>
          </w:p>
        </w:tc>
        <w:tc>
          <w:tcPr>
            <w:tcW w:type="dxa" w:w="2880"/>
            <w:vAlign w:val="center"/>
          </w:tcPr>
          <w:p>
            <w:r/>
            <w:r>
              <w:rPr>
                <w:b w:val="0"/>
                <w:sz w:val="16"/>
              </w:rPr>
              <w:t>1,632</w:t>
            </w:r>
          </w:p>
        </w:tc>
      </w:tr>
      <w:tr>
        <w:tc>
          <w:tcPr>
            <w:tcW w:type="dxa" w:w="5328"/>
            <w:vAlign w:val="center"/>
          </w:tcPr>
          <w:p>
            <w:r/>
            <w:r>
              <w:rPr>
                <w:b w:val="0"/>
                <w:sz w:val="16"/>
              </w:rPr>
              <w:t>Signal frequency</w:t>
            </w:r>
          </w:p>
        </w:tc>
        <w:tc>
          <w:tcPr>
            <w:tcW w:type="dxa" w:w="2880"/>
            <w:vAlign w:val="center"/>
          </w:tcPr>
          <w:p>
            <w:r/>
            <w:r>
              <w:rPr>
                <w:b w:val="0"/>
                <w:sz w:val="16"/>
              </w:rPr>
              <w:t>22.3652%</w:t>
            </w:r>
          </w:p>
        </w:tc>
      </w:tr>
      <w:tr>
        <w:tc>
          <w:tcPr>
            <w:tcW w:type="dxa" w:w="5328"/>
            <w:vAlign w:val="center"/>
          </w:tcPr>
          <w:p>
            <w:r/>
            <w:r>
              <w:rPr>
                <w:b w:val="0"/>
                <w:sz w:val="16"/>
              </w:rPr>
              <w:t>Win rate</w:t>
            </w:r>
          </w:p>
        </w:tc>
        <w:tc>
          <w:tcPr>
            <w:tcW w:type="dxa" w:w="2880"/>
            <w:vAlign w:val="center"/>
          </w:tcPr>
          <w:p>
            <w:r/>
            <w:r>
              <w:rPr>
                <w:b w:val="0"/>
                <w:sz w:val="16"/>
              </w:rPr>
              <w:t>85.4795%</w:t>
            </w:r>
          </w:p>
        </w:tc>
      </w:tr>
      <w:tr>
        <w:tc>
          <w:tcPr>
            <w:tcW w:type="dxa" w:w="5328"/>
            <w:vAlign w:val="center"/>
          </w:tcPr>
          <w:p>
            <w:r/>
            <w:r>
              <w:rPr>
                <w:b w:val="0"/>
                <w:sz w:val="16"/>
              </w:rPr>
              <w:t>Total size-weighted P&amp;L</w:t>
            </w:r>
          </w:p>
        </w:tc>
        <w:tc>
          <w:tcPr>
            <w:tcW w:type="dxa" w:w="2880"/>
            <w:vAlign w:val="center"/>
          </w:tcPr>
          <w:p>
            <w:r/>
            <w:r>
              <w:rPr>
                <w:b w:val="0"/>
                <w:sz w:val="16"/>
              </w:rPr>
              <w:t>$3.882mm</w:t>
            </w:r>
          </w:p>
        </w:tc>
      </w:tr>
      <w:tr>
        <w:tc>
          <w:tcPr>
            <w:tcW w:type="dxa" w:w="5328"/>
            <w:vAlign w:val="center"/>
          </w:tcPr>
          <w:p>
            <w:r/>
            <w:r>
              <w:rPr>
                <w:b w:val="0"/>
                <w:sz w:val="16"/>
              </w:rPr>
              <w:t>Avg size-weighted P&amp;L / day</w:t>
            </w:r>
          </w:p>
        </w:tc>
        <w:tc>
          <w:tcPr>
            <w:tcW w:type="dxa" w:w="2880"/>
            <w:vAlign w:val="center"/>
          </w:tcPr>
          <w:p>
            <w:r/>
            <w:r>
              <w:rPr>
                <w:b w:val="0"/>
                <w:sz w:val="16"/>
              </w:rPr>
              <w:t>$349.77</w:t>
            </w:r>
          </w:p>
        </w:tc>
      </w:tr>
      <w:tr>
        <w:tc>
          <w:tcPr>
            <w:tcW w:type="dxa" w:w="5328"/>
            <w:vAlign w:val="center"/>
          </w:tcPr>
          <w:p>
            <w:r/>
            <w:r>
              <w:rPr>
                <w:b w:val="0"/>
                <w:sz w:val="16"/>
              </w:rPr>
              <w:t>Median size-weighted P&amp;L / day</w:t>
            </w:r>
          </w:p>
        </w:tc>
        <w:tc>
          <w:tcPr>
            <w:tcW w:type="dxa" w:w="2880"/>
            <w:vAlign w:val="center"/>
          </w:tcPr>
          <w:p>
            <w:r/>
            <w:r>
              <w:rPr>
                <w:b w:val="0"/>
                <w:sz w:val="16"/>
              </w:rPr>
              <w:t>$447.68</w:t>
            </w:r>
          </w:p>
        </w:tc>
      </w:tr>
      <w:tr>
        <w:tc>
          <w:tcPr>
            <w:tcW w:type="dxa" w:w="5328"/>
            <w:vAlign w:val="center"/>
          </w:tcPr>
          <w:p>
            <w:r/>
            <w:r>
              <w:rPr>
                <w:b w:val="0"/>
                <w:sz w:val="16"/>
              </w:rPr>
              <w:t>Profit factor / day</w:t>
            </w:r>
          </w:p>
        </w:tc>
        <w:tc>
          <w:tcPr>
            <w:tcW w:type="dxa" w:w="2880"/>
            <w:vAlign w:val="center"/>
          </w:tcPr>
          <w:p>
            <w:r/>
            <w:r>
              <w:rPr>
                <w:b w:val="0"/>
                <w:sz w:val="16"/>
              </w:rPr>
              <w:t>3.8741</w:t>
            </w:r>
          </w:p>
        </w:tc>
      </w:tr>
      <w:tr>
        <w:tc>
          <w:tcPr>
            <w:tcW w:type="dxa" w:w="5328"/>
            <w:vAlign w:val="center"/>
          </w:tcPr>
          <w:p>
            <w:r/>
            <w:r>
              <w:rPr>
                <w:b w:val="0"/>
                <w:sz w:val="16"/>
              </w:rPr>
              <w:t>5% expected loss / day</w:t>
            </w:r>
          </w:p>
        </w:tc>
        <w:tc>
          <w:tcPr>
            <w:tcW w:type="dxa" w:w="2880"/>
            <w:vAlign w:val="center"/>
          </w:tcPr>
          <w:p>
            <w:r/>
            <w:r>
              <w:rPr>
                <w:b w:val="0"/>
                <w:sz w:val="16"/>
              </w:rPr>
              <w:t>$1,570.68</w:t>
            </w:r>
          </w:p>
        </w:tc>
      </w:tr>
      <w:tr>
        <w:tc>
          <w:tcPr>
            <w:tcW w:type="dxa" w:w="5328"/>
            <w:vAlign w:val="center"/>
          </w:tcPr>
          <w:p>
            <w:r/>
            <w:r>
              <w:rPr>
                <w:b w:val="0"/>
                <w:sz w:val="16"/>
              </w:rPr>
              <w:t>1% expected loss / day</w:t>
            </w:r>
          </w:p>
        </w:tc>
        <w:tc>
          <w:tcPr>
            <w:tcW w:type="dxa" w:w="2880"/>
            <w:vAlign w:val="center"/>
          </w:tcPr>
          <w:p>
            <w:r/>
            <w:r>
              <w:rPr>
                <w:b w:val="0"/>
                <w:sz w:val="16"/>
              </w:rPr>
              <w:t>$2,807.13</w:t>
            </w:r>
          </w:p>
        </w:tc>
      </w:tr>
      <w:tr>
        <w:tc>
          <w:tcPr>
            <w:tcW w:type="dxa" w:w="5328"/>
            <w:vAlign w:val="center"/>
          </w:tcPr>
          <w:p>
            <w:r/>
            <w:r>
              <w:rPr>
                <w:b w:val="0"/>
                <w:sz w:val="16"/>
              </w:rPr>
              <w:t>Worst trade / day</w:t>
            </w:r>
          </w:p>
        </w:tc>
        <w:tc>
          <w:tcPr>
            <w:tcW w:type="dxa" w:w="2880"/>
            <w:vAlign w:val="center"/>
          </w:tcPr>
          <w:p>
            <w:r/>
            <w:r>
              <w:rPr>
                <w:b w:val="0"/>
                <w:sz w:val="16"/>
              </w:rPr>
              <w:t>-$3,141.54</w:t>
            </w:r>
          </w:p>
        </w:tc>
      </w:tr>
      <w:tr>
        <w:tc>
          <w:tcPr>
            <w:tcW w:type="dxa" w:w="5328"/>
            <w:vAlign w:val="center"/>
          </w:tcPr>
          <w:p>
            <w:r/>
            <w:r>
              <w:rPr>
                <w:b w:val="0"/>
                <w:sz w:val="16"/>
              </w:rPr>
              <w:t>Worst 20-trade sum / day</w:t>
            </w:r>
          </w:p>
        </w:tc>
        <w:tc>
          <w:tcPr>
            <w:tcW w:type="dxa" w:w="2880"/>
            <w:vAlign w:val="center"/>
          </w:tcPr>
          <w:p>
            <w:r/>
            <w:r>
              <w:rPr>
                <w:b w:val="0"/>
                <w:sz w:val="16"/>
              </w:rPr>
              <w:t>-$12,418.92</w:t>
            </w:r>
          </w:p>
        </w:tc>
      </w:tr>
      <w:tr>
        <w:tc>
          <w:tcPr>
            <w:tcW w:type="dxa" w:w="5328"/>
            <w:vAlign w:val="center"/>
          </w:tcPr>
          <w:p>
            <w:r/>
            <w:r>
              <w:rPr>
                <w:b w:val="0"/>
                <w:sz w:val="16"/>
              </w:rPr>
              <w:t>Drawdown / day</w:t>
            </w:r>
          </w:p>
        </w:tc>
        <w:tc>
          <w:tcPr>
            <w:tcW w:type="dxa" w:w="2880"/>
            <w:vAlign w:val="center"/>
          </w:tcPr>
          <w:p>
            <w:r/>
            <w:r>
              <w:rPr>
                <w:b w:val="0"/>
                <w:sz w:val="16"/>
              </w:rPr>
              <w:t>-$16,975.12</w:t>
            </w:r>
          </w:p>
        </w:tc>
      </w:tr>
      <w:tr>
        <w:tc>
          <w:tcPr>
            <w:tcW w:type="dxa" w:w="5328"/>
            <w:vAlign w:val="center"/>
          </w:tcPr>
          <w:p>
            <w:r/>
            <w:r>
              <w:rPr>
                <w:b w:val="0"/>
                <w:sz w:val="16"/>
              </w:rPr>
              <w:t>2026 avg / day</w:t>
            </w:r>
          </w:p>
        </w:tc>
        <w:tc>
          <w:tcPr>
            <w:tcW w:type="dxa" w:w="2880"/>
            <w:vAlign w:val="center"/>
          </w:tcPr>
          <w:p>
            <w:r/>
            <w:r>
              <w:rPr>
                <w:b w:val="0"/>
                <w:sz w:val="16"/>
              </w:rPr>
              <w:t>$339.92</w:t>
            </w:r>
          </w:p>
        </w:tc>
      </w:tr>
      <w:tr>
        <w:tc>
          <w:tcPr>
            <w:tcW w:type="dxa" w:w="5328"/>
            <w:vAlign w:val="center"/>
          </w:tcPr>
          <w:p>
            <w:r/>
            <w:r>
              <w:rPr>
                <w:b w:val="0"/>
                <w:sz w:val="16"/>
              </w:rPr>
              <w:t>Cell 16 cumulative size-weighted P&amp;L on static $1mm</w:t>
            </w:r>
          </w:p>
        </w:tc>
        <w:tc>
          <w:tcPr>
            <w:tcW w:type="dxa" w:w="2880"/>
            <w:vAlign w:val="center"/>
          </w:tcPr>
          <w:p>
            <w:r/>
            <w:r>
              <w:rPr>
                <w:b w:val="0"/>
                <w:sz w:val="16"/>
              </w:rPr>
              <w:t>$3.882mm</w:t>
            </w:r>
          </w:p>
        </w:tc>
      </w:tr>
      <w:tr>
        <w:tc>
          <w:tcPr>
            <w:tcW w:type="dxa" w:w="5328"/>
            <w:vAlign w:val="center"/>
          </w:tcPr>
          <w:p>
            <w:r/>
            <w:r>
              <w:rPr>
                <w:b w:val="0"/>
                <w:sz w:val="16"/>
              </w:rPr>
              <w:t>Cell 16 cumulative return on static $1mm</w:t>
            </w:r>
          </w:p>
        </w:tc>
        <w:tc>
          <w:tcPr>
            <w:tcW w:type="dxa" w:w="2880"/>
            <w:vAlign w:val="center"/>
          </w:tcPr>
          <w:p>
            <w:r/>
            <w:r>
              <w:rPr>
                <w:b w:val="0"/>
                <w:sz w:val="16"/>
              </w:rPr>
              <w:t>388.23%</w:t>
            </w:r>
          </w:p>
        </w:tc>
      </w:tr>
      <w:tr>
        <w:tc>
          <w:tcPr>
            <w:tcW w:type="dxa" w:w="5328"/>
            <w:vAlign w:val="center"/>
          </w:tcPr>
          <w:p>
            <w:r/>
            <w:r>
              <w:rPr>
                <w:b w:val="0"/>
                <w:sz w:val="16"/>
              </w:rPr>
              <w:t>Cell 16 worst cumulative drawdown</w:t>
            </w:r>
          </w:p>
        </w:tc>
        <w:tc>
          <w:tcPr>
            <w:tcW w:type="dxa" w:w="2880"/>
            <w:vAlign w:val="center"/>
          </w:tcPr>
          <w:p>
            <w:r/>
            <w:r>
              <w:rPr>
                <w:b w:val="0"/>
                <w:sz w:val="16"/>
              </w:rPr>
              <w:t>-$548,437</w:t>
            </w:r>
          </w:p>
        </w:tc>
      </w:tr>
    </w:tbl>
    <w:p/>
    <w:p>
      <w:pPr>
        <w:pStyle w:val="Heading2"/>
      </w:pPr>
      <w:r>
        <w:t>5.1 DTE-level selected-trade performance</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2880"/>
            <w:vAlign w:val="center"/>
            <w:shd w:fill="D9EAF7"/>
          </w:tcPr>
          <w:p>
            <w:r/>
            <w:r>
              <w:rPr>
                <w:b/>
                <w:sz w:val="14"/>
              </w:rPr>
              <w:t>Sleeve</w:t>
            </w:r>
          </w:p>
        </w:tc>
        <w:tc>
          <w:tcPr>
            <w:tcW w:type="dxa" w:w="792"/>
            <w:vAlign w:val="center"/>
            <w:shd w:fill="D9EAF7"/>
          </w:tcPr>
          <w:p>
            <w:r/>
            <w:r>
              <w:rPr>
                <w:b/>
                <w:sz w:val="14"/>
              </w:rPr>
              <w:t>Trades</w:t>
            </w:r>
          </w:p>
        </w:tc>
        <w:tc>
          <w:tcPr>
            <w:tcW w:type="dxa" w:w="1152"/>
            <w:vAlign w:val="center"/>
            <w:shd w:fill="D9EAF7"/>
          </w:tcPr>
          <w:p>
            <w:r/>
            <w:r>
              <w:rPr>
                <w:b/>
                <w:sz w:val="14"/>
              </w:rPr>
              <w:t>Freq vs base</w:t>
            </w:r>
          </w:p>
        </w:tc>
        <w:tc>
          <w:tcPr>
            <w:tcW w:type="dxa" w:w="1296"/>
            <w:vAlign w:val="center"/>
            <w:shd w:fill="D9EAF7"/>
          </w:tcPr>
          <w:p>
            <w:r/>
            <w:r>
              <w:rPr>
                <w:b/>
                <w:sz w:val="14"/>
              </w:rPr>
              <w:t>Share selected</w:t>
            </w:r>
          </w:p>
        </w:tc>
        <w:tc>
          <w:tcPr>
            <w:tcW w:type="dxa" w:w="1008"/>
            <w:vAlign w:val="center"/>
            <w:shd w:fill="D9EAF7"/>
          </w:tcPr>
          <w:p>
            <w:r/>
            <w:r>
              <w:rPr>
                <w:b/>
                <w:sz w:val="14"/>
              </w:rPr>
              <w:t>Win rate</w:t>
            </w:r>
          </w:p>
        </w:tc>
        <w:tc>
          <w:tcPr>
            <w:tcW w:type="dxa" w:w="1440"/>
            <w:vAlign w:val="center"/>
            <w:shd w:fill="D9EAF7"/>
          </w:tcPr>
          <w:p>
            <w:r/>
            <w:r>
              <w:rPr>
                <w:b/>
                <w:sz w:val="14"/>
              </w:rPr>
              <w:t>Avg sw P&amp;L/day</w:t>
            </w:r>
          </w:p>
        </w:tc>
        <w:tc>
          <w:tcPr>
            <w:tcW w:type="dxa" w:w="1584"/>
            <w:vAlign w:val="center"/>
            <w:shd w:fill="D9EAF7"/>
          </w:tcPr>
          <w:p>
            <w:r/>
            <w:r>
              <w:rPr>
                <w:b/>
                <w:sz w:val="14"/>
              </w:rPr>
              <w:t>Total sw P&amp;L</w:t>
            </w:r>
          </w:p>
        </w:tc>
      </w:tr>
      <w:tr>
        <w:tc>
          <w:tcPr>
            <w:tcW w:type="dxa" w:w="2880"/>
            <w:vAlign w:val="center"/>
          </w:tcPr>
          <w:p>
            <w:r/>
            <w:r>
              <w:rPr>
                <w:b w:val="0"/>
                <w:sz w:val="14"/>
              </w:rPr>
              <w:t>Core Mid 21D</w:t>
            </w:r>
          </w:p>
        </w:tc>
        <w:tc>
          <w:tcPr>
            <w:tcW w:type="dxa" w:w="792"/>
            <w:vAlign w:val="center"/>
          </w:tcPr>
          <w:p>
            <w:r/>
            <w:r>
              <w:rPr>
                <w:b w:val="0"/>
                <w:sz w:val="14"/>
              </w:rPr>
              <w:t>1</w:t>
            </w:r>
          </w:p>
        </w:tc>
        <w:tc>
          <w:tcPr>
            <w:tcW w:type="dxa" w:w="1152"/>
            <w:vAlign w:val="center"/>
          </w:tcPr>
          <w:p>
            <w:r/>
            <w:r>
              <w:rPr>
                <w:b w:val="0"/>
                <w:sz w:val="14"/>
              </w:rPr>
              <w:t>0.06%</w:t>
            </w:r>
          </w:p>
        </w:tc>
        <w:tc>
          <w:tcPr>
            <w:tcW w:type="dxa" w:w="1296"/>
            <w:vAlign w:val="center"/>
          </w:tcPr>
          <w:p>
            <w:r/>
            <w:r>
              <w:rPr>
                <w:b w:val="0"/>
                <w:sz w:val="14"/>
              </w:rPr>
              <w:t>0.27%</w:t>
            </w:r>
          </w:p>
        </w:tc>
        <w:tc>
          <w:tcPr>
            <w:tcW w:type="dxa" w:w="1008"/>
            <w:vAlign w:val="center"/>
          </w:tcPr>
          <w:p>
            <w:r/>
            <w:r>
              <w:rPr>
                <w:b w:val="0"/>
                <w:sz w:val="14"/>
              </w:rPr>
              <w:t>100.00%</w:t>
            </w:r>
          </w:p>
        </w:tc>
        <w:tc>
          <w:tcPr>
            <w:tcW w:type="dxa" w:w="1440"/>
            <w:vAlign w:val="center"/>
          </w:tcPr>
          <w:p>
            <w:r/>
            <w:r>
              <w:rPr>
                <w:b w:val="0"/>
                <w:sz w:val="14"/>
              </w:rPr>
              <w:t>$517.63</w:t>
            </w:r>
          </w:p>
        </w:tc>
        <w:tc>
          <w:tcPr>
            <w:tcW w:type="dxa" w:w="1584"/>
            <w:vAlign w:val="center"/>
          </w:tcPr>
          <w:p>
            <w:r/>
            <w:r>
              <w:rPr>
                <w:b w:val="0"/>
                <w:sz w:val="14"/>
              </w:rPr>
              <w:t>$10,870</w:t>
            </w:r>
          </w:p>
        </w:tc>
      </w:tr>
      <w:tr>
        <w:tc>
          <w:tcPr>
            <w:tcW w:type="dxa" w:w="2880"/>
            <w:vAlign w:val="center"/>
          </w:tcPr>
          <w:p>
            <w:r/>
            <w:r>
              <w:rPr>
                <w:b w:val="0"/>
                <w:sz w:val="14"/>
              </w:rPr>
              <w:t>Core Mid 24D</w:t>
            </w:r>
          </w:p>
        </w:tc>
        <w:tc>
          <w:tcPr>
            <w:tcW w:type="dxa" w:w="792"/>
            <w:vAlign w:val="center"/>
          </w:tcPr>
          <w:p>
            <w:r/>
            <w:r>
              <w:rPr>
                <w:b w:val="0"/>
                <w:sz w:val="14"/>
              </w:rPr>
              <w:t>6</w:t>
            </w:r>
          </w:p>
        </w:tc>
        <w:tc>
          <w:tcPr>
            <w:tcW w:type="dxa" w:w="1152"/>
            <w:vAlign w:val="center"/>
          </w:tcPr>
          <w:p>
            <w:r/>
            <w:r>
              <w:rPr>
                <w:b w:val="0"/>
                <w:sz w:val="14"/>
              </w:rPr>
              <w:t>0.37%</w:t>
            </w:r>
          </w:p>
        </w:tc>
        <w:tc>
          <w:tcPr>
            <w:tcW w:type="dxa" w:w="1296"/>
            <w:vAlign w:val="center"/>
          </w:tcPr>
          <w:p>
            <w:r/>
            <w:r>
              <w:rPr>
                <w:b w:val="0"/>
                <w:sz w:val="14"/>
              </w:rPr>
              <w:t>1.64%</w:t>
            </w:r>
          </w:p>
        </w:tc>
        <w:tc>
          <w:tcPr>
            <w:tcW w:type="dxa" w:w="1008"/>
            <w:vAlign w:val="center"/>
          </w:tcPr>
          <w:p>
            <w:r/>
            <w:r>
              <w:rPr>
                <w:b w:val="0"/>
                <w:sz w:val="14"/>
              </w:rPr>
              <w:t>100.00%</w:t>
            </w:r>
          </w:p>
        </w:tc>
        <w:tc>
          <w:tcPr>
            <w:tcW w:type="dxa" w:w="1440"/>
            <w:vAlign w:val="center"/>
          </w:tcPr>
          <w:p>
            <w:r/>
            <w:r>
              <w:rPr>
                <w:b w:val="0"/>
                <w:sz w:val="14"/>
              </w:rPr>
              <w:t>$449.16</w:t>
            </w:r>
          </w:p>
        </w:tc>
        <w:tc>
          <w:tcPr>
            <w:tcW w:type="dxa" w:w="1584"/>
            <w:vAlign w:val="center"/>
          </w:tcPr>
          <w:p>
            <w:r/>
            <w:r>
              <w:rPr>
                <w:b w:val="0"/>
                <w:sz w:val="14"/>
              </w:rPr>
              <w:t>$64,680</w:t>
            </w:r>
          </w:p>
        </w:tc>
      </w:tr>
      <w:tr>
        <w:tc>
          <w:tcPr>
            <w:tcW w:type="dxa" w:w="2880"/>
            <w:vAlign w:val="center"/>
          </w:tcPr>
          <w:p>
            <w:r/>
            <w:r>
              <w:rPr>
                <w:b w:val="0"/>
                <w:sz w:val="14"/>
              </w:rPr>
              <w:t>Core Back 27D</w:t>
            </w:r>
          </w:p>
        </w:tc>
        <w:tc>
          <w:tcPr>
            <w:tcW w:type="dxa" w:w="792"/>
            <w:vAlign w:val="center"/>
          </w:tcPr>
          <w:p>
            <w:r/>
            <w:r>
              <w:rPr>
                <w:b w:val="0"/>
                <w:sz w:val="14"/>
              </w:rPr>
              <w:t>4</w:t>
            </w:r>
          </w:p>
        </w:tc>
        <w:tc>
          <w:tcPr>
            <w:tcW w:type="dxa" w:w="1152"/>
            <w:vAlign w:val="center"/>
          </w:tcPr>
          <w:p>
            <w:r/>
            <w:r>
              <w:rPr>
                <w:b w:val="0"/>
                <w:sz w:val="14"/>
              </w:rPr>
              <w:t>0.25%</w:t>
            </w:r>
          </w:p>
        </w:tc>
        <w:tc>
          <w:tcPr>
            <w:tcW w:type="dxa" w:w="1296"/>
            <w:vAlign w:val="center"/>
          </w:tcPr>
          <w:p>
            <w:r/>
            <w:r>
              <w:rPr>
                <w:b w:val="0"/>
                <w:sz w:val="14"/>
              </w:rPr>
              <w:t>1.10%</w:t>
            </w:r>
          </w:p>
        </w:tc>
        <w:tc>
          <w:tcPr>
            <w:tcW w:type="dxa" w:w="1008"/>
            <w:vAlign w:val="center"/>
          </w:tcPr>
          <w:p>
            <w:r/>
            <w:r>
              <w:rPr>
                <w:b w:val="0"/>
                <w:sz w:val="14"/>
              </w:rPr>
              <w:t>50.00%</w:t>
            </w:r>
          </w:p>
        </w:tc>
        <w:tc>
          <w:tcPr>
            <w:tcW w:type="dxa" w:w="1440"/>
            <w:vAlign w:val="center"/>
          </w:tcPr>
          <w:p>
            <w:r/>
            <w:r>
              <w:rPr>
                <w:b w:val="0"/>
                <w:sz w:val="14"/>
              </w:rPr>
              <w:t>$-430.82</w:t>
            </w:r>
          </w:p>
        </w:tc>
        <w:tc>
          <w:tcPr>
            <w:tcW w:type="dxa" w:w="1584"/>
            <w:vAlign w:val="center"/>
          </w:tcPr>
          <w:p>
            <w:r/>
            <w:r>
              <w:rPr>
                <w:b w:val="0"/>
                <w:sz w:val="14"/>
              </w:rPr>
              <w:t>$-46,528</w:t>
            </w:r>
          </w:p>
        </w:tc>
      </w:tr>
      <w:tr>
        <w:tc>
          <w:tcPr>
            <w:tcW w:type="dxa" w:w="2880"/>
            <w:vAlign w:val="center"/>
          </w:tcPr>
          <w:p>
            <w:r/>
            <w:r>
              <w:rPr>
                <w:b w:val="0"/>
                <w:sz w:val="14"/>
              </w:rPr>
              <w:t>Core Back 30D</w:t>
            </w:r>
          </w:p>
        </w:tc>
        <w:tc>
          <w:tcPr>
            <w:tcW w:type="dxa" w:w="792"/>
            <w:vAlign w:val="center"/>
          </w:tcPr>
          <w:p>
            <w:r/>
            <w:r>
              <w:rPr>
                <w:b w:val="0"/>
                <w:sz w:val="14"/>
              </w:rPr>
              <w:t>2</w:t>
            </w:r>
          </w:p>
        </w:tc>
        <w:tc>
          <w:tcPr>
            <w:tcW w:type="dxa" w:w="1152"/>
            <w:vAlign w:val="center"/>
          </w:tcPr>
          <w:p>
            <w:r/>
            <w:r>
              <w:rPr>
                <w:b w:val="0"/>
                <w:sz w:val="14"/>
              </w:rPr>
              <w:t>0.12%</w:t>
            </w:r>
          </w:p>
        </w:tc>
        <w:tc>
          <w:tcPr>
            <w:tcW w:type="dxa" w:w="1296"/>
            <w:vAlign w:val="center"/>
          </w:tcPr>
          <w:p>
            <w:r/>
            <w:r>
              <w:rPr>
                <w:b w:val="0"/>
                <w:sz w:val="14"/>
              </w:rPr>
              <w:t>0.55%</w:t>
            </w:r>
          </w:p>
        </w:tc>
        <w:tc>
          <w:tcPr>
            <w:tcW w:type="dxa" w:w="1008"/>
            <w:vAlign w:val="center"/>
          </w:tcPr>
          <w:p>
            <w:r/>
            <w:r>
              <w:rPr>
                <w:b w:val="0"/>
                <w:sz w:val="14"/>
              </w:rPr>
              <w:t>100.00%</w:t>
            </w:r>
          </w:p>
        </w:tc>
        <w:tc>
          <w:tcPr>
            <w:tcW w:type="dxa" w:w="1440"/>
            <w:vAlign w:val="center"/>
          </w:tcPr>
          <w:p>
            <w:r/>
            <w:r>
              <w:rPr>
                <w:b w:val="0"/>
                <w:sz w:val="14"/>
              </w:rPr>
              <w:t>$595.69</w:t>
            </w:r>
          </w:p>
        </w:tc>
        <w:tc>
          <w:tcPr>
            <w:tcW w:type="dxa" w:w="1584"/>
            <w:vAlign w:val="center"/>
          </w:tcPr>
          <w:p>
            <w:r/>
            <w:r>
              <w:rPr>
                <w:b w:val="0"/>
                <w:sz w:val="14"/>
              </w:rPr>
              <w:t>$35,742</w:t>
            </w:r>
          </w:p>
        </w:tc>
      </w:tr>
      <w:tr>
        <w:tc>
          <w:tcPr>
            <w:tcW w:type="dxa" w:w="2880"/>
            <w:vAlign w:val="center"/>
          </w:tcPr>
          <w:p>
            <w:r/>
            <w:r>
              <w:rPr>
                <w:b w:val="0"/>
                <w:sz w:val="14"/>
              </w:rPr>
              <w:t>Core Back 33D</w:t>
            </w:r>
          </w:p>
        </w:tc>
        <w:tc>
          <w:tcPr>
            <w:tcW w:type="dxa" w:w="792"/>
            <w:vAlign w:val="center"/>
          </w:tcPr>
          <w:p>
            <w:r/>
            <w:r>
              <w:rPr>
                <w:b w:val="0"/>
                <w:sz w:val="14"/>
              </w:rPr>
              <w:t>136</w:t>
            </w:r>
          </w:p>
        </w:tc>
        <w:tc>
          <w:tcPr>
            <w:tcW w:type="dxa" w:w="1152"/>
            <w:vAlign w:val="center"/>
          </w:tcPr>
          <w:p>
            <w:r/>
            <w:r>
              <w:rPr>
                <w:b w:val="0"/>
                <w:sz w:val="14"/>
              </w:rPr>
              <w:t>8.33%</w:t>
            </w:r>
          </w:p>
        </w:tc>
        <w:tc>
          <w:tcPr>
            <w:tcW w:type="dxa" w:w="1296"/>
            <w:vAlign w:val="center"/>
          </w:tcPr>
          <w:p>
            <w:r/>
            <w:r>
              <w:rPr>
                <w:b w:val="0"/>
                <w:sz w:val="14"/>
              </w:rPr>
              <w:t>37.26%</w:t>
            </w:r>
          </w:p>
        </w:tc>
        <w:tc>
          <w:tcPr>
            <w:tcW w:type="dxa" w:w="1008"/>
            <w:vAlign w:val="center"/>
          </w:tcPr>
          <w:p>
            <w:r/>
            <w:r>
              <w:rPr>
                <w:b w:val="0"/>
                <w:sz w:val="14"/>
              </w:rPr>
              <w:t>92.65%</w:t>
            </w:r>
          </w:p>
        </w:tc>
        <w:tc>
          <w:tcPr>
            <w:tcW w:type="dxa" w:w="1440"/>
            <w:vAlign w:val="center"/>
          </w:tcPr>
          <w:p>
            <w:r/>
            <w:r>
              <w:rPr>
                <w:b w:val="0"/>
                <w:sz w:val="14"/>
              </w:rPr>
              <w:t>$610.81</w:t>
            </w:r>
          </w:p>
        </w:tc>
        <w:tc>
          <w:tcPr>
            <w:tcW w:type="dxa" w:w="1584"/>
            <w:vAlign w:val="center"/>
          </w:tcPr>
          <w:p>
            <w:r/>
            <w:r>
              <w:rPr>
                <w:b w:val="0"/>
                <w:sz w:val="14"/>
              </w:rPr>
              <w:t>$2,741,309</w:t>
            </w:r>
          </w:p>
        </w:tc>
      </w:tr>
      <w:tr>
        <w:tc>
          <w:tcPr>
            <w:tcW w:type="dxa" w:w="2880"/>
            <w:vAlign w:val="center"/>
          </w:tcPr>
          <w:p>
            <w:r/>
            <w:r>
              <w:rPr>
                <w:b w:val="0"/>
                <w:sz w:val="14"/>
              </w:rPr>
              <w:t>Sec Front 12D</w:t>
            </w:r>
          </w:p>
        </w:tc>
        <w:tc>
          <w:tcPr>
            <w:tcW w:type="dxa" w:w="792"/>
            <w:vAlign w:val="center"/>
          </w:tcPr>
          <w:p>
            <w:r/>
            <w:r>
              <w:rPr>
                <w:b w:val="0"/>
                <w:sz w:val="14"/>
              </w:rPr>
              <w:t>56</w:t>
            </w:r>
          </w:p>
        </w:tc>
        <w:tc>
          <w:tcPr>
            <w:tcW w:type="dxa" w:w="1152"/>
            <w:vAlign w:val="center"/>
          </w:tcPr>
          <w:p>
            <w:r/>
            <w:r>
              <w:rPr>
                <w:b w:val="0"/>
                <w:sz w:val="14"/>
              </w:rPr>
              <w:t>3.43%</w:t>
            </w:r>
          </w:p>
        </w:tc>
        <w:tc>
          <w:tcPr>
            <w:tcW w:type="dxa" w:w="1296"/>
            <w:vAlign w:val="center"/>
          </w:tcPr>
          <w:p>
            <w:r/>
            <w:r>
              <w:rPr>
                <w:b w:val="0"/>
                <w:sz w:val="14"/>
              </w:rPr>
              <w:t>15.34%</w:t>
            </w:r>
          </w:p>
        </w:tc>
        <w:tc>
          <w:tcPr>
            <w:tcW w:type="dxa" w:w="1008"/>
            <w:vAlign w:val="center"/>
          </w:tcPr>
          <w:p>
            <w:r/>
            <w:r>
              <w:rPr>
                <w:b w:val="0"/>
                <w:sz w:val="14"/>
              </w:rPr>
              <w:t>82.14%</w:t>
            </w:r>
          </w:p>
        </w:tc>
        <w:tc>
          <w:tcPr>
            <w:tcW w:type="dxa" w:w="1440"/>
            <w:vAlign w:val="center"/>
          </w:tcPr>
          <w:p>
            <w:r/>
            <w:r>
              <w:rPr>
                <w:b w:val="0"/>
                <w:sz w:val="14"/>
              </w:rPr>
              <w:t>$144.69</w:t>
            </w:r>
          </w:p>
        </w:tc>
        <w:tc>
          <w:tcPr>
            <w:tcW w:type="dxa" w:w="1584"/>
            <w:vAlign w:val="center"/>
          </w:tcPr>
          <w:p>
            <w:r/>
            <w:r>
              <w:rPr>
                <w:b w:val="0"/>
                <w:sz w:val="14"/>
              </w:rPr>
              <w:t>$97,234</w:t>
            </w:r>
          </w:p>
        </w:tc>
      </w:tr>
      <w:tr>
        <w:tc>
          <w:tcPr>
            <w:tcW w:type="dxa" w:w="2880"/>
            <w:vAlign w:val="center"/>
          </w:tcPr>
          <w:p>
            <w:r/>
            <w:r>
              <w:rPr>
                <w:b w:val="0"/>
                <w:sz w:val="14"/>
              </w:rPr>
              <w:t>Sec Front 15D</w:t>
            </w:r>
          </w:p>
        </w:tc>
        <w:tc>
          <w:tcPr>
            <w:tcW w:type="dxa" w:w="792"/>
            <w:vAlign w:val="center"/>
          </w:tcPr>
          <w:p>
            <w:r/>
            <w:r>
              <w:rPr>
                <w:b w:val="0"/>
                <w:sz w:val="14"/>
              </w:rPr>
              <w:t>13</w:t>
            </w:r>
          </w:p>
        </w:tc>
        <w:tc>
          <w:tcPr>
            <w:tcW w:type="dxa" w:w="1152"/>
            <w:vAlign w:val="center"/>
          </w:tcPr>
          <w:p>
            <w:r/>
            <w:r>
              <w:rPr>
                <w:b w:val="0"/>
                <w:sz w:val="14"/>
              </w:rPr>
              <w:t>0.80%</w:t>
            </w:r>
          </w:p>
        </w:tc>
        <w:tc>
          <w:tcPr>
            <w:tcW w:type="dxa" w:w="1296"/>
            <w:vAlign w:val="center"/>
          </w:tcPr>
          <w:p>
            <w:r/>
            <w:r>
              <w:rPr>
                <w:b w:val="0"/>
                <w:sz w:val="14"/>
              </w:rPr>
              <w:t>3.56%</w:t>
            </w:r>
          </w:p>
        </w:tc>
        <w:tc>
          <w:tcPr>
            <w:tcW w:type="dxa" w:w="1008"/>
            <w:vAlign w:val="center"/>
          </w:tcPr>
          <w:p>
            <w:r/>
            <w:r>
              <w:rPr>
                <w:b w:val="0"/>
                <w:sz w:val="14"/>
              </w:rPr>
              <w:t>61.54%</w:t>
            </w:r>
          </w:p>
        </w:tc>
        <w:tc>
          <w:tcPr>
            <w:tcW w:type="dxa" w:w="1440"/>
            <w:vAlign w:val="center"/>
          </w:tcPr>
          <w:p>
            <w:r/>
            <w:r>
              <w:rPr>
                <w:b w:val="0"/>
                <w:sz w:val="14"/>
              </w:rPr>
              <w:t>$121.50</w:t>
            </w:r>
          </w:p>
        </w:tc>
        <w:tc>
          <w:tcPr>
            <w:tcW w:type="dxa" w:w="1584"/>
            <w:vAlign w:val="center"/>
          </w:tcPr>
          <w:p>
            <w:r/>
            <w:r>
              <w:rPr>
                <w:b w:val="0"/>
                <w:sz w:val="14"/>
              </w:rPr>
              <w:t>$23,692</w:t>
            </w:r>
          </w:p>
        </w:tc>
      </w:tr>
      <w:tr>
        <w:tc>
          <w:tcPr>
            <w:tcW w:type="dxa" w:w="2880"/>
            <w:vAlign w:val="center"/>
          </w:tcPr>
          <w:p>
            <w:r/>
            <w:r>
              <w:rPr>
                <w:b w:val="0"/>
                <w:sz w:val="14"/>
              </w:rPr>
              <w:t>Sec Front 18D</w:t>
            </w:r>
          </w:p>
        </w:tc>
        <w:tc>
          <w:tcPr>
            <w:tcW w:type="dxa" w:w="792"/>
            <w:vAlign w:val="center"/>
          </w:tcPr>
          <w:p>
            <w:r/>
            <w:r>
              <w:rPr>
                <w:b w:val="0"/>
                <w:sz w:val="14"/>
              </w:rPr>
              <w:t>14</w:t>
            </w:r>
          </w:p>
        </w:tc>
        <w:tc>
          <w:tcPr>
            <w:tcW w:type="dxa" w:w="1152"/>
            <w:vAlign w:val="center"/>
          </w:tcPr>
          <w:p>
            <w:r/>
            <w:r>
              <w:rPr>
                <w:b w:val="0"/>
                <w:sz w:val="14"/>
              </w:rPr>
              <w:t>0.86%</w:t>
            </w:r>
          </w:p>
        </w:tc>
        <w:tc>
          <w:tcPr>
            <w:tcW w:type="dxa" w:w="1296"/>
            <w:vAlign w:val="center"/>
          </w:tcPr>
          <w:p>
            <w:r/>
            <w:r>
              <w:rPr>
                <w:b w:val="0"/>
                <w:sz w:val="14"/>
              </w:rPr>
              <w:t>3.84%</w:t>
            </w:r>
          </w:p>
        </w:tc>
        <w:tc>
          <w:tcPr>
            <w:tcW w:type="dxa" w:w="1008"/>
            <w:vAlign w:val="center"/>
          </w:tcPr>
          <w:p>
            <w:r/>
            <w:r>
              <w:rPr>
                <w:b w:val="0"/>
                <w:sz w:val="14"/>
              </w:rPr>
              <w:t>92.86%</w:t>
            </w:r>
          </w:p>
        </w:tc>
        <w:tc>
          <w:tcPr>
            <w:tcW w:type="dxa" w:w="1440"/>
            <w:vAlign w:val="center"/>
          </w:tcPr>
          <w:p>
            <w:r/>
            <w:r>
              <w:rPr>
                <w:b w:val="0"/>
                <w:sz w:val="14"/>
              </w:rPr>
              <w:t>$356.97</w:t>
            </w:r>
          </w:p>
        </w:tc>
        <w:tc>
          <w:tcPr>
            <w:tcW w:type="dxa" w:w="1584"/>
            <w:vAlign w:val="center"/>
          </w:tcPr>
          <w:p>
            <w:r/>
            <w:r>
              <w:rPr>
                <w:b w:val="0"/>
                <w:sz w:val="14"/>
              </w:rPr>
              <w:t>$89,957</w:t>
            </w:r>
          </w:p>
        </w:tc>
      </w:tr>
      <w:tr>
        <w:tc>
          <w:tcPr>
            <w:tcW w:type="dxa" w:w="2880"/>
            <w:vAlign w:val="center"/>
          </w:tcPr>
          <w:p>
            <w:r/>
            <w:r>
              <w:rPr>
                <w:b w:val="0"/>
                <w:sz w:val="14"/>
              </w:rPr>
              <w:t>Sec Mid 21D</w:t>
            </w:r>
          </w:p>
        </w:tc>
        <w:tc>
          <w:tcPr>
            <w:tcW w:type="dxa" w:w="792"/>
            <w:vAlign w:val="center"/>
          </w:tcPr>
          <w:p>
            <w:r/>
            <w:r>
              <w:rPr>
                <w:b w:val="0"/>
                <w:sz w:val="14"/>
              </w:rPr>
              <w:t>5</w:t>
            </w:r>
          </w:p>
        </w:tc>
        <w:tc>
          <w:tcPr>
            <w:tcW w:type="dxa" w:w="1152"/>
            <w:vAlign w:val="center"/>
          </w:tcPr>
          <w:p>
            <w:r/>
            <w:r>
              <w:rPr>
                <w:b w:val="0"/>
                <w:sz w:val="14"/>
              </w:rPr>
              <w:t>0.31%</w:t>
            </w:r>
          </w:p>
        </w:tc>
        <w:tc>
          <w:tcPr>
            <w:tcW w:type="dxa" w:w="1296"/>
            <w:vAlign w:val="center"/>
          </w:tcPr>
          <w:p>
            <w:r/>
            <w:r>
              <w:rPr>
                <w:b w:val="0"/>
                <w:sz w:val="14"/>
              </w:rPr>
              <w:t>1.37%</w:t>
            </w:r>
          </w:p>
        </w:tc>
        <w:tc>
          <w:tcPr>
            <w:tcW w:type="dxa" w:w="1008"/>
            <w:vAlign w:val="center"/>
          </w:tcPr>
          <w:p>
            <w:r/>
            <w:r>
              <w:rPr>
                <w:b w:val="0"/>
                <w:sz w:val="14"/>
              </w:rPr>
              <w:t>100.00%</w:t>
            </w:r>
          </w:p>
        </w:tc>
        <w:tc>
          <w:tcPr>
            <w:tcW w:type="dxa" w:w="1440"/>
            <w:vAlign w:val="center"/>
          </w:tcPr>
          <w:p>
            <w:r/>
            <w:r>
              <w:rPr>
                <w:b w:val="0"/>
                <w:sz w:val="14"/>
              </w:rPr>
              <w:t>$358.35</w:t>
            </w:r>
          </w:p>
        </w:tc>
        <w:tc>
          <w:tcPr>
            <w:tcW w:type="dxa" w:w="1584"/>
            <w:vAlign w:val="center"/>
          </w:tcPr>
          <w:p>
            <w:r/>
            <w:r>
              <w:rPr>
                <w:b w:val="0"/>
                <w:sz w:val="14"/>
              </w:rPr>
              <w:t>$37,627</w:t>
            </w:r>
          </w:p>
        </w:tc>
      </w:tr>
      <w:tr>
        <w:tc>
          <w:tcPr>
            <w:tcW w:type="dxa" w:w="2880"/>
            <w:vAlign w:val="center"/>
          </w:tcPr>
          <w:p>
            <w:r/>
            <w:r>
              <w:rPr>
                <w:b w:val="0"/>
                <w:sz w:val="14"/>
              </w:rPr>
              <w:t>Sec Mid 24D</w:t>
            </w:r>
          </w:p>
        </w:tc>
        <w:tc>
          <w:tcPr>
            <w:tcW w:type="dxa" w:w="792"/>
            <w:vAlign w:val="center"/>
          </w:tcPr>
          <w:p>
            <w:r/>
            <w:r>
              <w:rPr>
                <w:b w:val="0"/>
                <w:sz w:val="14"/>
              </w:rPr>
              <w:t>3</w:t>
            </w:r>
          </w:p>
        </w:tc>
        <w:tc>
          <w:tcPr>
            <w:tcW w:type="dxa" w:w="1152"/>
            <w:vAlign w:val="center"/>
          </w:tcPr>
          <w:p>
            <w:r/>
            <w:r>
              <w:rPr>
                <w:b w:val="0"/>
                <w:sz w:val="14"/>
              </w:rPr>
              <w:t>0.18%</w:t>
            </w:r>
          </w:p>
        </w:tc>
        <w:tc>
          <w:tcPr>
            <w:tcW w:type="dxa" w:w="1296"/>
            <w:vAlign w:val="center"/>
          </w:tcPr>
          <w:p>
            <w:r/>
            <w:r>
              <w:rPr>
                <w:b w:val="0"/>
                <w:sz w:val="14"/>
              </w:rPr>
              <w:t>0.82%</w:t>
            </w:r>
          </w:p>
        </w:tc>
        <w:tc>
          <w:tcPr>
            <w:tcW w:type="dxa" w:w="1008"/>
            <w:vAlign w:val="center"/>
          </w:tcPr>
          <w:p>
            <w:r/>
            <w:r>
              <w:rPr>
                <w:b w:val="0"/>
                <w:sz w:val="14"/>
              </w:rPr>
              <w:t>100.00%</w:t>
            </w:r>
          </w:p>
        </w:tc>
        <w:tc>
          <w:tcPr>
            <w:tcW w:type="dxa" w:w="1440"/>
            <w:vAlign w:val="center"/>
          </w:tcPr>
          <w:p>
            <w:r/>
            <w:r>
              <w:rPr>
                <w:b w:val="0"/>
                <w:sz w:val="14"/>
              </w:rPr>
              <w:t>$282.38</w:t>
            </w:r>
          </w:p>
        </w:tc>
        <w:tc>
          <w:tcPr>
            <w:tcW w:type="dxa" w:w="1584"/>
            <w:vAlign w:val="center"/>
          </w:tcPr>
          <w:p>
            <w:r/>
            <w:r>
              <w:rPr>
                <w:b w:val="0"/>
                <w:sz w:val="14"/>
              </w:rPr>
              <w:t>$20,331</w:t>
            </w:r>
          </w:p>
        </w:tc>
      </w:tr>
      <w:tr>
        <w:tc>
          <w:tcPr>
            <w:tcW w:type="dxa" w:w="2880"/>
            <w:vAlign w:val="center"/>
          </w:tcPr>
          <w:p>
            <w:r/>
            <w:r>
              <w:rPr>
                <w:b w:val="0"/>
                <w:sz w:val="14"/>
              </w:rPr>
              <w:t>Sec Back 27D</w:t>
            </w:r>
          </w:p>
        </w:tc>
        <w:tc>
          <w:tcPr>
            <w:tcW w:type="dxa" w:w="792"/>
            <w:vAlign w:val="center"/>
          </w:tcPr>
          <w:p>
            <w:r/>
            <w:r>
              <w:rPr>
                <w:b w:val="0"/>
                <w:sz w:val="14"/>
              </w:rPr>
              <w:t>7</w:t>
            </w:r>
          </w:p>
        </w:tc>
        <w:tc>
          <w:tcPr>
            <w:tcW w:type="dxa" w:w="1152"/>
            <w:vAlign w:val="center"/>
          </w:tcPr>
          <w:p>
            <w:r/>
            <w:r>
              <w:rPr>
                <w:b w:val="0"/>
                <w:sz w:val="14"/>
              </w:rPr>
              <w:t>0.43%</w:t>
            </w:r>
          </w:p>
        </w:tc>
        <w:tc>
          <w:tcPr>
            <w:tcW w:type="dxa" w:w="1296"/>
            <w:vAlign w:val="center"/>
          </w:tcPr>
          <w:p>
            <w:r/>
            <w:r>
              <w:rPr>
                <w:b w:val="0"/>
                <w:sz w:val="14"/>
              </w:rPr>
              <w:t>1.92%</w:t>
            </w:r>
          </w:p>
        </w:tc>
        <w:tc>
          <w:tcPr>
            <w:tcW w:type="dxa" w:w="1008"/>
            <w:vAlign w:val="center"/>
          </w:tcPr>
          <w:p>
            <w:r/>
            <w:r>
              <w:rPr>
                <w:b w:val="0"/>
                <w:sz w:val="14"/>
              </w:rPr>
              <w:t>71.43%</w:t>
            </w:r>
          </w:p>
        </w:tc>
        <w:tc>
          <w:tcPr>
            <w:tcW w:type="dxa" w:w="1440"/>
            <w:vAlign w:val="center"/>
          </w:tcPr>
          <w:p>
            <w:r/>
            <w:r>
              <w:rPr>
                <w:b w:val="0"/>
                <w:sz w:val="14"/>
              </w:rPr>
              <w:t>$84.48</w:t>
            </w:r>
          </w:p>
        </w:tc>
        <w:tc>
          <w:tcPr>
            <w:tcW w:type="dxa" w:w="1584"/>
            <w:vAlign w:val="center"/>
          </w:tcPr>
          <w:p>
            <w:r/>
            <w:r>
              <w:rPr>
                <w:b w:val="0"/>
                <w:sz w:val="14"/>
              </w:rPr>
              <w:t>$15,966</w:t>
            </w:r>
          </w:p>
        </w:tc>
      </w:tr>
      <w:tr>
        <w:tc>
          <w:tcPr>
            <w:tcW w:type="dxa" w:w="2880"/>
            <w:vAlign w:val="center"/>
          </w:tcPr>
          <w:p>
            <w:r/>
            <w:r>
              <w:rPr>
                <w:b w:val="0"/>
                <w:sz w:val="14"/>
              </w:rPr>
              <w:t>Sec Back 30D</w:t>
            </w:r>
          </w:p>
        </w:tc>
        <w:tc>
          <w:tcPr>
            <w:tcW w:type="dxa" w:w="792"/>
            <w:vAlign w:val="center"/>
          </w:tcPr>
          <w:p>
            <w:r/>
            <w:r>
              <w:rPr>
                <w:b w:val="0"/>
                <w:sz w:val="14"/>
              </w:rPr>
              <w:t>6</w:t>
            </w:r>
          </w:p>
        </w:tc>
        <w:tc>
          <w:tcPr>
            <w:tcW w:type="dxa" w:w="1152"/>
            <w:vAlign w:val="center"/>
          </w:tcPr>
          <w:p>
            <w:r/>
            <w:r>
              <w:rPr>
                <w:b w:val="0"/>
                <w:sz w:val="14"/>
              </w:rPr>
              <w:t>0.37%</w:t>
            </w:r>
          </w:p>
        </w:tc>
        <w:tc>
          <w:tcPr>
            <w:tcW w:type="dxa" w:w="1296"/>
            <w:vAlign w:val="center"/>
          </w:tcPr>
          <w:p>
            <w:r/>
            <w:r>
              <w:rPr>
                <w:b w:val="0"/>
                <w:sz w:val="14"/>
              </w:rPr>
              <w:t>1.64%</w:t>
            </w:r>
          </w:p>
        </w:tc>
        <w:tc>
          <w:tcPr>
            <w:tcW w:type="dxa" w:w="1008"/>
            <w:vAlign w:val="center"/>
          </w:tcPr>
          <w:p>
            <w:r/>
            <w:r>
              <w:rPr>
                <w:b w:val="0"/>
                <w:sz w:val="14"/>
              </w:rPr>
              <w:t>66.67%</w:t>
            </w:r>
          </w:p>
        </w:tc>
        <w:tc>
          <w:tcPr>
            <w:tcW w:type="dxa" w:w="1440"/>
            <w:vAlign w:val="center"/>
          </w:tcPr>
          <w:p>
            <w:r/>
            <w:r>
              <w:rPr>
                <w:b w:val="0"/>
                <w:sz w:val="14"/>
              </w:rPr>
              <w:t>$42.75</w:t>
            </w:r>
          </w:p>
        </w:tc>
        <w:tc>
          <w:tcPr>
            <w:tcW w:type="dxa" w:w="1584"/>
            <w:vAlign w:val="center"/>
          </w:tcPr>
          <w:p>
            <w:r/>
            <w:r>
              <w:rPr>
                <w:b w:val="0"/>
                <w:sz w:val="14"/>
              </w:rPr>
              <w:t>$7,695</w:t>
            </w:r>
          </w:p>
        </w:tc>
      </w:tr>
      <w:tr>
        <w:tc>
          <w:tcPr>
            <w:tcW w:type="dxa" w:w="2880"/>
            <w:vAlign w:val="center"/>
          </w:tcPr>
          <w:p>
            <w:r/>
            <w:r>
              <w:rPr>
                <w:b w:val="0"/>
                <w:sz w:val="14"/>
              </w:rPr>
              <w:t>Sec Back 33D</w:t>
            </w:r>
          </w:p>
        </w:tc>
        <w:tc>
          <w:tcPr>
            <w:tcW w:type="dxa" w:w="792"/>
            <w:vAlign w:val="center"/>
          </w:tcPr>
          <w:p>
            <w:r/>
            <w:r>
              <w:rPr>
                <w:b w:val="0"/>
                <w:sz w:val="14"/>
              </w:rPr>
              <w:t>112</w:t>
            </w:r>
          </w:p>
        </w:tc>
        <w:tc>
          <w:tcPr>
            <w:tcW w:type="dxa" w:w="1152"/>
            <w:vAlign w:val="center"/>
          </w:tcPr>
          <w:p>
            <w:r/>
            <w:r>
              <w:rPr>
                <w:b w:val="0"/>
                <w:sz w:val="14"/>
              </w:rPr>
              <w:t>6.86%</w:t>
            </w:r>
          </w:p>
        </w:tc>
        <w:tc>
          <w:tcPr>
            <w:tcW w:type="dxa" w:w="1296"/>
            <w:vAlign w:val="center"/>
          </w:tcPr>
          <w:p>
            <w:r/>
            <w:r>
              <w:rPr>
                <w:b w:val="0"/>
                <w:sz w:val="14"/>
              </w:rPr>
              <w:t>30.68%</w:t>
            </w:r>
          </w:p>
        </w:tc>
        <w:tc>
          <w:tcPr>
            <w:tcW w:type="dxa" w:w="1008"/>
            <w:vAlign w:val="center"/>
          </w:tcPr>
          <w:p>
            <w:r/>
            <w:r>
              <w:rPr>
                <w:b w:val="0"/>
                <w:sz w:val="14"/>
              </w:rPr>
              <w:t>81.25%</w:t>
            </w:r>
          </w:p>
        </w:tc>
        <w:tc>
          <w:tcPr>
            <w:tcW w:type="dxa" w:w="1440"/>
            <w:vAlign w:val="center"/>
          </w:tcPr>
          <w:p>
            <w:r/>
            <w:r>
              <w:rPr>
                <w:b w:val="0"/>
                <w:sz w:val="14"/>
              </w:rPr>
              <w:t>$212.05</w:t>
            </w:r>
          </w:p>
        </w:tc>
        <w:tc>
          <w:tcPr>
            <w:tcW w:type="dxa" w:w="1584"/>
            <w:vAlign w:val="center"/>
          </w:tcPr>
          <w:p>
            <w:r/>
            <w:r>
              <w:rPr>
                <w:b w:val="0"/>
                <w:sz w:val="14"/>
              </w:rPr>
              <w:t>$783,732</w:t>
            </w:r>
          </w:p>
        </w:tc>
      </w:tr>
    </w:tbl>
    <w:p/>
    <w:p>
      <w:pPr>
        <w:pStyle w:val="Heading1"/>
      </w:pPr>
      <w:r>
        <w:t>6. Pricing-basis interpretation</w:t>
      </w:r>
    </w:p>
    <w:p>
      <w:r>
        <w:t>Cell 14S audited entry_credit_points. The automated classifier used a conservative label because it detected an entry_spread column, but the underlying evidence indicates that entry_spread is bid/ask spread rather than a vertical-spread credit. The upstream source exposed short-strike and short-option P&amp;L columns and did not expose long-leg columns. The final Cell 15S lock therefore labels the program as naked short put / short put candidate sizing, not defined-spread sizing.</w:t>
      </w:r>
    </w:p>
    <w:p>
      <w:pPr>
        <w:pStyle w:val="ListBullet"/>
      </w:pPr>
      <w:r>
        <w:t>Treat entry_credit_points as short-put entry credit points for this branch until a deeper quote-construction audit says otherwise.</w:t>
      </w:r>
    </w:p>
    <w:p>
      <w:pPr>
        <w:pStyle w:val="ListBullet"/>
      </w:pPr>
      <w:r>
        <w:t>Do not describe this branch as a defined put-spread backtest.</w:t>
      </w:r>
    </w:p>
    <w:p>
      <w:pPr>
        <w:pStyle w:val="ListBullet"/>
      </w:pPr>
      <w:r>
        <w:t>Future spread-specific research must create or join a source with explicit short-leg and long-leg quotes, net credit, width, and spread payoff fields.</w:t>
      </w:r>
    </w:p>
    <w:p>
      <w:pPr>
        <w:pStyle w:val="Heading1"/>
      </w:pPr>
      <w:r>
        <w:t>7. Clean notebook deliverable</w:t>
      </w:r>
    </w:p>
    <w:p>
      <w:r>
        <w:t>The cleaned notebook delivered with this document is: 08_core_secondary_tertiary_sizing_research_v1_CLEANED.ipynb</w:t>
      </w:r>
    </w:p>
    <w:p>
      <w:pPr>
        <w:pStyle w:val="ListBullet"/>
      </w:pPr>
      <w:r>
        <w:t>All execution outputs and execution counts were cleared.</w:t>
      </w:r>
    </w:p>
    <w:p>
      <w:pPr>
        <w:pStyle w:val="ListBullet"/>
      </w:pPr>
      <w:r>
        <w:t>The empty trailing cell was removed.</w:t>
      </w:r>
    </w:p>
    <w:p>
      <w:pPr>
        <w:pStyle w:val="ListBullet"/>
      </w:pPr>
      <w:r>
        <w:t>A top-level markdown overview was added.</w:t>
      </w:r>
    </w:p>
    <w:p>
      <w:pPr>
        <w:pStyle w:val="ListBullet"/>
      </w:pPr>
      <w:r>
        <w:t>Research, lock, and reporting cells were preserved through Cell 16S.</w:t>
      </w:r>
    </w:p>
    <w:tbl>
      <w:tblPr>
        <w:tblStyle w:val="TableGrid"/>
        <w:tblW w:type="auto" w:w="0"/>
        <w:jc w:val="center"/>
        <w:tblLook w:firstColumn="1" w:firstRow="1" w:lastColumn="0" w:lastRow="0" w:noHBand="0" w:noVBand="1" w:val="04A0"/>
      </w:tblPr>
      <w:tblGrid>
        <w:gridCol w:w="5256"/>
        <w:gridCol w:w="5256"/>
      </w:tblGrid>
      <w:tr>
        <w:tc>
          <w:tcPr>
            <w:tcW w:type="dxa" w:w="1008"/>
            <w:vAlign w:val="center"/>
            <w:shd w:fill="D9EAF7"/>
          </w:tcPr>
          <w:p>
            <w:r/>
            <w:r>
              <w:rPr>
                <w:b/>
                <w:sz w:val="16"/>
              </w:rPr>
              <w:t>Cell</w:t>
            </w:r>
          </w:p>
        </w:tc>
        <w:tc>
          <w:tcPr>
            <w:tcW w:type="dxa" w:w="8640"/>
            <w:vAlign w:val="center"/>
            <w:shd w:fill="D9EAF7"/>
          </w:tcPr>
          <w:p>
            <w:r/>
            <w:r>
              <w:rPr>
                <w:b/>
                <w:sz w:val="16"/>
              </w:rPr>
              <w:t>Role</w:t>
            </w:r>
          </w:p>
        </w:tc>
      </w:tr>
      <w:tr>
        <w:tc>
          <w:tcPr>
            <w:tcW w:type="dxa" w:w="1008"/>
            <w:vAlign w:val="center"/>
          </w:tcPr>
          <w:p>
            <w:r/>
            <w:r>
              <w:rPr>
                <w:b w:val="0"/>
                <w:sz w:val="16"/>
              </w:rPr>
              <w:t>1S</w:t>
            </w:r>
          </w:p>
        </w:tc>
        <w:tc>
          <w:tcPr>
            <w:tcW w:type="dxa" w:w="8640"/>
            <w:vAlign w:val="center"/>
          </w:tcPr>
          <w:p>
            <w:r/>
            <w:r>
              <w:rPr>
                <w:b w:val="0"/>
                <w:sz w:val="16"/>
              </w:rPr>
              <w:t>Setup independent sizing branch directories and environment.</w:t>
            </w:r>
          </w:p>
        </w:tc>
      </w:tr>
      <w:tr>
        <w:tc>
          <w:tcPr>
            <w:tcW w:type="dxa" w:w="1008"/>
            <w:vAlign w:val="center"/>
          </w:tcPr>
          <w:p>
            <w:r/>
            <w:r>
              <w:rPr>
                <w:b w:val="0"/>
                <w:sz w:val="16"/>
              </w:rPr>
              <w:t>2S</w:t>
            </w:r>
          </w:p>
        </w:tc>
        <w:tc>
          <w:tcPr>
            <w:tcW w:type="dxa" w:w="8640"/>
            <w:vAlign w:val="center"/>
          </w:tcPr>
          <w:p>
            <w:r/>
            <w:r>
              <w:rPr>
                <w:b w:val="0"/>
                <w:sz w:val="16"/>
              </w:rPr>
              <w:t>Load source locked signal stack and repaired base panel.</w:t>
            </w:r>
          </w:p>
        </w:tc>
      </w:tr>
      <w:tr>
        <w:tc>
          <w:tcPr>
            <w:tcW w:type="dxa" w:w="1008"/>
            <w:vAlign w:val="center"/>
          </w:tcPr>
          <w:p>
            <w:r/>
            <w:r>
              <w:rPr>
                <w:b w:val="0"/>
                <w:sz w:val="16"/>
              </w:rPr>
              <w:t>3S</w:t>
            </w:r>
          </w:p>
        </w:tc>
        <w:tc>
          <w:tcPr>
            <w:tcW w:type="dxa" w:w="8640"/>
            <w:vAlign w:val="center"/>
          </w:tcPr>
          <w:p>
            <w:r/>
            <w:r>
              <w:rPr>
                <w:b w:val="0"/>
                <w:sz w:val="16"/>
              </w:rPr>
              <w:t>Build independent eligible trade panel across active layer x tenor rules.</w:t>
            </w:r>
          </w:p>
        </w:tc>
      </w:tr>
      <w:tr>
        <w:tc>
          <w:tcPr>
            <w:tcW w:type="dxa" w:w="1008"/>
            <w:vAlign w:val="center"/>
          </w:tcPr>
          <w:p>
            <w:r/>
            <w:r>
              <w:rPr>
                <w:b w:val="0"/>
                <w:sz w:val="16"/>
              </w:rPr>
              <w:t>4S</w:t>
            </w:r>
          </w:p>
        </w:tc>
        <w:tc>
          <w:tcPr>
            <w:tcW w:type="dxa" w:w="8640"/>
            <w:vAlign w:val="center"/>
          </w:tcPr>
          <w:p>
            <w:r/>
            <w:r>
              <w:rPr>
                <w:b w:val="0"/>
                <w:sz w:val="16"/>
              </w:rPr>
              <w:t>Generate sleeve-level performance and tail diagnostics.</w:t>
            </w:r>
          </w:p>
        </w:tc>
      </w:tr>
      <w:tr>
        <w:tc>
          <w:tcPr>
            <w:tcW w:type="dxa" w:w="1008"/>
            <w:vAlign w:val="center"/>
          </w:tcPr>
          <w:p>
            <w:r/>
            <w:r>
              <w:rPr>
                <w:b w:val="0"/>
                <w:sz w:val="16"/>
              </w:rPr>
              <w:t>5S</w:t>
            </w:r>
          </w:p>
        </w:tc>
        <w:tc>
          <w:tcPr>
            <w:tcW w:type="dxa" w:w="8640"/>
            <w:vAlign w:val="center"/>
          </w:tcPr>
          <w:p>
            <w:r/>
            <w:r>
              <w:rPr>
                <w:b w:val="0"/>
                <w:sz w:val="16"/>
              </w:rPr>
              <w:t>Create initial sizing scorecard, capped at 5%.</w:t>
            </w:r>
          </w:p>
        </w:tc>
      </w:tr>
      <w:tr>
        <w:tc>
          <w:tcPr>
            <w:tcW w:type="dxa" w:w="1008"/>
            <w:vAlign w:val="center"/>
          </w:tcPr>
          <w:p>
            <w:r/>
            <w:r>
              <w:rPr>
                <w:b w:val="0"/>
                <w:sz w:val="16"/>
              </w:rPr>
              <w:t>6S</w:t>
            </w:r>
          </w:p>
        </w:tc>
        <w:tc>
          <w:tcPr>
            <w:tcW w:type="dxa" w:w="8640"/>
            <w:vAlign w:val="center"/>
          </w:tcPr>
          <w:p>
            <w:r/>
            <w:r>
              <w:rPr>
                <w:b w:val="0"/>
                <w:sz w:val="16"/>
              </w:rPr>
              <w:t>Apply tail-budget independent sizing framework.</w:t>
            </w:r>
          </w:p>
        </w:tc>
      </w:tr>
      <w:tr>
        <w:tc>
          <w:tcPr>
            <w:tcW w:type="dxa" w:w="1008"/>
            <w:vAlign w:val="center"/>
          </w:tcPr>
          <w:p>
            <w:r/>
            <w:r>
              <w:rPr>
                <w:b w:val="0"/>
                <w:sz w:val="16"/>
              </w:rPr>
              <w:t>7S</w:t>
            </w:r>
          </w:p>
        </w:tc>
        <w:tc>
          <w:tcPr>
            <w:tcW w:type="dxa" w:w="8640"/>
            <w:vAlign w:val="center"/>
          </w:tcPr>
          <w:p>
            <w:r/>
            <w:r>
              <w:rPr>
                <w:b w:val="0"/>
                <w:sz w:val="16"/>
              </w:rPr>
              <w:t>Review Front taxonomy architecture: old stack, no-front, revised Secondary Front.</w:t>
            </w:r>
          </w:p>
        </w:tc>
      </w:tr>
      <w:tr>
        <w:tc>
          <w:tcPr>
            <w:tcW w:type="dxa" w:w="1008"/>
            <w:vAlign w:val="center"/>
          </w:tcPr>
          <w:p>
            <w:r/>
            <w:r>
              <w:rPr>
                <w:b w:val="0"/>
                <w:sz w:val="16"/>
              </w:rPr>
              <w:t>8S</w:t>
            </w:r>
          </w:p>
        </w:tc>
        <w:tc>
          <w:tcPr>
            <w:tcW w:type="dxa" w:w="8640"/>
            <w:vAlign w:val="center"/>
          </w:tcPr>
          <w:p>
            <w:r/>
            <w:r>
              <w:rPr>
                <w:b w:val="0"/>
                <w:sz w:val="16"/>
              </w:rPr>
              <w:t>Lock revised Front taxonomy signal stack: Core Middle/Back, Secondary Front/Middle/Back, no Tertiary.</w:t>
            </w:r>
          </w:p>
        </w:tc>
      </w:tr>
      <w:tr>
        <w:tc>
          <w:tcPr>
            <w:tcW w:type="dxa" w:w="1008"/>
            <w:vAlign w:val="center"/>
          </w:tcPr>
          <w:p>
            <w:r/>
            <w:r>
              <w:rPr>
                <w:b w:val="0"/>
                <w:sz w:val="16"/>
              </w:rPr>
              <w:t>9S</w:t>
            </w:r>
          </w:p>
        </w:tc>
        <w:tc>
          <w:tcPr>
            <w:tcW w:type="dxa" w:w="8640"/>
            <w:vAlign w:val="center"/>
          </w:tcPr>
          <w:p>
            <w:r/>
            <w:r>
              <w:rPr>
                <w:b w:val="0"/>
                <w:sz w:val="16"/>
              </w:rPr>
              <w:t>Lock Secondary consistency fix: Secondary Middle log and z-score thresholds aligned with final taxonomy.</w:t>
            </w:r>
          </w:p>
        </w:tc>
      </w:tr>
      <w:tr>
        <w:tc>
          <w:tcPr>
            <w:tcW w:type="dxa" w:w="1008"/>
            <w:vAlign w:val="center"/>
          </w:tcPr>
          <w:p>
            <w:r/>
            <w:r>
              <w:rPr>
                <w:b w:val="0"/>
                <w:sz w:val="16"/>
              </w:rPr>
              <w:t>10S</w:t>
            </w:r>
          </w:p>
        </w:tc>
        <w:tc>
          <w:tcPr>
            <w:tcW w:type="dxa" w:w="8640"/>
            <w:vAlign w:val="center"/>
          </w:tcPr>
          <w:p>
            <w:r/>
            <w:r>
              <w:rPr>
                <w:b w:val="0"/>
                <w:sz w:val="16"/>
              </w:rPr>
              <w:t>Build final independent Core/Secondary sizing opportunity panel.</w:t>
            </w:r>
          </w:p>
        </w:tc>
      </w:tr>
      <w:tr>
        <w:tc>
          <w:tcPr>
            <w:tcW w:type="dxa" w:w="1008"/>
            <w:vAlign w:val="center"/>
          </w:tcPr>
          <w:p>
            <w:r/>
            <w:r>
              <w:rPr>
                <w:b w:val="0"/>
                <w:sz w:val="16"/>
              </w:rPr>
              <w:t>11S</w:t>
            </w:r>
          </w:p>
        </w:tc>
        <w:tc>
          <w:tcPr>
            <w:tcW w:type="dxa" w:w="8640"/>
            <w:vAlign w:val="center"/>
          </w:tcPr>
          <w:p>
            <w:r/>
            <w:r>
              <w:rPr>
                <w:b w:val="0"/>
                <w:sz w:val="16"/>
              </w:rPr>
              <w:t>Compute final sleeve performance and tail diagnostics.</w:t>
            </w:r>
          </w:p>
        </w:tc>
      </w:tr>
      <w:tr>
        <w:tc>
          <w:tcPr>
            <w:tcW w:type="dxa" w:w="1008"/>
            <w:vAlign w:val="center"/>
          </w:tcPr>
          <w:p>
            <w:r/>
            <w:r>
              <w:rPr>
                <w:b w:val="0"/>
                <w:sz w:val="16"/>
              </w:rPr>
              <w:t>12S</w:t>
            </w:r>
          </w:p>
        </w:tc>
        <w:tc>
          <w:tcPr>
            <w:tcW w:type="dxa" w:w="8640"/>
            <w:vAlign w:val="center"/>
          </w:tcPr>
          <w:p>
            <w:r/>
            <w:r>
              <w:rPr>
                <w:b w:val="0"/>
                <w:sz w:val="16"/>
              </w:rPr>
              <w:t>Generate final tail-budget sizing scorecard.</w:t>
            </w:r>
          </w:p>
        </w:tc>
      </w:tr>
      <w:tr>
        <w:tc>
          <w:tcPr>
            <w:tcW w:type="dxa" w:w="1008"/>
            <w:vAlign w:val="center"/>
          </w:tcPr>
          <w:p>
            <w:r/>
            <w:r>
              <w:rPr>
                <w:b w:val="0"/>
                <w:sz w:val="16"/>
              </w:rPr>
              <w:t>13S</w:t>
            </w:r>
          </w:p>
        </w:tc>
        <w:tc>
          <w:tcPr>
            <w:tcW w:type="dxa" w:w="8640"/>
            <w:vAlign w:val="center"/>
          </w:tcPr>
          <w:p>
            <w:r/>
            <w:r>
              <w:rPr>
                <w:b w:val="0"/>
                <w:sz w:val="16"/>
              </w:rPr>
              <w:t>Run one-trade-per-day program using final recommended sizes.</w:t>
            </w:r>
          </w:p>
        </w:tc>
      </w:tr>
      <w:tr>
        <w:tc>
          <w:tcPr>
            <w:tcW w:type="dxa" w:w="1008"/>
            <w:vAlign w:val="center"/>
          </w:tcPr>
          <w:p>
            <w:r/>
            <w:r>
              <w:rPr>
                <w:b w:val="0"/>
                <w:sz w:val="16"/>
              </w:rPr>
              <w:t>14S</w:t>
            </w:r>
          </w:p>
        </w:tc>
        <w:tc>
          <w:tcPr>
            <w:tcW w:type="dxa" w:w="8640"/>
            <w:vAlign w:val="center"/>
          </w:tcPr>
          <w:p>
            <w:r/>
            <w:r>
              <w:rPr>
                <w:b w:val="0"/>
                <w:sz w:val="16"/>
              </w:rPr>
              <w:t>Audit entry_credit_points pricing basis and confirm branch should be treated as naked short put / short put candidate P&amp;L.</w:t>
            </w:r>
          </w:p>
        </w:tc>
      </w:tr>
      <w:tr>
        <w:tc>
          <w:tcPr>
            <w:tcW w:type="dxa" w:w="1008"/>
            <w:vAlign w:val="center"/>
          </w:tcPr>
          <w:p>
            <w:r/>
            <w:r>
              <w:rPr>
                <w:b w:val="0"/>
                <w:sz w:val="16"/>
              </w:rPr>
              <w:t>15S</w:t>
            </w:r>
          </w:p>
        </w:tc>
        <w:tc>
          <w:tcPr>
            <w:tcW w:type="dxa" w:w="8640"/>
            <w:vAlign w:val="center"/>
          </w:tcPr>
          <w:p>
            <w:r/>
            <w:r>
              <w:rPr>
                <w:b w:val="0"/>
                <w:sz w:val="16"/>
              </w:rPr>
              <w:t>Lock final one-trade-per-day naked-put sizing program.</w:t>
            </w:r>
          </w:p>
        </w:tc>
      </w:tr>
      <w:tr>
        <w:tc>
          <w:tcPr>
            <w:tcW w:type="dxa" w:w="1008"/>
            <w:vAlign w:val="center"/>
          </w:tcPr>
          <w:p>
            <w:r/>
            <w:r>
              <w:rPr>
                <w:b w:val="0"/>
                <w:sz w:val="16"/>
              </w:rPr>
              <w:t>16S</w:t>
            </w:r>
          </w:p>
        </w:tc>
        <w:tc>
          <w:tcPr>
            <w:tcW w:type="dxa" w:w="8640"/>
            <w:vAlign w:val="center"/>
          </w:tcPr>
          <w:p>
            <w:r/>
            <w:r>
              <w:rPr>
                <w:b w:val="0"/>
                <w:sz w:val="16"/>
              </w:rPr>
              <w:t>Report locked DTE performance and cumulative P&amp;L chart.</w:t>
            </w:r>
          </w:p>
        </w:tc>
      </w:tr>
    </w:tbl>
    <w:p/>
    <w:p>
      <w:r>
        <w:br w:type="page"/>
      </w:r>
    </w:p>
    <w:p>
      <w:pPr>
        <w:pStyle w:val="Heading2"/>
      </w:pPr>
      <w:r>
        <w:rPr>
          <w:b w:val="0"/>
        </w:rPr>
        <w:t>7.1 Denominator model code and artifact locations</w:t>
      </w:r>
    </w:p>
    <w:p>
      <w:r>
        <w:rPr>
          <w:b w:val="0"/>
        </w:rPr>
        <w:t>The sizing notebook is not the only code that matters. The denominator model itself lives in the unified FDS model notebook and its processed/audit branches. The sizing notebook consumes the locked signal base and sizing artifacts.</w:t>
      </w:r>
    </w:p>
    <w:tbl>
      <w:tblPr>
        <w:tblStyle w:val="TableGrid"/>
        <w:tblW w:type="auto" w:w="0"/>
        <w:tblLook w:firstColumn="1" w:firstRow="1" w:lastColumn="0" w:lastRow="0" w:noHBand="0" w:noVBand="1" w:val="04A0"/>
      </w:tblPr>
      <w:tblGrid>
        <w:gridCol w:w="5256"/>
        <w:gridCol w:w="5256"/>
      </w:tblGrid>
      <w:tr>
        <w:tc>
          <w:tcPr>
            <w:tcW w:type="dxa" w:w="5256"/>
          </w:tcPr>
          <w:p>
            <w:r/>
            <w:r>
              <w:rPr>
                <w:b/>
              </w:rPr>
              <w:t>Purpose</w:t>
            </w:r>
          </w:p>
        </w:tc>
        <w:tc>
          <w:tcPr>
            <w:tcW w:type="dxa" w:w="5256"/>
          </w:tcPr>
          <w:p>
            <w:r/>
            <w:r>
              <w:rPr>
                <w:b/>
              </w:rPr>
              <w:t>Path / pattern</w:t>
            </w:r>
          </w:p>
        </w:tc>
      </w:tr>
      <w:tr>
        <w:tc>
          <w:tcPr>
            <w:tcW w:type="dxa" w:w="5256"/>
          </w:tcPr>
          <w:p>
            <w:r/>
            <w:r>
              <w:rPr>
                <w:b w:val="0"/>
              </w:rPr>
              <w:t>Locked denominator model notebook</w:t>
            </w:r>
          </w:p>
        </w:tc>
        <w:tc>
          <w:tcPr>
            <w:tcW w:type="dxa" w:w="5256"/>
          </w:tcPr>
          <w:p>
            <w:r/>
            <w:r>
              <w:rPr>
                <w:b w:val="0"/>
              </w:rPr>
              <w:t>C:\Users\patri\vrp_project\notebooks\vrp_unified_fds_no_min_return_locked_model_clean.ipynb</w:t>
            </w:r>
          </w:p>
        </w:tc>
      </w:tr>
      <w:tr>
        <w:tc>
          <w:tcPr>
            <w:tcW w:type="dxa" w:w="5256"/>
          </w:tcPr>
          <w:p>
            <w:r/>
            <w:r>
              <w:rPr>
                <w:b w:val="0"/>
              </w:rPr>
              <w:t>Clean sizing notebook</w:t>
            </w:r>
          </w:p>
        </w:tc>
        <w:tc>
          <w:tcPr>
            <w:tcW w:type="dxa" w:w="5256"/>
          </w:tcPr>
          <w:p>
            <w:r/>
            <w:r>
              <w:rPr>
                <w:b w:val="0"/>
              </w:rPr>
              <w:t>C:\Users\patri\vrp_project\notebooks\08_core_secondary_tertiary_sizing_research_v1_CLEANED.ipynb</w:t>
            </w:r>
          </w:p>
        </w:tc>
      </w:tr>
      <w:tr>
        <w:tc>
          <w:tcPr>
            <w:tcW w:type="dxa" w:w="5256"/>
          </w:tcPr>
          <w:p>
            <w:r/>
            <w:r>
              <w:rPr>
                <w:b w:val="0"/>
              </w:rPr>
              <w:t>Working denominator branch processed data</w:t>
            </w:r>
          </w:p>
        </w:tc>
        <w:tc>
          <w:tcPr>
            <w:tcW w:type="dxa" w:w="5256"/>
          </w:tcPr>
          <w:p>
            <w:r/>
            <w:r>
              <w:rPr>
                <w:b w:val="0"/>
              </w:rPr>
              <w:t>C:\Users\patri\vrp_project\data\processed\vrp_front_middle_corsi_forecast_repair_v1</w:t>
            </w:r>
          </w:p>
        </w:tc>
      </w:tr>
      <w:tr>
        <w:tc>
          <w:tcPr>
            <w:tcW w:type="dxa" w:w="5256"/>
          </w:tcPr>
          <w:p>
            <w:r/>
            <w:r>
              <w:rPr>
                <w:b w:val="0"/>
              </w:rPr>
              <w:t>Working denominator branch audit/charts</w:t>
            </w:r>
          </w:p>
        </w:tc>
        <w:tc>
          <w:tcPr>
            <w:tcW w:type="dxa" w:w="5256"/>
          </w:tcPr>
          <w:p>
            <w:r/>
            <w:r>
              <w:rPr>
                <w:b w:val="0"/>
              </w:rPr>
              <w:t>C:\Users\patri\vrp_project\data\audit\vrp_front_middle_corsi_forecast_repair_v1</w:t>
            </w:r>
          </w:p>
        </w:tc>
      </w:tr>
      <w:tr>
        <w:tc>
          <w:tcPr>
            <w:tcW w:type="dxa" w:w="5256"/>
          </w:tcPr>
          <w:p>
            <w:r/>
            <w:r>
              <w:rPr>
                <w:b w:val="0"/>
              </w:rPr>
              <w:t>Forward Corsi realized-variance targets</w:t>
            </w:r>
          </w:p>
        </w:tc>
        <w:tc>
          <w:tcPr>
            <w:tcW w:type="dxa" w:w="5256"/>
          </w:tcPr>
          <w:p>
            <w:r/>
            <w:r>
              <w:rPr>
                <w:b w:val="0"/>
              </w:rPr>
              <w:t>data\processed\forecast_model_corsi_v1\corsi_forward_realized_variance_targets_v1_*.parquet</w:t>
            </w:r>
          </w:p>
        </w:tc>
      </w:tr>
      <w:tr>
        <w:tc>
          <w:tcPr>
            <w:tcW w:type="dxa" w:w="5256"/>
          </w:tcPr>
          <w:p>
            <w:r/>
            <w:r>
              <w:rPr>
                <w:b w:val="0"/>
              </w:rPr>
              <w:t>Corsi implied/feature panel</w:t>
            </w:r>
          </w:p>
        </w:tc>
        <w:tc>
          <w:tcPr>
            <w:tcW w:type="dxa" w:w="5256"/>
          </w:tcPr>
          <w:p>
            <w:r/>
            <w:r>
              <w:rPr>
                <w:b w:val="0"/>
              </w:rPr>
              <w:t>data\processed\forecast_model_corsi_v1\corsi_model_feature_panel_v1_*.parquet</w:t>
            </w:r>
          </w:p>
        </w:tc>
      </w:tr>
      <w:tr>
        <w:tc>
          <w:tcPr>
            <w:tcW w:type="dxa" w:w="5256"/>
          </w:tcPr>
          <w:p>
            <w:r/>
            <w:r>
              <w:rPr>
                <w:b w:val="0"/>
              </w:rPr>
              <w:t>Cell 4 enriched candidate feature panel</w:t>
            </w:r>
          </w:p>
        </w:tc>
        <w:tc>
          <w:tcPr>
            <w:tcW w:type="dxa" w:w="5256"/>
          </w:tcPr>
          <w:p>
            <w:r/>
            <w:r>
              <w:rPr>
                <w:b w:val="0"/>
              </w:rPr>
              <w:t>data\processed\vrp_front_middle_corsi_forecast_repair_v1\04_front_middle_candidate_feature_panel_*.parquet</w:t>
            </w:r>
          </w:p>
        </w:tc>
      </w:tr>
      <w:tr>
        <w:tc>
          <w:tcPr>
            <w:tcW w:type="dxa" w:w="5256"/>
          </w:tcPr>
          <w:p>
            <w:r/>
            <w:r>
              <w:rPr>
                <w:b w:val="0"/>
              </w:rPr>
              <w:t>Locked Cell 7A forecast panel</w:t>
            </w:r>
          </w:p>
        </w:tc>
        <w:tc>
          <w:tcPr>
            <w:tcW w:type="dxa" w:w="5256"/>
          </w:tcPr>
          <w:p>
            <w:r/>
            <w:r>
              <w:rPr>
                <w:b w:val="0"/>
              </w:rPr>
              <w:t>data\processed\vrp_front_middle_corsi_forecast_repair_v1\07A_unified_fds_no_min_return_oos_forecast_panel_*.parquet</w:t>
            </w:r>
          </w:p>
        </w:tc>
      </w:tr>
      <w:tr>
        <w:tc>
          <w:tcPr>
            <w:tcW w:type="dxa" w:w="5256"/>
          </w:tcPr>
          <w:p>
            <w:r/>
            <w:r>
              <w:rPr>
                <w:b w:val="0"/>
              </w:rPr>
              <w:t>Final signal/sizing source panel</w:t>
            </w:r>
          </w:p>
        </w:tc>
        <w:tc>
          <w:tcPr>
            <w:tcW w:type="dxa" w:w="5256"/>
          </w:tcPr>
          <w:p>
            <w:r/>
            <w:r>
              <w:rPr>
                <w:b w:val="0"/>
              </w:rPr>
              <w:t>data\processed\vrp_core_secondary_tertiary_independent_sizing_research_v1 or latest sizing-branch 15S/16S artifacts</w:t>
            </w:r>
          </w:p>
        </w:tc>
      </w:tr>
      <w:tr>
        <w:tc>
          <w:tcPr>
            <w:tcW w:type="dxa" w:w="5256"/>
          </w:tcPr>
          <w:p>
            <w:r/>
            <w:r>
              <w:rPr>
                <w:b w:val="0"/>
              </w:rPr>
              <w:t>Production RV21D market-data layer</w:t>
            </w:r>
          </w:p>
        </w:tc>
        <w:tc>
          <w:tcPr>
            <w:tcW w:type="dxa" w:w="5256"/>
          </w:tcPr>
          <w:p>
            <w:r/>
            <w:r>
              <w:rPr>
                <w:b w:val="0"/>
              </w:rPr>
              <w:t>data\processed\market_data\spy_realized_vol_history_v1.parquet</w:t>
            </w:r>
          </w:p>
        </w:tc>
      </w:tr>
    </w:tbl>
    <w:p>
      <w:r>
        <w:rPr>
          <w:b w:val="0"/>
        </w:rPr>
        <w:t>Code responsibility split: the denominator notebook defines and scores forecast_variance_candidate. The signal/sizing notebook applies Core/Secondary thresholds, one-trade-per-day ranking, and locked sizing. The production market-data layer supplies rv21d_vol_pct and other market-data sanity checks; it should not be used to silently replace the Corsi/FDS denominator.</w:t>
      </w:r>
    </w:p>
    <w:p>
      <w:pPr>
        <w:pStyle w:val="Heading1"/>
      </w:pPr>
      <w:r>
        <w:t>8. Primary locked artifact patterns</w:t>
      </w:r>
    </w:p>
    <w:tbl>
      <w:tblPr>
        <w:tblStyle w:val="TableGrid"/>
        <w:tblW w:type="auto" w:w="0"/>
        <w:jc w:val="center"/>
        <w:tblLook w:firstColumn="1" w:firstRow="1" w:lastColumn="0" w:lastRow="0" w:noHBand="0" w:noVBand="1" w:val="04A0"/>
      </w:tblPr>
      <w:tblGrid>
        <w:gridCol w:w="5256"/>
        <w:gridCol w:w="5256"/>
      </w:tblGrid>
      <w:tr>
        <w:tc>
          <w:tcPr>
            <w:tcW w:type="dxa" w:w="3168"/>
            <w:vAlign w:val="center"/>
            <w:shd w:fill="D9EAF7"/>
          </w:tcPr>
          <w:p>
            <w:r/>
            <w:r>
              <w:rPr>
                <w:b/>
                <w:sz w:val="16"/>
              </w:rPr>
              <w:t>Artifact type</w:t>
            </w:r>
          </w:p>
        </w:tc>
        <w:tc>
          <w:tcPr>
            <w:tcW w:type="dxa" w:w="6912"/>
            <w:vAlign w:val="center"/>
            <w:shd w:fill="D9EAF7"/>
          </w:tcPr>
          <w:p>
            <w:r/>
            <w:r>
              <w:rPr>
                <w:b/>
                <w:sz w:val="16"/>
              </w:rPr>
              <w:t>File pattern</w:t>
            </w:r>
          </w:p>
        </w:tc>
      </w:tr>
      <w:tr>
        <w:tc>
          <w:tcPr>
            <w:tcW w:type="dxa" w:w="3168"/>
            <w:vAlign w:val="center"/>
          </w:tcPr>
          <w:p>
            <w:r/>
            <w:r>
              <w:rPr>
                <w:b w:val="0"/>
                <w:sz w:val="16"/>
              </w:rPr>
              <w:t>Sizing lock rules</w:t>
            </w:r>
          </w:p>
        </w:tc>
        <w:tc>
          <w:tcPr>
            <w:tcW w:type="dxa" w:w="6912"/>
            <w:vAlign w:val="center"/>
          </w:tcPr>
          <w:p>
            <w:r/>
            <w:r>
              <w:rPr>
                <w:b w:val="0"/>
                <w:sz w:val="16"/>
              </w:rPr>
              <w:t>15S_final_one_trade_per_day_naked_put_sizing_lock_rules_*.parquet / .csv</w:t>
            </w:r>
          </w:p>
        </w:tc>
      </w:tr>
      <w:tr>
        <w:tc>
          <w:tcPr>
            <w:tcW w:type="dxa" w:w="3168"/>
            <w:vAlign w:val="center"/>
          </w:tcPr>
          <w:p>
            <w:r/>
            <w:r>
              <w:rPr>
                <w:b w:val="0"/>
                <w:sz w:val="16"/>
              </w:rPr>
              <w:t>Sizing selection rule</w:t>
            </w:r>
          </w:p>
        </w:tc>
        <w:tc>
          <w:tcPr>
            <w:tcW w:type="dxa" w:w="6912"/>
            <w:vAlign w:val="center"/>
          </w:tcPr>
          <w:p>
            <w:r/>
            <w:r>
              <w:rPr>
                <w:b w:val="0"/>
                <w:sz w:val="16"/>
              </w:rPr>
              <w:t>15S_final_one_trade_per_day_naked_put_selection_rule_*.json</w:t>
            </w:r>
          </w:p>
        </w:tc>
      </w:tr>
      <w:tr>
        <w:tc>
          <w:tcPr>
            <w:tcW w:type="dxa" w:w="3168"/>
            <w:vAlign w:val="center"/>
          </w:tcPr>
          <w:p>
            <w:r/>
            <w:r>
              <w:rPr>
                <w:b w:val="0"/>
                <w:sz w:val="16"/>
              </w:rPr>
              <w:t>Sizing lock validation</w:t>
            </w:r>
          </w:p>
        </w:tc>
        <w:tc>
          <w:tcPr>
            <w:tcW w:type="dxa" w:w="6912"/>
            <w:vAlign w:val="center"/>
          </w:tcPr>
          <w:p>
            <w:r/>
            <w:r>
              <w:rPr>
                <w:b w:val="0"/>
                <w:sz w:val="16"/>
              </w:rPr>
              <w:t>15S_final_one_trade_per_day_naked_put_sizing_lock_validation_*.csv</w:t>
            </w:r>
          </w:p>
        </w:tc>
      </w:tr>
      <w:tr>
        <w:tc>
          <w:tcPr>
            <w:tcW w:type="dxa" w:w="3168"/>
            <w:vAlign w:val="center"/>
          </w:tcPr>
          <w:p>
            <w:r/>
            <w:r>
              <w:rPr>
                <w:b w:val="0"/>
                <w:sz w:val="16"/>
              </w:rPr>
              <w:t>Sizing lock manifest</w:t>
            </w:r>
          </w:p>
        </w:tc>
        <w:tc>
          <w:tcPr>
            <w:tcW w:type="dxa" w:w="6912"/>
            <w:vAlign w:val="center"/>
          </w:tcPr>
          <w:p>
            <w:r/>
            <w:r>
              <w:rPr>
                <w:b w:val="0"/>
                <w:sz w:val="16"/>
              </w:rPr>
              <w:t>15S_final_one_trade_per_day_naked_put_sizing_lock_manifest_*.json</w:t>
            </w:r>
          </w:p>
        </w:tc>
      </w:tr>
      <w:tr>
        <w:tc>
          <w:tcPr>
            <w:tcW w:type="dxa" w:w="3168"/>
            <w:vAlign w:val="center"/>
          </w:tcPr>
          <w:p>
            <w:r/>
            <w:r>
              <w:rPr>
                <w:b w:val="0"/>
                <w:sz w:val="16"/>
              </w:rPr>
              <w:t>Locked program summary</w:t>
            </w:r>
          </w:p>
        </w:tc>
        <w:tc>
          <w:tcPr>
            <w:tcW w:type="dxa" w:w="6912"/>
            <w:vAlign w:val="center"/>
          </w:tcPr>
          <w:p>
            <w:r/>
            <w:r>
              <w:rPr>
                <w:b w:val="0"/>
                <w:sz w:val="16"/>
              </w:rPr>
              <w:t>15S_final_one_trade_per_day_naked_put_program_summary_*.parquet / .csv</w:t>
            </w:r>
          </w:p>
        </w:tc>
      </w:tr>
      <w:tr>
        <w:tc>
          <w:tcPr>
            <w:tcW w:type="dxa" w:w="3168"/>
            <w:vAlign w:val="center"/>
          </w:tcPr>
          <w:p>
            <w:r/>
            <w:r>
              <w:rPr>
                <w:b w:val="0"/>
                <w:sz w:val="16"/>
              </w:rPr>
              <w:t>DTE performance table</w:t>
            </w:r>
          </w:p>
        </w:tc>
        <w:tc>
          <w:tcPr>
            <w:tcW w:type="dxa" w:w="6912"/>
            <w:vAlign w:val="center"/>
          </w:tcPr>
          <w:p>
            <w:r/>
            <w:r>
              <w:rPr>
                <w:b w:val="0"/>
                <w:sz w:val="16"/>
              </w:rPr>
              <w:t>16S_locked_dte_performance_table_*.parquet / .csv</w:t>
            </w:r>
          </w:p>
        </w:tc>
      </w:tr>
      <w:tr>
        <w:tc>
          <w:tcPr>
            <w:tcW w:type="dxa" w:w="3168"/>
            <w:vAlign w:val="center"/>
          </w:tcPr>
          <w:p>
            <w:r/>
            <w:r>
              <w:rPr>
                <w:b w:val="0"/>
                <w:sz w:val="16"/>
              </w:rPr>
              <w:t>Cumulative P&amp;L time series</w:t>
            </w:r>
          </w:p>
        </w:tc>
        <w:tc>
          <w:tcPr>
            <w:tcW w:type="dxa" w:w="6912"/>
            <w:vAlign w:val="center"/>
          </w:tcPr>
          <w:p>
            <w:r/>
            <w:r>
              <w:rPr>
                <w:b w:val="0"/>
                <w:sz w:val="16"/>
              </w:rPr>
              <w:t>16S_locked_cumulative_pnl_timeseries_*.parquet / .csv</w:t>
            </w:r>
          </w:p>
        </w:tc>
      </w:tr>
      <w:tr>
        <w:tc>
          <w:tcPr>
            <w:tcW w:type="dxa" w:w="3168"/>
            <w:vAlign w:val="center"/>
          </w:tcPr>
          <w:p>
            <w:r/>
            <w:r>
              <w:rPr>
                <w:b w:val="0"/>
                <w:sz w:val="16"/>
              </w:rPr>
              <w:t>Cumulative P&amp;L chart</w:t>
            </w:r>
          </w:p>
        </w:tc>
        <w:tc>
          <w:tcPr>
            <w:tcW w:type="dxa" w:w="6912"/>
            <w:vAlign w:val="center"/>
          </w:tcPr>
          <w:p>
            <w:r/>
            <w:r>
              <w:rPr>
                <w:b w:val="0"/>
                <w:sz w:val="16"/>
              </w:rPr>
              <w:t>charts/16S_locked_one_trade_per_day_cumulative_size_weighted_pnl_*.png</w:t>
            </w:r>
          </w:p>
        </w:tc>
      </w:tr>
    </w:tbl>
    <w:p/>
    <w:p>
      <w:pPr>
        <w:pStyle w:val="Heading1"/>
      </w:pPr>
      <w:r>
        <w:t>9. Do-not-change contract</w:t>
      </w:r>
    </w:p>
    <w:p>
      <w:pPr>
        <w:pStyle w:val="ListBullet"/>
      </w:pPr>
      <w:r>
        <w:t>Do not change the unified_fds_no_min_return denominator model, feature set, z-score construction, or rv21d_vol_pct threshold contract inside sizing or reporting cells.</w:t>
      </w:r>
    </w:p>
    <w:p>
      <w:pPr>
        <w:pStyle w:val="ListBullet"/>
      </w:pPr>
      <w:r>
        <w:t>Do not retune signal thresholds inside sizing cells.</w:t>
      </w:r>
    </w:p>
    <w:p>
      <w:pPr>
        <w:pStyle w:val="ListBullet"/>
      </w:pPr>
      <w:r>
        <w:t>Do not reactivate Core Front or Tertiary Front without a separately approved threshold-research scope.</w:t>
      </w:r>
    </w:p>
    <w:p>
      <w:pPr>
        <w:pStyle w:val="ListBullet"/>
      </w:pPr>
      <w:r>
        <w:t>Do not describe current P&amp;L as defined-spread P&amp;L unless a separate spread-pricing/outcome source is built and validated.</w:t>
      </w:r>
    </w:p>
    <w:p>
      <w:pPr>
        <w:pStyle w:val="ListBullet"/>
      </w:pPr>
      <w:r>
        <w:t>Do not change the locked sizing table unless a new sizing-research scope is approved.</w:t>
      </w:r>
    </w:p>
    <w:p>
      <w:pPr>
        <w:pStyle w:val="ListBullet"/>
      </w:pPr>
      <w:r>
        <w:t>Production/intraday implementation should consume the locked signal and sizing artifacts rather than recreating research logic ad hoc.</w:t>
      </w:r>
    </w:p>
    <w:p>
      <w:pPr>
        <w:pStyle w:val="Heading2"/>
      </w:pPr>
      <w:r>
        <w:rPr>
          <w:b w:val="0"/>
        </w:rPr>
        <w:t>9.1 Additional review notes from July 2026 document pass</w:t>
      </w:r>
    </w:p>
    <w:p>
      <w:r>
        <w:rPr>
          <w:b w:val="0"/>
        </w:rPr>
        <w:t>Do not replace the total Corsi/FDS target with an EOD-only realized-volatility shortcut without a separately approved model-scope change.</w:t>
      </w:r>
    </w:p>
    <w:p>
      <w:r>
        <w:rPr>
          <w:b w:val="0"/>
        </w:rPr>
        <w:t>Do not drop overnight realized variance from target construction. Overnight variance is part of the total realized-variance target contract.</w:t>
      </w:r>
    </w:p>
    <w:p>
      <w:r>
        <w:rPr>
          <w:b w:val="0"/>
        </w:rPr>
        <w:t>Do not treat the production RV21D market-data layer as the model denominator. RV21D is a volatility-floor/filter input; forecast_variance_candidate remains the denominator.</w:t>
      </w:r>
    </w:p>
    <w:p>
      <w:r>
        <w:rPr>
          <w:b w:val="0"/>
        </w:rPr>
        <w:t>Keep the model-grid versus active-signal-tenor distinction explicit: the denominator model may score the full 9-tenor grid, while the final sizing program only selects from the active Core/Secondary sleeves.</w:t>
      </w:r>
    </w:p>
    <w:p>
      <w:pPr>
        <w:pStyle w:val="Heading1"/>
      </w:pPr>
      <w:r>
        <w:t>10. Next phase</w:t>
      </w:r>
    </w:p>
    <w:p>
      <w:r>
        <w:t>The next natural phase is production/intraday implementation and portfolio-level risk management: rolling exposure caps, stress-node limits, dashboard views, and any separate spread-specific extension if the trade implementation is changed from naked short put to defined spread.</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VRP signal stack and sizing documentation - reviewed update 2026-07-06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