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2" w:lineRule="auto"/>
        <w:jc w:val="center"/>
      </w:pPr>
      <w:r>
        <w:rPr>
          <w:b/>
          <w:sz w:val="36"/>
        </w:rPr>
        <w:t>Corsi / HAR-RV Forecast Model Research and Selection Memo</w:t>
      </w:r>
    </w:p>
    <w:p>
      <w:pPr>
        <w:spacing w:after="80" w:line="252" w:lineRule="auto"/>
        <w:jc w:val="center"/>
      </w:pPr>
      <w:r>
        <w:rPr>
          <w:i/>
          <w:sz w:val="20"/>
        </w:rPr>
        <w:t>Accompanying document for 01_corsi_har_rv_forecast_model_research_cleaned.ipynb</w:t>
      </w:r>
    </w:p>
    <w:p>
      <w:pPr>
        <w:spacing w:after="80" w:line="252" w:lineRule="auto"/>
        <w:jc w:val="center"/>
      </w:pPr>
      <w:r>
        <w:rPr>
          <w:sz w:val="18"/>
        </w:rPr>
        <w:t>Prepared for VRP term-structure signal research</w:t>
      </w:r>
    </w:p>
    <w:p>
      <w:pPr>
        <w:pStyle w:val="Heading1"/>
        <w:spacing w:after="80" w:line="252" w:lineRule="auto"/>
      </w:pPr>
      <w:r>
        <w:t>Executive summary</w:t>
      </w:r>
    </w:p>
    <w:p>
      <w:pPr>
        <w:spacing w:after="80" w:line="252" w:lineRule="auto"/>
      </w:pPr>
      <w:r>
        <w:t>This notebook evaluates whether an intraday-realized-variance Corsi/HAR model should replace the legacy forecast-variance denominator used in the VRP tenor-selection process. The objective is not to choose the final trading signal yet; it is to decide which denominator candidates should be carried into the next signal-definition and parameter-sweep notebook.</w:t>
      </w:r>
    </w:p>
    <w:p>
      <w:pPr>
        <w:spacing w:after="80" w:line="252" w:lineRule="auto"/>
      </w:pPr>
      <w:r>
        <w:t>The research separates forecast accuracy from trading usefulness. The model with the best forecast-error statistics was not the best trading-signal denominator. The final out-of-sample trade-selection test supports keeping the current/legacy denominator as the baseline and carrying forward har_total_simple as the only Corsi/HAR challenger. The har_implied_shrinkage model should be rejected as a trading-signal denominator, although it remains useful as a forecast diagnostic.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top"/>
            <w:shd w:fill="D9EAF7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Decision item</w:t>
            </w:r>
          </w:p>
        </w:tc>
        <w:tc>
          <w:tcPr>
            <w:tcW w:type="dxa" w:w="7776"/>
            <w:vAlign w:val="top"/>
            <w:shd w:fill="D9EAF7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Conclusion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Baseline denominator</w:t>
            </w:r>
          </w:p>
        </w:tc>
        <w:tc>
          <w:tcPr>
            <w:tcW w:type="dxa" w:w="7776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Keep current / legacy denominator. It remains robust and competitive in OOS trade selection.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Corsi challenger</w:t>
            </w:r>
          </w:p>
        </w:tc>
        <w:tc>
          <w:tcPr>
            <w:tcW w:type="dxa" w:w="7776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Carry forward har_total_simple. It is a realized-only Corsi/HAR denominator and produced the strongest Corsi OOS trading result.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Rejected for trade selection</w:t>
            </w:r>
          </w:p>
        </w:tc>
        <w:tc>
          <w:tcPr>
            <w:tcW w:type="dxa" w:w="7776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Reject har_implied_shrinkage as the trading-signal denominator despite superior forecast-error metrics.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Next notebook</w:t>
            </w:r>
          </w:p>
        </w:tc>
        <w:tc>
          <w:tcPr>
            <w:tcW w:type="dxa" w:w="7776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Start a new signal-definition and parameter-sweep notebook comparing current vs har_total_simple.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1. Research question</w:t>
      </w:r>
    </w:p>
    <w:p>
      <w:pPr>
        <w:spacing w:after="80" w:line="252" w:lineRule="auto"/>
      </w:pPr>
      <w:r>
        <w:t>The project currently ranks 9 to 33 calendar-day tenors using a VRP measure. The denominator matters because it determines whether implied variance is rich or cheap relative to expected future realized variance. The question tested in this notebook was:</w:t>
      </w:r>
    </w:p>
    <w:p>
      <w:pPr>
        <w:spacing w:after="80" w:line="252" w:lineRule="auto"/>
        <w:jc w:val="center"/>
      </w:pPr>
      <w:r>
        <w:rPr>
          <w:b/>
        </w:rPr>
        <w:t>Should the legacy VRP denominator be replaced by a Corsi/HAR realized-variance forecast?</w:t>
      </w:r>
    </w:p>
    <w:p>
      <w:pPr>
        <w:spacing w:after="80" w:line="252" w:lineRule="auto"/>
      </w:pPr>
      <w:r>
        <w:t>The answer from this notebook is nuanced: a Corsi/HAR model is useful, but only the realized-only har_total_simple version should be carried forward for signal testing. The implied-input shrinkage model forecasted realized variance better, but it produced poor out-of-sample trading selection.</w:t>
      </w:r>
    </w:p>
    <w:p>
      <w:pPr>
        <w:pStyle w:val="Heading1"/>
        <w:spacing w:after="80" w:line="252" w:lineRule="auto"/>
      </w:pPr>
      <w:r>
        <w:t>2. Data and target construction</w:t>
      </w:r>
    </w:p>
    <w:p>
      <w:pPr>
        <w:pStyle w:val="ListBullet"/>
        <w:spacing w:after="80" w:line="252" w:lineRule="auto"/>
      </w:pPr>
      <w:r>
        <w:t>Underlying used for realized variance research: SPY 5-minute OHLC data from ThetaData.</w:t>
      </w:r>
    </w:p>
    <w:p>
      <w:pPr>
        <w:pStyle w:val="ListBullet"/>
        <w:spacing w:after="80" w:line="252" w:lineRule="auto"/>
      </w:pPr>
      <w:r>
        <w:t>Date range for realized-variance construction: 2018-06-25 through 2026-07-02.</w:t>
      </w:r>
    </w:p>
    <w:p>
      <w:pPr>
        <w:pStyle w:val="ListBullet"/>
        <w:spacing w:after="80" w:line="252" w:lineRule="auto"/>
      </w:pPr>
      <w:r>
        <w:t>Fixed tenor grid: 9, 12, 15, 18, 21, 24, 27, 30, and 33 calendar days.</w:t>
      </w:r>
    </w:p>
    <w:p>
      <w:pPr>
        <w:pStyle w:val="ListBullet"/>
        <w:spacing w:after="80" w:line="252" w:lineRule="auto"/>
      </w:pPr>
      <w:r>
        <w:t>Intraday variance: sum of squared 5-minute log returns during the regular session, after cleaning invalid and non-trading rows.</w:t>
      </w:r>
    </w:p>
    <w:p>
      <w:pPr>
        <w:pStyle w:val="ListBullet"/>
        <w:spacing w:after="80" w:line="252" w:lineRule="auto"/>
      </w:pPr>
      <w:r>
        <w:t>Overnight variance: squared log return from the prior valid close to the current open.</w:t>
      </w:r>
    </w:p>
    <w:p>
      <w:pPr>
        <w:pStyle w:val="ListBullet"/>
        <w:spacing w:after="80" w:line="252" w:lineRule="auto"/>
      </w:pPr>
      <w:r>
        <w:t>Total daily realized variance: intraday realized variance plus overnight realized variance.</w:t>
      </w:r>
    </w:p>
    <w:p>
      <w:pPr>
        <w:pStyle w:val="ListBullet"/>
        <w:spacing w:after="80" w:line="252" w:lineRule="auto"/>
      </w:pPr>
      <w:r>
        <w:t>Forward realized-variance target: realized variance for dates greater than the signal date and less than or equal to signal date plus the tenor in calendar days.</w:t>
      </w:r>
    </w:p>
    <w:p>
      <w:pPr>
        <w:pStyle w:val="ListBullet"/>
        <w:spacing w:after="80" w:line="252" w:lineRule="auto"/>
      </w:pPr>
      <w:r>
        <w:t>Annualization convention for forward targets: 365 divided by target calendar days.</w:t>
      </w:r>
    </w:p>
    <w:p>
      <w:pPr>
        <w:spacing w:after="80" w:line="252" w:lineRule="auto"/>
      </w:pPr>
      <w:r>
        <w:t>The use of SPY intraday data was chosen because options price a full calendar-period variance exposure, while daily close-to-close realized variance can hide the split between intraday and overnight variance. Explicitly modeling total daily variance makes the forecast denominator better aligned with the implied-variance term structure.</w:t>
      </w:r>
    </w:p>
    <w:p>
      <w:pPr>
        <w:pStyle w:val="Heading1"/>
        <w:spacing w:after="80" w:line="252" w:lineRule="auto"/>
      </w:pPr>
      <w:r>
        <w:t>3. Model candidates</w:t>
      </w:r>
    </w:p>
    <w:p>
      <w:pPr>
        <w:spacing w:after="80" w:line="252" w:lineRule="auto"/>
      </w:pPr>
      <w:r>
        <w:t>The notebook tested several classes of models. The two most important candidates were the robust simple HAR/Corsi models from Cell 6B. Earlier wide ridge models and ratio models were kept as diagnostics but were not selected.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top"/>
            <w:shd w:fill="D9EAF7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Model</w:t>
            </w:r>
          </w:p>
        </w:tc>
        <w:tc>
          <w:tcPr>
            <w:tcW w:type="dxa" w:w="6048"/>
            <w:vAlign w:val="top"/>
            <w:shd w:fill="D9EAF7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 / legacy</w:t>
            </w:r>
          </w:p>
        </w:tc>
        <w:tc>
          <w:tcPr>
            <w:tcW w:type="dxa" w:w="6048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Existing production denominator. Used as the baseline for both forecast and trading comparisons.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Carry forward as baseline.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har_total_simple</w:t>
            </w:r>
          </w:p>
        </w:tc>
        <w:tc>
          <w:tcPr>
            <w:tcW w:type="dxa" w:w="6048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Realized-only Corsi/HAR model using total realized-variance state variables over short, medium, and longer lookback windows plus tenor features.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Carry forward as Corsi challenger.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har_implied_shrinkage</w:t>
            </w:r>
          </w:p>
        </w:tc>
        <w:tc>
          <w:tcPr>
            <w:tcW w:type="dxa" w:w="6048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Corsi/HAR model that includes implied variance and related implied-level features. Forecasts realized variance well but relies heavily on implied variance.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Reject for trade selection; keep as forecast diagnostic.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Ratio models</w:t>
            </w:r>
          </w:p>
        </w:tc>
        <w:tc>
          <w:tcPr>
            <w:tcW w:type="dxa" w:w="6048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Models that forecast realized variance relative to implied variance.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Rejected; did not improve on robust HAR candidates.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4. Evaluation design</w:t>
      </w:r>
    </w:p>
    <w:p>
      <w:pPr>
        <w:spacing w:after="80" w:line="252" w:lineRule="auto"/>
      </w:pPr>
      <w:r>
        <w:t>The model-selection process used two separate evaluation lenses:</w:t>
      </w:r>
    </w:p>
    <w:p>
      <w:pPr>
        <w:pStyle w:val="ListBullet"/>
        <w:spacing w:after="80" w:line="252" w:lineRule="auto"/>
      </w:pPr>
      <w:r>
        <w:t>Forecast accuracy: how well the model predicts future realized variance.</w:t>
      </w:r>
    </w:p>
    <w:p>
      <w:pPr>
        <w:pStyle w:val="ListBullet"/>
        <w:spacing w:after="80" w:line="252" w:lineRule="auto"/>
      </w:pPr>
      <w:r>
        <w:t>Trading usefulness: whether the model creates better tenor selection for the short-put VRP process.</w:t>
      </w:r>
    </w:p>
    <w:p>
      <w:pPr>
        <w:spacing w:after="80" w:line="252" w:lineRule="auto"/>
      </w:pPr>
      <w:r>
        <w:t>This separation is important. A forecast model can minimize realized-variance prediction error while still being a poor trading denominator if it removes the very implied-variance information that creates tradeable VRP dispersion.</w:t>
      </w:r>
    </w:p>
    <w:p>
      <w:pPr>
        <w:spacing w:after="80" w:line="252" w:lineRule="auto"/>
      </w:pPr>
      <w:r>
        <w:t>The final trading-signal comparison used out-of-sample walk-forward predictions from Cell 6B, transformed into an OOS VRP panel in Cell 12, and backtested in Cell 13 using normalized P&amp;L outcomes. Each strategy selected the top 577 date-tenor trades to keep the trade count comparable to the locked historical program.</w:t>
      </w:r>
    </w:p>
    <w:p>
      <w:pPr>
        <w:pStyle w:val="Heading1"/>
        <w:spacing w:after="80" w:line="252" w:lineRule="auto"/>
      </w:pPr>
      <w:r>
        <w:t>5. Forecast accuracy results</w:t>
      </w:r>
    </w:p>
    <w:p>
      <w:pPr>
        <w:spacing w:after="80" w:line="252" w:lineRule="auto"/>
      </w:pPr>
      <w:r>
        <w:t>On forecast-error metrics, har_implied_shrinkage was the strongest model. It reduced mean absolute log-variance error relative to the current denominator and the realized-only HAR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80"/>
            <w:vAlign w:val="top"/>
            <w:shd w:fill="D9EAF7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Forecast model</w:t>
            </w:r>
          </w:p>
        </w:tc>
        <w:tc>
          <w:tcPr>
            <w:tcW w:type="dxa" w:w="1872"/>
            <w:vAlign w:val="top"/>
            <w:shd w:fill="D9EAF7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MAE log variance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MAE vol points</w:t>
            </w:r>
          </w:p>
        </w:tc>
        <w:tc>
          <w:tcPr>
            <w:tcW w:type="dxa" w:w="4176"/>
            <w:vAlign w:val="top"/>
            <w:shd w:fill="D9EAF7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Interpretation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har_implied_shrinkage</w:t>
            </w:r>
          </w:p>
        </w:tc>
        <w:tc>
          <w:tcPr>
            <w:tcW w:type="dxa" w:w="187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0.4726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4.37</w:t>
            </w:r>
          </w:p>
        </w:tc>
        <w:tc>
          <w:tcPr>
            <w:tcW w:type="dxa" w:w="4176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Best forecast-error candidate.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har_total_simple</w:t>
            </w:r>
          </w:p>
        </w:tc>
        <w:tc>
          <w:tcPr>
            <w:tcW w:type="dxa" w:w="187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0.5347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4.88</w:t>
            </w:r>
          </w:p>
        </w:tc>
        <w:tc>
          <w:tcPr>
            <w:tcW w:type="dxa" w:w="4176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Cleaner realized-only Corsi model, weaker forecast accuracy.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 / legacy</w:t>
            </w:r>
          </w:p>
        </w:tc>
        <w:tc>
          <w:tcPr>
            <w:tcW w:type="dxa" w:w="187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0.6401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5.94</w:t>
            </w:r>
          </w:p>
        </w:tc>
        <w:tc>
          <w:tcPr>
            <w:tcW w:type="dxa" w:w="4176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Baseline.</w:t>
            </w:r>
          </w:p>
        </w:tc>
      </w:tr>
    </w:tbl>
    <w:p>
      <w:pPr>
        <w:spacing w:after="80" w:line="252" w:lineRule="auto"/>
      </w:pPr>
    </w:p>
    <w:p>
      <w:pPr>
        <w:spacing w:after="80" w:line="252" w:lineRule="auto"/>
      </w:pPr>
      <w:r>
        <w:t>However, this did not settle the decision. The project needs a useful trading denominator, not only the most accurate realized-variance forecast.</w:t>
      </w:r>
    </w:p>
    <w:p>
      <w:pPr>
        <w:pStyle w:val="Heading1"/>
        <w:spacing w:after="80" w:line="252" w:lineRule="auto"/>
      </w:pPr>
      <w:r>
        <w:t>6. Out-of-sample trade-selection results</w:t>
      </w:r>
    </w:p>
    <w:p>
      <w:pPr>
        <w:spacing w:after="80" w:line="252" w:lineRule="auto"/>
      </w:pPr>
      <w:r>
        <w:t>The decisive test was the OOS trade-selection backtest in Cell 13. It compared current, har_implied, and har_total under multiple score definitions: raw VRP log, max of 3-month and 1-year z-scores, and average of 3-month and 1-year z-scores.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232"/>
            <w:vAlign w:val="top"/>
            <w:shd w:fill="D9EAF7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Score definition</w:t>
            </w:r>
          </w:p>
        </w:tc>
        <w:tc>
          <w:tcPr>
            <w:tcW w:type="dxa" w:w="2592"/>
            <w:vAlign w:val="top"/>
            <w:shd w:fill="D9EAF7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Model</w:t>
            </w:r>
          </w:p>
        </w:tc>
        <w:tc>
          <w:tcPr>
            <w:tcW w:type="dxa" w:w="1512"/>
            <w:vAlign w:val="top"/>
            <w:shd w:fill="D9EAF7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Total P&amp;L</w:t>
            </w:r>
          </w:p>
        </w:tc>
        <w:tc>
          <w:tcPr>
            <w:tcW w:type="dxa" w:w="1656"/>
            <w:vAlign w:val="top"/>
            <w:shd w:fill="D9EAF7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Max drawdown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Worst 20 trades</w:t>
            </w:r>
          </w:p>
        </w:tc>
        <w:tc>
          <w:tcPr>
            <w:tcW w:type="dxa" w:w="1296"/>
            <w:vAlign w:val="top"/>
            <w:shd w:fill="D9EAF7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Win rate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raw_vrp_log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</w:t>
            </w:r>
          </w:p>
        </w:tc>
        <w:tc>
          <w:tcPr>
            <w:tcW w:type="dxa" w:w="151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$2.91mm</w:t>
            </w:r>
          </w:p>
        </w:tc>
        <w:tc>
          <w:tcPr>
            <w:tcW w:type="dxa" w:w="1656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-$771k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-$656k</w:t>
            </w:r>
          </w:p>
        </w:tc>
        <w:tc>
          <w:tcPr>
            <w:tcW w:type="dxa" w:w="1296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79.4%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raw_vrp_log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har_total_simple</w:t>
            </w:r>
          </w:p>
        </w:tc>
        <w:tc>
          <w:tcPr>
            <w:tcW w:type="dxa" w:w="151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$4.82mm</w:t>
            </w:r>
          </w:p>
        </w:tc>
        <w:tc>
          <w:tcPr>
            <w:tcW w:type="dxa" w:w="1656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-$910k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-$899k</w:t>
            </w:r>
          </w:p>
        </w:tc>
        <w:tc>
          <w:tcPr>
            <w:tcW w:type="dxa" w:w="1296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80.5%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raw_vrp_log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har_implied_shrinkage</w:t>
            </w:r>
          </w:p>
        </w:tc>
        <w:tc>
          <w:tcPr>
            <w:tcW w:type="dxa" w:w="151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$0.11mm</w:t>
            </w:r>
          </w:p>
        </w:tc>
        <w:tc>
          <w:tcPr>
            <w:tcW w:type="dxa" w:w="1656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-$1.60mm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-$891k</w:t>
            </w:r>
          </w:p>
        </w:tc>
        <w:tc>
          <w:tcPr>
            <w:tcW w:type="dxa" w:w="1296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71.3%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max_z_3m_1y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</w:t>
            </w:r>
          </w:p>
        </w:tc>
        <w:tc>
          <w:tcPr>
            <w:tcW w:type="dxa" w:w="151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$2.76mm</w:t>
            </w:r>
          </w:p>
        </w:tc>
        <w:tc>
          <w:tcPr>
            <w:tcW w:type="dxa" w:w="1656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-$893k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-$811k</w:t>
            </w:r>
          </w:p>
        </w:tc>
        <w:tc>
          <w:tcPr>
            <w:tcW w:type="dxa" w:w="1296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76.8%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max_z_3m_1y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har_total_simple</w:t>
            </w:r>
          </w:p>
        </w:tc>
        <w:tc>
          <w:tcPr>
            <w:tcW w:type="dxa" w:w="151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$1.54mm</w:t>
            </w:r>
          </w:p>
        </w:tc>
        <w:tc>
          <w:tcPr>
            <w:tcW w:type="dxa" w:w="1656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-$1.47mm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-$1.20mm</w:t>
            </w:r>
          </w:p>
        </w:tc>
        <w:tc>
          <w:tcPr>
            <w:tcW w:type="dxa" w:w="1296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73.0%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max_z_3m_1y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har_implied_shrinkage</w:t>
            </w:r>
          </w:p>
        </w:tc>
        <w:tc>
          <w:tcPr>
            <w:tcW w:type="dxa" w:w="151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$0.05mm</w:t>
            </w:r>
          </w:p>
        </w:tc>
        <w:tc>
          <w:tcPr>
            <w:tcW w:type="dxa" w:w="1656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-$3.43mm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-$1.40mm</w:t>
            </w:r>
          </w:p>
        </w:tc>
        <w:tc>
          <w:tcPr>
            <w:tcW w:type="dxa" w:w="1296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72.2%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avg_z_3m_1y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</w:t>
            </w:r>
          </w:p>
        </w:tc>
        <w:tc>
          <w:tcPr>
            <w:tcW w:type="dxa" w:w="151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$3.03mm</w:t>
            </w:r>
          </w:p>
        </w:tc>
        <w:tc>
          <w:tcPr>
            <w:tcW w:type="dxa" w:w="1656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-$506k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-$506k</w:t>
            </w:r>
          </w:p>
        </w:tc>
        <w:tc>
          <w:tcPr>
            <w:tcW w:type="dxa" w:w="1296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77.5%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avg_z_3m_1y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har_total_simple</w:t>
            </w:r>
          </w:p>
        </w:tc>
        <w:tc>
          <w:tcPr>
            <w:tcW w:type="dxa" w:w="151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$1.82mm</w:t>
            </w:r>
          </w:p>
        </w:tc>
        <w:tc>
          <w:tcPr>
            <w:tcW w:type="dxa" w:w="1656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-$1.10mm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-$944k</w:t>
            </w:r>
          </w:p>
        </w:tc>
        <w:tc>
          <w:tcPr>
            <w:tcW w:type="dxa" w:w="1296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73.5%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avg_z_3m_1y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har_implied_shrinkage</w:t>
            </w:r>
          </w:p>
        </w:tc>
        <w:tc>
          <w:tcPr>
            <w:tcW w:type="dxa" w:w="151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-$0.39mm</w:t>
            </w:r>
          </w:p>
        </w:tc>
        <w:tc>
          <w:tcPr>
            <w:tcW w:type="dxa" w:w="1656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-$3.48mm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-$1.33mm</w:t>
            </w:r>
          </w:p>
        </w:tc>
        <w:tc>
          <w:tcPr>
            <w:tcW w:type="dxa" w:w="1296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70.1%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7. Interpretation</w:t>
      </w:r>
    </w:p>
    <w:p>
      <w:pPr>
        <w:pStyle w:val="ListBullet"/>
        <w:spacing w:after="80" w:line="252" w:lineRule="auto"/>
      </w:pPr>
      <w:r>
        <w:t>har_implied_shrinkage is a better realized-variance forecast but a worse trading denominator. It appears to absorb too much implied-variance information, reducing useful cross-tenor VRP ranking and producing poor OOS trade selection.</w:t>
      </w:r>
    </w:p>
    <w:p>
      <w:pPr>
        <w:pStyle w:val="ListBullet"/>
        <w:spacing w:after="80" w:line="252" w:lineRule="auto"/>
      </w:pPr>
      <w:r>
        <w:t>har_total_simple is less accurate as a pure forecast, but it produced the strongest Corsi trading result under raw VRP log: higher total P&amp;L than current, with only moderately worse drawdown statistics.</w:t>
      </w:r>
    </w:p>
    <w:p>
      <w:pPr>
        <w:pStyle w:val="ListBullet"/>
        <w:spacing w:after="80" w:line="252" w:lineRule="auto"/>
      </w:pPr>
      <w:r>
        <w:t>The current denominator remains very competitive. The best simple risk-adjusted result was current with avg_z_3m_1y, which produced strong P&amp;L with the lowest max drawdown in the tested grid.</w:t>
      </w:r>
    </w:p>
    <w:p>
      <w:pPr>
        <w:pStyle w:val="ListBullet"/>
        <w:spacing w:after="80" w:line="252" w:lineRule="auto"/>
      </w:pPr>
      <w:r>
        <w:t>Therefore, denominator selection should remain conservative: current is the baseline, har_total_simple is the challenger, and signal-definition testing should decide whether har_total has enough robustness to replace or supplement current.</w:t>
      </w:r>
    </w:p>
    <w:p>
      <w:pPr>
        <w:spacing w:after="80" w:line="252" w:lineRule="auto"/>
      </w:pPr>
      <w:r>
        <w:br w:type="page"/>
      </w:r>
    </w:p>
    <w:p>
      <w:pPr>
        <w:pStyle w:val="Heading1"/>
        <w:spacing w:after="80" w:line="252" w:lineRule="auto"/>
      </w:pPr>
      <w:r>
        <w:t>8. Model-selection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vAlign w:val="top"/>
            <w:shd w:fill="D9EAF7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Candidate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6048"/>
            <w:vAlign w:val="top"/>
            <w:shd w:fill="D9EAF7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Reason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 / legacy denominator</w:t>
            </w:r>
          </w:p>
        </w:tc>
        <w:tc>
          <w:tcPr>
            <w:tcW w:type="dxa" w:w="1584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Keep</w:t>
            </w:r>
          </w:p>
        </w:tc>
        <w:tc>
          <w:tcPr>
            <w:tcW w:type="dxa" w:w="6048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Strong OOS performance and best risk-adjusted simple z-score result.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har_total_simple</w:t>
            </w:r>
          </w:p>
        </w:tc>
        <w:tc>
          <w:tcPr>
            <w:tcW w:type="dxa" w:w="1584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Carry forward</w:t>
            </w:r>
          </w:p>
        </w:tc>
        <w:tc>
          <w:tcPr>
            <w:tcW w:type="dxa" w:w="6048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Only Corsi model with a strong OOS trading case, especially under raw VRP log.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har_implied_shrinkage</w:t>
            </w:r>
          </w:p>
        </w:tc>
        <w:tc>
          <w:tcPr>
            <w:tcW w:type="dxa" w:w="1584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Reject for signal</w:t>
            </w:r>
          </w:p>
        </w:tc>
        <w:tc>
          <w:tcPr>
            <w:tcW w:type="dxa" w:w="6048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Forecast accuracy did not translate into OOS trade-selection performance; drawdowns were unacceptable.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9. Cleaned notebook structure</w:t>
      </w:r>
    </w:p>
    <w:p>
      <w:pPr>
        <w:spacing w:after="80" w:line="252" w:lineRule="auto"/>
      </w:pPr>
      <w:r>
        <w:t>The accompanying cleaned notebook keeps the full research trail but strips execution outputs and adds explanatory markdown. The important decision path is:</w:t>
      </w:r>
    </w:p>
    <w:p>
      <w:pPr>
        <w:pStyle w:val="ListBullet"/>
        <w:spacing w:after="80" w:line="252" w:lineRule="auto"/>
      </w:pPr>
      <w:r>
        <w:t>Cells 1-5: Build and validate intraday realized-variance data, forward targets, and HAR features.</w:t>
      </w:r>
    </w:p>
    <w:p>
      <w:pPr>
        <w:pStyle w:val="ListBullet"/>
        <w:spacing w:after="80" w:line="252" w:lineRule="auto"/>
      </w:pPr>
      <w:r>
        <w:t>Cell 6: Wide model attempt, retained only as a rejected diagnostic.</w:t>
      </w:r>
    </w:p>
    <w:p>
      <w:pPr>
        <w:pStyle w:val="ListBullet"/>
        <w:spacing w:after="80" w:line="252" w:lineRule="auto"/>
      </w:pPr>
      <w:r>
        <w:t>Cell 6B: Main robust HAR/Corsi candidate models.</w:t>
      </w:r>
    </w:p>
    <w:p>
      <w:pPr>
        <w:pStyle w:val="ListBullet"/>
        <w:spacing w:after="80" w:line="252" w:lineRule="auto"/>
      </w:pPr>
      <w:r>
        <w:t>Cell 8: Ratio model diagnostics, rejected.</w:t>
      </w:r>
    </w:p>
    <w:p>
      <w:pPr>
        <w:pStyle w:val="ListBullet"/>
        <w:spacing w:after="80" w:line="252" w:lineRule="auto"/>
      </w:pPr>
      <w:r>
        <w:t>Cell 9 and Cell 11: Final-panel/live-scoring diagnostics, not final model-selection evidence.</w:t>
      </w:r>
    </w:p>
    <w:p>
      <w:pPr>
        <w:pStyle w:val="ListBullet"/>
        <w:spacing w:after="80" w:line="252" w:lineRule="auto"/>
      </w:pPr>
      <w:r>
        <w:t>Cell 12: Builds true OOS forecast/VRP signal panel from walk-forward predictions.</w:t>
      </w:r>
    </w:p>
    <w:p>
      <w:pPr>
        <w:pStyle w:val="ListBullet"/>
        <w:spacing w:after="80" w:line="252" w:lineRule="auto"/>
      </w:pPr>
      <w:r>
        <w:t>Cell 13: Final OOS trade-selection backtest used for the model-selection decision.</w:t>
      </w:r>
    </w:p>
    <w:p>
      <w:pPr>
        <w:pStyle w:val="Heading1"/>
        <w:spacing w:after="80" w:line="252" w:lineRule="auto"/>
      </w:pPr>
      <w:r>
        <w:t>10. Next notebook</w:t>
      </w:r>
    </w:p>
    <w:p>
      <w:pPr>
        <w:spacing w:after="80" w:line="252" w:lineRule="auto"/>
      </w:pPr>
      <w:r>
        <w:t>The next notebook should be created separately so model-selection research does not become tangled with signal-parameter research. Recommended name:</w:t>
      </w:r>
    </w:p>
    <w:p>
      <w:pPr>
        <w:spacing w:after="80" w:line="252" w:lineRule="auto"/>
        <w:jc w:val="center"/>
      </w:pPr>
      <w:r>
        <w:rPr>
          <w:b/>
        </w:rPr>
        <w:t>02_signal_definition_and_parameter_sweep.ipynb</w:t>
      </w:r>
    </w:p>
    <w:p>
      <w:pPr>
        <w:spacing w:after="80" w:line="252" w:lineRule="auto"/>
      </w:pPr>
      <w:r>
        <w:t>That notebook should compare current versus har_total_simple across signal definitions and filters:</w:t>
      </w:r>
    </w:p>
    <w:p>
      <w:pPr>
        <w:pStyle w:val="ListBullet"/>
        <w:spacing w:after="80" w:line="252" w:lineRule="auto"/>
      </w:pPr>
      <w:r>
        <w:t>Signal definitions: raw VRP log, 3-month z-score, 1-year z-score, max z, average z, and minimum z.</w:t>
      </w:r>
    </w:p>
    <w:p>
      <w:pPr>
        <w:pStyle w:val="ListBullet"/>
        <w:spacing w:after="80" w:line="252" w:lineRule="auto"/>
      </w:pPr>
      <w:r>
        <w:t>Entry rules: calibrated top-N and fixed thresholds.</w:t>
      </w:r>
    </w:p>
    <w:p>
      <w:pPr>
        <w:pStyle w:val="ListBullet"/>
        <w:spacing w:after="80" w:line="252" w:lineRule="auto"/>
      </w:pPr>
      <w:r>
        <w:t>Filters: RSI, tenor bucket, Core/Secondary, VIX regime, realized-vol / drawdown state.</w:t>
      </w:r>
    </w:p>
    <w:p>
      <w:pPr>
        <w:pStyle w:val="ListBullet"/>
        <w:spacing w:after="80" w:line="252" w:lineRule="auto"/>
      </w:pPr>
      <w:r>
        <w:t>Metrics: total P&amp;L, max drawdown, worst 20-trade sum, win rate, yearly consistency, and tenor concentration.</w:t>
      </w:r>
    </w:p>
    <w:p>
      <w:pPr>
        <w:pStyle w:val="ListBullet"/>
        <w:spacing w:after="80" w:line="252" w:lineRule="auto"/>
      </w:pPr>
      <w:r>
        <w:t>Sizing: defer until the signal architecture is narrowed, then reapply the locked sizing matrix.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VRP Corsi/HAR Forecast Model Selection Memo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