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har_total_simple Forecasted Variance Methodology</w:t>
      </w:r>
    </w:p>
    <w:p>
      <w:pPr>
        <w:jc w:val="center"/>
      </w:pPr>
      <w:r>
        <w:rPr>
          <w:i/>
          <w:color w:val="666666"/>
          <w:sz w:val="24"/>
        </w:rPr>
        <w:t>VRP trades project reference note</w:t>
      </w:r>
    </w:p>
    <w:p>
      <w:pPr>
        <w:jc w:val="center"/>
      </w:pPr>
      <w:r>
        <w:rPr>
          <w:color w:val="666666"/>
          <w:sz w:val="18"/>
        </w:rPr>
        <w:t>Prepared July 2026 | Current research denominator: har_total_simple</w:t>
      </w:r>
    </w:p>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3168"/>
            <w:shd w:fill="1F4E79"/>
            <w:vAlign w:val="center"/>
          </w:tcPr>
          <w:p>
            <w:r>
              <w:rPr>
                <w:color w:val="FFFFFF"/>
              </w:rPr>
            </w:r>
            <w:r>
              <w:rPr>
                <w:b/>
                <w:color w:val="FFFFFF"/>
                <w:sz w:val="17"/>
              </w:rPr>
              <w:t>Item</w:t>
            </w:r>
          </w:p>
        </w:tc>
        <w:tc>
          <w:tcPr>
            <w:tcW w:type="dxa" w:w="8064"/>
            <w:shd w:fill="1F4E79"/>
            <w:vAlign w:val="center"/>
          </w:tcPr>
          <w:p>
            <w:r>
              <w:rPr>
                <w:color w:val="FFFFFF"/>
              </w:rPr>
            </w:r>
            <w:r>
              <w:rPr>
                <w:b/>
                <w:color w:val="FFFFFF"/>
                <w:sz w:val="17"/>
              </w:rPr>
              <w:t>Current implementation</w:t>
            </w:r>
          </w:p>
        </w:tc>
      </w:tr>
      <w:tr>
        <w:tc>
          <w:tcPr>
            <w:tcW w:type="dxa" w:w="3168"/>
            <w:vAlign w:val="top"/>
          </w:tcPr>
          <w:p>
            <w:r/>
            <w:r>
              <w:rPr>
                <w:b w:val="0"/>
                <w:sz w:val="17"/>
              </w:rPr>
              <w:t>Forecast model name</w:t>
            </w:r>
          </w:p>
        </w:tc>
        <w:tc>
          <w:tcPr>
            <w:tcW w:type="dxa" w:w="8064"/>
            <w:vAlign w:val="top"/>
          </w:tcPr>
          <w:p>
            <w:r/>
            <w:r>
              <w:rPr>
                <w:b w:val="0"/>
                <w:sz w:val="17"/>
              </w:rPr>
              <w:t>har_total_simple</w:t>
            </w:r>
          </w:p>
        </w:tc>
      </w:tr>
      <w:tr>
        <w:tc>
          <w:tcPr>
            <w:tcW w:type="dxa" w:w="3168"/>
            <w:vAlign w:val="top"/>
          </w:tcPr>
          <w:p>
            <w:r/>
            <w:r>
              <w:rPr>
                <w:b w:val="0"/>
                <w:sz w:val="17"/>
              </w:rPr>
              <w:t>Forecast target</w:t>
            </w:r>
          </w:p>
        </w:tc>
        <w:tc>
          <w:tcPr>
            <w:tcW w:type="dxa" w:w="8064"/>
            <w:vAlign w:val="top"/>
          </w:tcPr>
          <w:p>
            <w:r/>
            <w:r>
              <w:rPr>
                <w:b w:val="0"/>
                <w:sz w:val="17"/>
              </w:rPr>
              <w:t>Forward SPY total realized variance over the selected tenor window</w:t>
            </w:r>
          </w:p>
        </w:tc>
      </w:tr>
      <w:tr>
        <w:tc>
          <w:tcPr>
            <w:tcW w:type="dxa" w:w="3168"/>
            <w:vAlign w:val="top"/>
          </w:tcPr>
          <w:p>
            <w:r/>
            <w:r>
              <w:rPr>
                <w:b w:val="0"/>
                <w:sz w:val="17"/>
              </w:rPr>
              <w:t>Tenors scored</w:t>
            </w:r>
          </w:p>
        </w:tc>
        <w:tc>
          <w:tcPr>
            <w:tcW w:type="dxa" w:w="8064"/>
            <w:vAlign w:val="top"/>
          </w:tcPr>
          <w:p>
            <w:r/>
            <w:r>
              <w:rPr>
                <w:b w:val="0"/>
                <w:sz w:val="17"/>
              </w:rPr>
              <w:t>9D, 12D, 15D, 18D, 21D, 24D, 27D, 30D, 33D</w:t>
            </w:r>
          </w:p>
        </w:tc>
      </w:tr>
      <w:tr>
        <w:tc>
          <w:tcPr>
            <w:tcW w:type="dxa" w:w="3168"/>
            <w:vAlign w:val="top"/>
          </w:tcPr>
          <w:p>
            <w:r/>
            <w:r>
              <w:rPr>
                <w:b w:val="0"/>
                <w:sz w:val="17"/>
              </w:rPr>
              <w:t>Target window</w:t>
            </w:r>
          </w:p>
        </w:tc>
        <w:tc>
          <w:tcPr>
            <w:tcW w:type="dxa" w:w="8064"/>
            <w:vAlign w:val="top"/>
          </w:tcPr>
          <w:p>
            <w:r/>
            <w:r>
              <w:rPr>
                <w:b w:val="0"/>
                <w:sz w:val="17"/>
              </w:rPr>
              <w:t>Dates &gt; signal date and &lt;= signal date + tenor calendar days</w:t>
            </w:r>
          </w:p>
        </w:tc>
      </w:tr>
      <w:tr>
        <w:tc>
          <w:tcPr>
            <w:tcW w:type="dxa" w:w="3168"/>
            <w:vAlign w:val="top"/>
          </w:tcPr>
          <w:p>
            <w:r/>
            <w:r>
              <w:rPr>
                <w:b w:val="0"/>
                <w:sz w:val="17"/>
              </w:rPr>
              <w:t>Target annualization</w:t>
            </w:r>
          </w:p>
        </w:tc>
        <w:tc>
          <w:tcPr>
            <w:tcW w:type="dxa" w:w="8064"/>
            <w:vAlign w:val="top"/>
          </w:tcPr>
          <w:p>
            <w:r/>
            <w:r>
              <w:rPr>
                <w:b w:val="0"/>
                <w:sz w:val="17"/>
              </w:rPr>
              <w:t>Calendar-day aligned: realized variance sum * 365 / tenor</w:t>
            </w:r>
          </w:p>
        </w:tc>
      </w:tr>
      <w:tr>
        <w:tc>
          <w:tcPr>
            <w:tcW w:type="dxa" w:w="3168"/>
            <w:vAlign w:val="top"/>
          </w:tcPr>
          <w:p>
            <w:r/>
            <w:r>
              <w:rPr>
                <w:b w:val="0"/>
                <w:sz w:val="17"/>
              </w:rPr>
              <w:t>Regression target</w:t>
            </w:r>
          </w:p>
        </w:tc>
        <w:tc>
          <w:tcPr>
            <w:tcW w:type="dxa" w:w="8064"/>
            <w:vAlign w:val="top"/>
          </w:tcPr>
          <w:p>
            <w:r/>
            <w:r>
              <w:rPr>
                <w:b w:val="0"/>
                <w:sz w:val="17"/>
              </w:rPr>
              <w:t>log(forward realized variance)</w:t>
            </w:r>
          </w:p>
        </w:tc>
      </w:tr>
      <w:tr>
        <w:tc>
          <w:tcPr>
            <w:tcW w:type="dxa" w:w="3168"/>
            <w:vAlign w:val="top"/>
          </w:tcPr>
          <w:p>
            <w:r/>
            <w:r>
              <w:rPr>
                <w:b w:val="0"/>
                <w:sz w:val="17"/>
              </w:rPr>
              <w:t>Estimator</w:t>
            </w:r>
          </w:p>
        </w:tc>
        <w:tc>
          <w:tcPr>
            <w:tcW w:type="dxa" w:w="8064"/>
            <w:vAlign w:val="top"/>
          </w:tcPr>
          <w:p>
            <w:r/>
            <w:r>
              <w:rPr>
                <w:b w:val="0"/>
                <w:sz w:val="17"/>
              </w:rPr>
              <w:t>Ridge regression with median imputation and feature standardization</w:t>
            </w:r>
          </w:p>
        </w:tc>
      </w:tr>
      <w:tr>
        <w:tc>
          <w:tcPr>
            <w:tcW w:type="dxa" w:w="3168"/>
            <w:vAlign w:val="top"/>
          </w:tcPr>
          <w:p>
            <w:r/>
            <w:r>
              <w:rPr>
                <w:b w:val="0"/>
                <w:sz w:val="17"/>
              </w:rPr>
              <w:t>Walk-forward validation</w:t>
            </w:r>
          </w:p>
        </w:tc>
        <w:tc>
          <w:tcPr>
            <w:tcW w:type="dxa" w:w="8064"/>
            <w:vAlign w:val="top"/>
          </w:tcPr>
          <w:p>
            <w:r/>
            <w:r>
              <w:rPr>
                <w:b w:val="0"/>
                <w:sz w:val="17"/>
              </w:rPr>
              <w:t>Yearly OOS test years 2020-2026, 33-calendar-day embargo</w:t>
            </w:r>
          </w:p>
        </w:tc>
      </w:tr>
      <w:tr>
        <w:tc>
          <w:tcPr>
            <w:tcW w:type="dxa" w:w="3168"/>
            <w:vAlign w:val="top"/>
          </w:tcPr>
          <w:p>
            <w:r/>
            <w:r>
              <w:rPr>
                <w:b w:val="0"/>
                <w:sz w:val="17"/>
              </w:rPr>
              <w:t>VRP signal formula</w:t>
            </w:r>
          </w:p>
        </w:tc>
        <w:tc>
          <w:tcPr>
            <w:tcW w:type="dxa" w:w="8064"/>
            <w:vAlign w:val="top"/>
          </w:tcPr>
          <w:p>
            <w:r/>
            <w:r>
              <w:rPr>
                <w:b w:val="0"/>
                <w:sz w:val="17"/>
              </w:rPr>
              <w:t>VRP log = log(implied variance / har_total_simple forecast variance)</w:t>
            </w:r>
          </w:p>
        </w:tc>
      </w:tr>
      <w:tr>
        <w:tc>
          <w:tcPr>
            <w:tcW w:type="dxa" w:w="3168"/>
            <w:vAlign w:val="top"/>
          </w:tcPr>
          <w:p>
            <w:r/>
            <w:r>
              <w:rPr>
                <w:b w:val="0"/>
                <w:sz w:val="17"/>
              </w:rPr>
              <w:t>Core research conclusion so far</w:t>
            </w:r>
          </w:p>
        </w:tc>
        <w:tc>
          <w:tcPr>
            <w:tcW w:type="dxa" w:w="8064"/>
            <w:vAlign w:val="top"/>
          </w:tcPr>
          <w:p>
            <w:r/>
            <w:r>
              <w:rPr>
                <w:b w:val="0"/>
                <w:sz w:val="17"/>
              </w:rPr>
              <w:t>Forecast denominator is not the obvious bottleneck; front DTE quality is the bigger issue.</w:t>
            </w:r>
          </w:p>
        </w:tc>
      </w:tr>
    </w:tbl>
    <w:p/>
    <w:p>
      <w:pPr>
        <w:pStyle w:val="Heading1"/>
      </w:pPr>
      <w:r>
        <w:t>1. Executive summary</w:t>
      </w:r>
    </w:p>
    <w:p>
      <w:r>
        <w:rPr>
          <w:b/>
        </w:rPr>
        <w:t>har_total_simple</w:t>
      </w:r>
      <w:r>
        <w:t xml:space="preserve"> is the current forecasted variance denominator used in the Core parameter sweeps. It is a simple HAR/Corsi-style realized-variance model. It forecasts forward realized variance from recent realized variance states and tenor controls, then the VRP signal compares implied variance to that forecast. The model is deliberately not a trade-selection model and does not use implied variance, RSI, RV21D filters, VRP itself, or trade outcomes.</w:t>
      </w:r>
    </w:p>
    <w:p>
      <w:pPr>
        <w:pStyle w:val="ListBullet"/>
        <w:spacing w:after="40"/>
      </w:pPr>
      <w:r>
        <w:t>It is intended to be a clean, auditable denominator for VRP rather than a complex standalone alpha engine.</w:t>
      </w:r>
    </w:p>
    <w:p>
      <w:pPr>
        <w:pStyle w:val="ListBullet"/>
        <w:spacing w:after="40"/>
      </w:pPr>
      <w:r>
        <w:t>It uses SPY realized variance built from intraday 5-minute data plus overnight variance.</w:t>
      </w:r>
    </w:p>
    <w:p>
      <w:pPr>
        <w:pStyle w:val="ListBullet"/>
        <w:spacing w:after="40"/>
      </w:pPr>
      <w:r>
        <w:t>It fits a walk-forward Ridge model on log forward realized variance.</w:t>
      </w:r>
    </w:p>
    <w:p>
      <w:pPr>
        <w:pStyle w:val="ListBullet"/>
        <w:spacing w:after="40"/>
      </w:pPr>
      <w:r>
        <w:t>It creates date x tenor forecast variance, forecast vol, VRP log, and rolling 3m/1y VRP z-scores.</w:t>
      </w:r>
    </w:p>
    <w:p>
      <w:pPr>
        <w:pStyle w:val="ListBullet"/>
        <w:spacing w:after="40"/>
      </w:pPr>
      <w:r>
        <w:t>The recent Core sweeps suggest the denominator is good enough for current research; the bigger bottleneck is weak front-tenor selection, especially 9D/12D.</w:t>
      </w:r>
    </w:p>
    <w:p>
      <w:pPr>
        <w:pStyle w:val="Heading1"/>
      </w:pPr>
      <w:r>
        <w:t>2. Where har_total_simple sits in the signal stack</w:t>
      </w:r>
    </w:p>
    <w:p>
      <w:r>
        <w:rPr>
          <w:b/>
        </w:rPr>
        <w:t xml:space="preserve">The model does not directly decide whether to sell options. </w:t>
      </w:r>
      <w:r>
        <w:t>It supplies the expected realized-variance denominator. The trade signal then asks whether implied variance is rich enough relative to that denominator, and whether the market state passes additional filters.</w:t>
      </w:r>
    </w:p>
    <w:p>
      <w:pPr>
        <w:pStyle w:val="CodeBlock"/>
      </w:pPr>
      <w:r>
        <w:rPr>
          <w:rFonts w:ascii="Courier New" w:hAnsi="Courier New"/>
          <w:sz w:val="17"/>
        </w:rPr>
        <w:t>forecast_variance_har_total = har_total_simple(date, tenor)</w:t>
        <w:br/>
        <w:br/>
        <w:t>VRP log = log(implied_variance / forecast_variance_har_total)</w:t>
        <w:br/>
        <w:br/>
        <w:t>Core filter = VRP log threshold + 3m VRP z-score threshold + 1y VRP z-score threshold + RSI cap + RV21D floor</w:t>
      </w:r>
    </w:p>
    <w:p>
      <w:r>
        <w:rPr>
          <w:b/>
        </w:rPr>
        <w:t xml:space="preserve">Interpretation: </w:t>
      </w:r>
      <w:r>
        <w:t>a VRP log threshold of 0.60 means implied variance is about exp(0.60), or 1.82x, the model forecast variance. A threshold of 0.70 means about 2.01x forecast variance. The signal is therefore requiring a material variance premium, not merely a small edge.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rPr>
          <w:tblHeader w:val="true"/>
        </w:trPr>
        <w:tc>
          <w:tcPr>
            <w:tcW w:type="dxa" w:w="2880"/>
            <w:shd w:fill="1F4E79"/>
            <w:vAlign w:val="center"/>
          </w:tcPr>
          <w:p>
            <w:r>
              <w:rPr>
                <w:color w:val="FFFFFF"/>
              </w:rPr>
            </w:r>
            <w:r>
              <w:rPr>
                <w:b/>
                <w:color w:val="FFFFFF"/>
                <w:sz w:val="17"/>
              </w:rPr>
              <w:t>VRP log threshold</w:t>
            </w:r>
          </w:p>
        </w:tc>
        <w:tc>
          <w:tcPr>
            <w:tcW w:type="dxa" w:w="3744"/>
            <w:shd w:fill="1F4E79"/>
            <w:vAlign w:val="center"/>
          </w:tcPr>
          <w:p>
            <w:r>
              <w:rPr>
                <w:color w:val="FFFFFF"/>
              </w:rPr>
            </w:r>
            <w:r>
              <w:rPr>
                <w:b/>
                <w:color w:val="FFFFFF"/>
                <w:sz w:val="17"/>
              </w:rPr>
              <w:t>Implied variance / forecast variance</w:t>
            </w:r>
          </w:p>
        </w:tc>
        <w:tc>
          <w:tcPr>
            <w:tcW w:type="dxa" w:w="3744"/>
            <w:shd w:fill="1F4E79"/>
            <w:vAlign w:val="center"/>
          </w:tcPr>
          <w:p>
            <w:r>
              <w:rPr>
                <w:color w:val="FFFFFF"/>
              </w:rPr>
            </w:r>
            <w:r>
              <w:rPr>
                <w:b/>
                <w:color w:val="FFFFFF"/>
                <w:sz w:val="17"/>
              </w:rPr>
              <w:t>Implied vol / forecast vol</w:t>
            </w:r>
          </w:p>
        </w:tc>
      </w:tr>
      <w:tr>
        <w:tc>
          <w:tcPr>
            <w:tcW w:type="dxa" w:w="2880"/>
            <w:vAlign w:val="top"/>
          </w:tcPr>
          <w:p>
            <w:r/>
            <w:r>
              <w:rPr>
                <w:b w:val="0"/>
                <w:sz w:val="17"/>
              </w:rPr>
              <w:t>0.60</w:t>
            </w:r>
          </w:p>
        </w:tc>
        <w:tc>
          <w:tcPr>
            <w:tcW w:type="dxa" w:w="3744"/>
            <w:vAlign w:val="top"/>
          </w:tcPr>
          <w:p>
            <w:r/>
            <w:r>
              <w:rPr>
                <w:b w:val="0"/>
                <w:sz w:val="17"/>
              </w:rPr>
              <w:t>1.82x</w:t>
            </w:r>
          </w:p>
        </w:tc>
        <w:tc>
          <w:tcPr>
            <w:tcW w:type="dxa" w:w="3744"/>
            <w:vAlign w:val="top"/>
          </w:tcPr>
          <w:p>
            <w:r/>
            <w:r>
              <w:rPr>
                <w:b w:val="0"/>
                <w:sz w:val="17"/>
              </w:rPr>
              <w:t>1.35x</w:t>
            </w:r>
          </w:p>
        </w:tc>
      </w:tr>
      <w:tr>
        <w:tc>
          <w:tcPr>
            <w:tcW w:type="dxa" w:w="2880"/>
            <w:vAlign w:val="top"/>
          </w:tcPr>
          <w:p>
            <w:r/>
            <w:r>
              <w:rPr>
                <w:b w:val="0"/>
                <w:sz w:val="17"/>
              </w:rPr>
              <w:t>0.70</w:t>
            </w:r>
          </w:p>
        </w:tc>
        <w:tc>
          <w:tcPr>
            <w:tcW w:type="dxa" w:w="3744"/>
            <w:vAlign w:val="top"/>
          </w:tcPr>
          <w:p>
            <w:r/>
            <w:r>
              <w:rPr>
                <w:b w:val="0"/>
                <w:sz w:val="17"/>
              </w:rPr>
              <w:t>2.01x</w:t>
            </w:r>
          </w:p>
        </w:tc>
        <w:tc>
          <w:tcPr>
            <w:tcW w:type="dxa" w:w="3744"/>
            <w:vAlign w:val="top"/>
          </w:tcPr>
          <w:p>
            <w:r/>
            <w:r>
              <w:rPr>
                <w:b w:val="0"/>
                <w:sz w:val="17"/>
              </w:rPr>
              <w:t>1.42x</w:t>
            </w:r>
          </w:p>
        </w:tc>
      </w:tr>
      <w:tr>
        <w:tc>
          <w:tcPr>
            <w:tcW w:type="dxa" w:w="2880"/>
            <w:vAlign w:val="top"/>
          </w:tcPr>
          <w:p>
            <w:r/>
            <w:r>
              <w:rPr>
                <w:b w:val="0"/>
                <w:sz w:val="17"/>
              </w:rPr>
              <w:t>0.75</w:t>
            </w:r>
          </w:p>
        </w:tc>
        <w:tc>
          <w:tcPr>
            <w:tcW w:type="dxa" w:w="3744"/>
            <w:vAlign w:val="top"/>
          </w:tcPr>
          <w:p>
            <w:r/>
            <w:r>
              <w:rPr>
                <w:b w:val="0"/>
                <w:sz w:val="17"/>
              </w:rPr>
              <w:t>2.12x</w:t>
            </w:r>
          </w:p>
        </w:tc>
        <w:tc>
          <w:tcPr>
            <w:tcW w:type="dxa" w:w="3744"/>
            <w:vAlign w:val="top"/>
          </w:tcPr>
          <w:p>
            <w:r/>
            <w:r>
              <w:rPr>
                <w:b w:val="0"/>
                <w:sz w:val="17"/>
              </w:rPr>
              <w:t>1.45x</w:t>
            </w:r>
          </w:p>
        </w:tc>
      </w:tr>
      <w:tr>
        <w:tc>
          <w:tcPr>
            <w:tcW w:type="dxa" w:w="2880"/>
            <w:vAlign w:val="top"/>
          </w:tcPr>
          <w:p>
            <w:r/>
            <w:r>
              <w:rPr>
                <w:b w:val="0"/>
                <w:sz w:val="17"/>
              </w:rPr>
              <w:t>0.80</w:t>
            </w:r>
          </w:p>
        </w:tc>
        <w:tc>
          <w:tcPr>
            <w:tcW w:type="dxa" w:w="3744"/>
            <w:vAlign w:val="top"/>
          </w:tcPr>
          <w:p>
            <w:r/>
            <w:r>
              <w:rPr>
                <w:b w:val="0"/>
                <w:sz w:val="17"/>
              </w:rPr>
              <w:t>2.23x</w:t>
            </w:r>
          </w:p>
        </w:tc>
        <w:tc>
          <w:tcPr>
            <w:tcW w:type="dxa" w:w="3744"/>
            <w:vAlign w:val="top"/>
          </w:tcPr>
          <w:p>
            <w:r/>
            <w:r>
              <w:rPr>
                <w:b w:val="0"/>
                <w:sz w:val="17"/>
              </w:rPr>
              <w:t>1.49x</w:t>
            </w:r>
          </w:p>
        </w:tc>
      </w:tr>
    </w:tbl>
    <w:p/>
    <w:p>
      <w:pPr>
        <w:pStyle w:val="Heading1"/>
      </w:pPr>
      <w:r>
        <w:t>3. Target construction: forward realized variance</w:t>
      </w:r>
    </w:p>
    <w:p>
      <w:r>
        <w:rPr>
          <w:b/>
        </w:rPr>
        <w:t xml:space="preserve">The supervised learning target is forward realized variance. </w:t>
      </w:r>
      <w:r>
        <w:t>For each signal date and each target tenor, the model sums realized variance over the future calendar window. This aligns the forecast horizon with the SPX implied-variance term structure, which is also calendar-day based.</w:t>
      </w:r>
    </w:p>
    <w:p>
      <w:pPr>
        <w:pStyle w:val="CodeBlock"/>
      </w:pPr>
      <w:r>
        <w:rPr>
          <w:rFonts w:ascii="Courier New" w:hAnsi="Courier New"/>
          <w:sz w:val="17"/>
        </w:rPr>
        <w:t>Forward window for tenor T:</w:t>
        <w:br/>
        <w:t xml:space="preserve">    dates &gt; signal_date</w:t>
        <w:br/>
        <w:t xml:space="preserve">    and dates &lt;= signal_date + T calendar days</w:t>
        <w:br/>
        <w:br/>
        <w:t>Forward total realized variance:</w:t>
        <w:br/>
        <w:t xml:space="preserve">    forward_var_T = sum(SPY total daily realized variance over the window) * 365 / T</w:t>
        <w:br/>
        <w:br/>
        <w:t>Forecast target used in regression:</w:t>
        <w:br/>
        <w:t xml:space="preserve">    y = log(forward_var_T)</w:t>
      </w:r>
    </w:p>
    <w:p>
      <w:r>
        <w:br w:type="page"/>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2880"/>
            <w:shd w:fill="1F4E79"/>
            <w:vAlign w:val="center"/>
          </w:tcPr>
          <w:p>
            <w:r>
              <w:rPr>
                <w:color w:val="FFFFFF"/>
              </w:rPr>
            </w:r>
            <w:r>
              <w:rPr>
                <w:b/>
                <w:color w:val="FFFFFF"/>
                <w:sz w:val="17"/>
              </w:rPr>
              <w:t>Component</w:t>
            </w:r>
          </w:p>
        </w:tc>
        <w:tc>
          <w:tcPr>
            <w:tcW w:type="dxa" w:w="8352"/>
            <w:shd w:fill="1F4E79"/>
            <w:vAlign w:val="center"/>
          </w:tcPr>
          <w:p>
            <w:r>
              <w:rPr>
                <w:color w:val="FFFFFF"/>
              </w:rPr>
            </w:r>
            <w:r>
              <w:rPr>
                <w:b/>
                <w:color w:val="FFFFFF"/>
                <w:sz w:val="17"/>
              </w:rPr>
              <w:t>Definition / implementation note</w:t>
            </w:r>
          </w:p>
        </w:tc>
      </w:tr>
      <w:tr>
        <w:tc>
          <w:tcPr>
            <w:tcW w:type="dxa" w:w="2880"/>
            <w:vAlign w:val="top"/>
          </w:tcPr>
          <w:p>
            <w:r/>
            <w:r>
              <w:rPr>
                <w:b w:val="0"/>
                <w:sz w:val="17"/>
              </w:rPr>
              <w:t>Intraday RV</w:t>
            </w:r>
          </w:p>
        </w:tc>
        <w:tc>
          <w:tcPr>
            <w:tcW w:type="dxa" w:w="8352"/>
            <w:vAlign w:val="top"/>
          </w:tcPr>
          <w:p>
            <w:r/>
            <w:r>
              <w:rPr>
                <w:b w:val="0"/>
                <w:sz w:val="17"/>
              </w:rPr>
              <w:t>Sum of squared 5-minute intraday SPY log returns over the session.</w:t>
            </w:r>
          </w:p>
        </w:tc>
      </w:tr>
      <w:tr>
        <w:tc>
          <w:tcPr>
            <w:tcW w:type="dxa" w:w="2880"/>
            <w:vAlign w:val="top"/>
          </w:tcPr>
          <w:p>
            <w:r/>
            <w:r>
              <w:rPr>
                <w:b w:val="0"/>
                <w:sz w:val="17"/>
              </w:rPr>
              <w:t>Overnight RV</w:t>
            </w:r>
          </w:p>
        </w:tc>
        <w:tc>
          <w:tcPr>
            <w:tcW w:type="dxa" w:w="8352"/>
            <w:vAlign w:val="top"/>
          </w:tcPr>
          <w:p>
            <w:r/>
            <w:r>
              <w:rPr>
                <w:b w:val="0"/>
                <w:sz w:val="17"/>
              </w:rPr>
              <w:t>Squared overnight SPY log return from prior valid EOD close to current EOD open.</w:t>
            </w:r>
          </w:p>
        </w:tc>
      </w:tr>
      <w:tr>
        <w:tc>
          <w:tcPr>
            <w:tcW w:type="dxa" w:w="2880"/>
            <w:vAlign w:val="top"/>
          </w:tcPr>
          <w:p>
            <w:r/>
            <w:r>
              <w:rPr>
                <w:b w:val="0"/>
                <w:sz w:val="17"/>
              </w:rPr>
              <w:t>Total daily RV</w:t>
            </w:r>
          </w:p>
        </w:tc>
        <w:tc>
          <w:tcPr>
            <w:tcW w:type="dxa" w:w="8352"/>
            <w:vAlign w:val="top"/>
          </w:tcPr>
          <w:p>
            <w:r/>
            <w:r>
              <w:rPr>
                <w:b w:val="0"/>
                <w:sz w:val="17"/>
              </w:rPr>
              <w:t>Intraday RV + overnight RV. This is the variance object used for the har_total_simple target.</w:t>
            </w:r>
          </w:p>
        </w:tc>
      </w:tr>
      <w:tr>
        <w:tc>
          <w:tcPr>
            <w:tcW w:type="dxa" w:w="2880"/>
            <w:vAlign w:val="top"/>
          </w:tcPr>
          <w:p>
            <w:r/>
            <w:r>
              <w:rPr>
                <w:b w:val="0"/>
                <w:sz w:val="17"/>
              </w:rPr>
              <w:t>Forward target</w:t>
            </w:r>
          </w:p>
        </w:tc>
        <w:tc>
          <w:tcPr>
            <w:tcW w:type="dxa" w:w="8352"/>
            <w:vAlign w:val="top"/>
          </w:tcPr>
          <w:p>
            <w:r/>
            <w:r>
              <w:rPr>
                <w:b w:val="0"/>
                <w:sz w:val="17"/>
              </w:rPr>
              <w:t>Calendar-window sum of total daily RV, annualized by 365 / tenor.</w:t>
            </w:r>
          </w:p>
        </w:tc>
      </w:tr>
      <w:tr>
        <w:tc>
          <w:tcPr>
            <w:tcW w:type="dxa" w:w="2880"/>
            <w:vAlign w:val="top"/>
          </w:tcPr>
          <w:p>
            <w:r/>
            <w:r>
              <w:rPr>
                <w:b w:val="0"/>
                <w:sz w:val="17"/>
              </w:rPr>
              <w:t>Target vol</w:t>
            </w:r>
          </w:p>
        </w:tc>
        <w:tc>
          <w:tcPr>
            <w:tcW w:type="dxa" w:w="8352"/>
            <w:vAlign w:val="top"/>
          </w:tcPr>
          <w:p>
            <w:r/>
            <w:r>
              <w:rPr>
                <w:b w:val="0"/>
                <w:sz w:val="17"/>
              </w:rPr>
              <w:t>sqrt(forward target variance) * 100. This is for interpretability; the regression target is log variance.</w:t>
            </w:r>
          </w:p>
        </w:tc>
      </w:tr>
      <w:tr>
        <w:tc>
          <w:tcPr>
            <w:tcW w:type="dxa" w:w="2880"/>
            <w:vAlign w:val="top"/>
          </w:tcPr>
          <w:p>
            <w:r/>
            <w:r>
              <w:rPr>
                <w:b w:val="0"/>
                <w:sz w:val="17"/>
              </w:rPr>
              <w:t>Window completeness</w:t>
            </w:r>
          </w:p>
        </w:tc>
        <w:tc>
          <w:tcPr>
            <w:tcW w:type="dxa" w:w="8352"/>
            <w:vAlign w:val="top"/>
          </w:tcPr>
          <w:p>
            <w:r/>
            <w:r>
              <w:rPr>
                <w:b w:val="0"/>
                <w:sz w:val="17"/>
              </w:rPr>
              <w:t>Rows are flagged for forward-window completeness and session-quality review counts. Incomplete or invalid rows are excluded from model fitting.</w:t>
            </w:r>
          </w:p>
        </w:tc>
      </w:tr>
    </w:tbl>
    <w:p/>
    <w:p>
      <w:r>
        <w:rPr>
          <w:b/>
        </w:rPr>
        <w:t xml:space="preserve">Important nuance: </w:t>
      </w:r>
      <w:r>
        <w:t>the forward target is annualized with 365 calendar days because the implied-variance curve is calendar-tenor based. Some realized-variance state features are annualized with 252 because they summarize daily trading-session variance history. That is acceptable because the regression learns the mapping from 252-annualized state variables to the 365-calendar-aligned forward target.</w:t>
      </w:r>
    </w:p>
    <w:p>
      <w:pPr>
        <w:pStyle w:val="Heading1"/>
      </w:pPr>
      <w:r>
        <w:t>4. Realized variance data source and cleaning</w:t>
      </w:r>
    </w:p>
    <w:p>
      <w:r>
        <w:rPr>
          <w:b/>
        </w:rPr>
        <w:t xml:space="preserve">The realized-variance history comes from SPY, not SPX. </w:t>
      </w:r>
      <w:r>
        <w:t>SPY is used because 5-minute and EOD history are available and liquid enough for a stable historical realized-variance series. The implied side remains SPX/VIX-style variance, so this is a practical SPY realized-vol proxy for SPX realized variance.</w:t>
      </w:r>
    </w:p>
    <w:p>
      <w:pPr>
        <w:pStyle w:val="ListBullet"/>
        <w:spacing w:after="40"/>
      </w:pPr>
      <w:r>
        <w:t>5-minute SPY OHLC bars are downloaded month by month from ThetaData.</w:t>
      </w:r>
    </w:p>
    <w:p>
      <w:pPr>
        <w:pStyle w:val="ListBullet"/>
        <w:spacing w:after="40"/>
      </w:pPr>
      <w:r>
        <w:t>EOD SPY data are used to compute open, close, and overnight return information.</w:t>
      </w:r>
    </w:p>
    <w:p>
      <w:pPr>
        <w:pStyle w:val="ListBullet"/>
        <w:spacing w:after="40"/>
      </w:pPr>
      <w:r>
        <w:t>The daily table separates intraday variance, overnight variance, and total variance.</w:t>
      </w:r>
    </w:p>
    <w:p>
      <w:pPr>
        <w:pStyle w:val="ListBullet"/>
        <w:spacing w:after="40"/>
      </w:pPr>
      <w:r>
        <w:t>Known bad EOD values are sanitized. For example, if a prior close is zero or invalid, the workflow uses the previous valid positive close chain rather than blindly using the previous row.</w:t>
      </w:r>
    </w:p>
    <w:p>
      <w:pPr>
        <w:pStyle w:val="ListBullet"/>
        <w:spacing w:after="40"/>
      </w:pPr>
      <w:r>
        <w:t>Session-quality flags distinguish full sessions, likely early closes, near-full sessions with missing bars, and review sessions. These flags are retained for auditability.</w:t>
      </w:r>
    </w:p>
    <w:p>
      <w:r>
        <w:br w:type="page"/>
      </w:r>
    </w:p>
    <w:p>
      <w:pPr>
        <w:pStyle w:val="Heading1"/>
      </w:pPr>
      <w:r>
        <w:t>5. Predictor features used by har_total_simple</w:t>
      </w:r>
    </w:p>
    <w:p>
      <w:r>
        <w:rPr>
          <w:b/>
        </w:rPr>
        <w:t xml:space="preserve">The chosen model is intentionally narrow. </w:t>
      </w:r>
      <w:r>
        <w:t>The full research feature panel contains many possible realized, implied, state, return, and calendar features. har_total_simple only uses total realized-variance state plus tenor controls.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3888"/>
            <w:shd w:fill="1F4E79"/>
            <w:vAlign w:val="center"/>
          </w:tcPr>
          <w:p>
            <w:r>
              <w:rPr>
                <w:color w:val="FFFFFF"/>
              </w:rPr>
            </w:r>
            <w:r>
              <w:rPr>
                <w:b/>
                <w:color w:val="FFFFFF"/>
                <w:sz w:val="16"/>
              </w:rPr>
              <w:t>Feature</w:t>
            </w:r>
          </w:p>
        </w:tc>
        <w:tc>
          <w:tcPr>
            <w:tcW w:type="dxa" w:w="7344"/>
            <w:shd w:fill="1F4E79"/>
            <w:vAlign w:val="center"/>
          </w:tcPr>
          <w:p>
            <w:r>
              <w:rPr>
                <w:color w:val="FFFFFF"/>
              </w:rPr>
            </w:r>
            <w:r>
              <w:rPr>
                <w:b/>
                <w:color w:val="FFFFFF"/>
                <w:sz w:val="16"/>
              </w:rPr>
              <w:t>Meaning</w:t>
            </w:r>
          </w:p>
        </w:tc>
      </w:tr>
      <w:tr>
        <w:tc>
          <w:tcPr>
            <w:tcW w:type="dxa" w:w="3888"/>
            <w:vAlign w:val="top"/>
          </w:tcPr>
          <w:p>
            <w:r/>
            <w:r>
              <w:rPr>
                <w:b w:val="0"/>
                <w:sz w:val="16"/>
              </w:rPr>
              <w:t>log_spy_total_rv_1d_ann</w:t>
            </w:r>
          </w:p>
        </w:tc>
        <w:tc>
          <w:tcPr>
            <w:tcW w:type="dxa" w:w="7344"/>
            <w:vAlign w:val="top"/>
          </w:tcPr>
          <w:p>
            <w:r/>
            <w:r>
              <w:rPr>
                <w:b w:val="0"/>
                <w:sz w:val="16"/>
              </w:rPr>
              <w:t>Log of the most recent 1-day SPY total realized variance, annualized with 252 trading days.</w:t>
            </w:r>
          </w:p>
        </w:tc>
      </w:tr>
      <w:tr>
        <w:tc>
          <w:tcPr>
            <w:tcW w:type="dxa" w:w="3888"/>
            <w:vAlign w:val="top"/>
          </w:tcPr>
          <w:p>
            <w:r/>
            <w:r>
              <w:rPr>
                <w:b w:val="0"/>
                <w:sz w:val="16"/>
              </w:rPr>
              <w:t>log_spy_total_rv_mean_5d_ann</w:t>
            </w:r>
          </w:p>
        </w:tc>
        <w:tc>
          <w:tcPr>
            <w:tcW w:type="dxa" w:w="7344"/>
            <w:vAlign w:val="top"/>
          </w:tcPr>
          <w:p>
            <w:r/>
            <w:r>
              <w:rPr>
                <w:b w:val="0"/>
                <w:sz w:val="16"/>
              </w:rPr>
              <w:t>Log of the rolling 5-day mean of raw SPY total daily realized variance, annualized with 252.</w:t>
            </w:r>
          </w:p>
        </w:tc>
      </w:tr>
      <w:tr>
        <w:tc>
          <w:tcPr>
            <w:tcW w:type="dxa" w:w="3888"/>
            <w:vAlign w:val="top"/>
          </w:tcPr>
          <w:p>
            <w:r/>
            <w:r>
              <w:rPr>
                <w:b w:val="0"/>
                <w:sz w:val="16"/>
              </w:rPr>
              <w:t>log_spy_total_rv_mean_21d_ann</w:t>
            </w:r>
          </w:p>
        </w:tc>
        <w:tc>
          <w:tcPr>
            <w:tcW w:type="dxa" w:w="7344"/>
            <w:vAlign w:val="top"/>
          </w:tcPr>
          <w:p>
            <w:r/>
            <w:r>
              <w:rPr>
                <w:b w:val="0"/>
                <w:sz w:val="16"/>
              </w:rPr>
              <w:t>Log of the rolling 21-day mean of raw SPY total daily realized variance, annualized with 252.</w:t>
            </w:r>
          </w:p>
        </w:tc>
      </w:tr>
      <w:tr>
        <w:tc>
          <w:tcPr>
            <w:tcW w:type="dxa" w:w="3888"/>
            <w:vAlign w:val="top"/>
          </w:tcPr>
          <w:p>
            <w:r/>
            <w:r>
              <w:rPr>
                <w:b w:val="0"/>
                <w:sz w:val="16"/>
              </w:rPr>
              <w:t>log_spy_total_rv_mean_63d_ann</w:t>
            </w:r>
          </w:p>
        </w:tc>
        <w:tc>
          <w:tcPr>
            <w:tcW w:type="dxa" w:w="7344"/>
            <w:vAlign w:val="top"/>
          </w:tcPr>
          <w:p>
            <w:r/>
            <w:r>
              <w:rPr>
                <w:b w:val="0"/>
                <w:sz w:val="16"/>
              </w:rPr>
              <w:t>Log of the rolling 63-day mean of raw SPY total daily realized variance, annualized with 252.</w:t>
            </w:r>
          </w:p>
        </w:tc>
      </w:tr>
      <w:tr>
        <w:tc>
          <w:tcPr>
            <w:tcW w:type="dxa" w:w="3888"/>
            <w:vAlign w:val="top"/>
          </w:tcPr>
          <w:p>
            <w:r/>
            <w:r>
              <w:rPr>
                <w:b w:val="0"/>
                <w:sz w:val="16"/>
              </w:rPr>
              <w:t>tenor_scaled_30d</w:t>
            </w:r>
          </w:p>
        </w:tc>
        <w:tc>
          <w:tcPr>
            <w:tcW w:type="dxa" w:w="7344"/>
            <w:vAlign w:val="top"/>
          </w:tcPr>
          <w:p>
            <w:r/>
            <w:r>
              <w:rPr>
                <w:b w:val="0"/>
                <w:sz w:val="16"/>
              </w:rPr>
              <w:t>Tenor divided by 30. This gives the model a continuous tenor-level term.</w:t>
            </w:r>
          </w:p>
        </w:tc>
      </w:tr>
      <w:tr>
        <w:tc>
          <w:tcPr>
            <w:tcW w:type="dxa" w:w="3888"/>
            <w:vAlign w:val="top"/>
          </w:tcPr>
          <w:p>
            <w:r/>
            <w:r>
              <w:rPr>
                <w:b w:val="0"/>
                <w:sz w:val="16"/>
              </w:rPr>
              <w:t>log_tenor</w:t>
            </w:r>
          </w:p>
        </w:tc>
        <w:tc>
          <w:tcPr>
            <w:tcW w:type="dxa" w:w="7344"/>
            <w:vAlign w:val="top"/>
          </w:tcPr>
          <w:p>
            <w:r/>
            <w:r>
              <w:rPr>
                <w:b w:val="0"/>
                <w:sz w:val="16"/>
              </w:rPr>
              <w:t>Log of tenor in days. This gives a nonlinear tenor-level term.</w:t>
            </w:r>
          </w:p>
        </w:tc>
      </w:tr>
      <w:tr>
        <w:tc>
          <w:tcPr>
            <w:tcW w:type="dxa" w:w="3888"/>
            <w:vAlign w:val="top"/>
          </w:tcPr>
          <w:p>
            <w:r/>
            <w:r>
              <w:rPr>
                <w:b w:val="0"/>
                <w:sz w:val="16"/>
              </w:rPr>
              <w:t>tenor_group_front</w:t>
            </w:r>
          </w:p>
        </w:tc>
        <w:tc>
          <w:tcPr>
            <w:tcW w:type="dxa" w:w="7344"/>
            <w:vAlign w:val="top"/>
          </w:tcPr>
          <w:p>
            <w:r/>
            <w:r>
              <w:rPr>
                <w:b w:val="0"/>
                <w:sz w:val="16"/>
              </w:rPr>
              <w:t>Dummy variable for 9D/12D/15D tenors.</w:t>
            </w:r>
          </w:p>
        </w:tc>
      </w:tr>
      <w:tr>
        <w:tc>
          <w:tcPr>
            <w:tcW w:type="dxa" w:w="3888"/>
            <w:vAlign w:val="top"/>
          </w:tcPr>
          <w:p>
            <w:r/>
            <w:r>
              <w:rPr>
                <w:b w:val="0"/>
                <w:sz w:val="16"/>
              </w:rPr>
              <w:t>tenor_group_middle</w:t>
            </w:r>
          </w:p>
        </w:tc>
        <w:tc>
          <w:tcPr>
            <w:tcW w:type="dxa" w:w="7344"/>
            <w:vAlign w:val="top"/>
          </w:tcPr>
          <w:p>
            <w:r/>
            <w:r>
              <w:rPr>
                <w:b w:val="0"/>
                <w:sz w:val="16"/>
              </w:rPr>
              <w:t>Dummy variable for 18D/21D/24D tenors.</w:t>
            </w:r>
          </w:p>
        </w:tc>
      </w:tr>
      <w:tr>
        <w:tc>
          <w:tcPr>
            <w:tcW w:type="dxa" w:w="3888"/>
            <w:vAlign w:val="top"/>
          </w:tcPr>
          <w:p>
            <w:r/>
            <w:r>
              <w:rPr>
                <w:b w:val="0"/>
                <w:sz w:val="16"/>
              </w:rPr>
              <w:t>tenor_group_back</w:t>
            </w:r>
          </w:p>
        </w:tc>
        <w:tc>
          <w:tcPr>
            <w:tcW w:type="dxa" w:w="7344"/>
            <w:vAlign w:val="top"/>
          </w:tcPr>
          <w:p>
            <w:r/>
            <w:r>
              <w:rPr>
                <w:b w:val="0"/>
                <w:sz w:val="16"/>
              </w:rPr>
              <w:t>Dummy variable for 27D/30D/33D tenors.</w:t>
            </w:r>
          </w:p>
        </w:tc>
      </w:tr>
    </w:tbl>
    <w:p/>
    <w:p>
      <w:r>
        <w:rPr>
          <w:b/>
        </w:rPr>
        <w:t>What the model deliberately does not use:</w:t>
      </w:r>
    </w:p>
    <w:p>
      <w:pPr>
        <w:pStyle w:val="ListBullet"/>
        <w:spacing w:after="40"/>
      </w:pPr>
      <w:r>
        <w:t>No implied variance or VIX-style level.</w:t>
      </w:r>
    </w:p>
    <w:p>
      <w:pPr>
        <w:pStyle w:val="ListBullet"/>
        <w:spacing w:after="40"/>
      </w:pPr>
      <w:r>
        <w:t>No VRP signal, 3m z-score, or 1y z-score.</w:t>
      </w:r>
    </w:p>
    <w:p>
      <w:pPr>
        <w:pStyle w:val="ListBullet"/>
        <w:spacing w:after="40"/>
      </w:pPr>
      <w:r>
        <w:t>No RSI, RV21D filter, or trade-state filters.</w:t>
      </w:r>
    </w:p>
    <w:p>
      <w:pPr>
        <w:pStyle w:val="ListBullet"/>
        <w:spacing w:after="40"/>
      </w:pPr>
      <w:r>
        <w:t>No downside/upside variance decomposition, overnight share, or vol-of-vol variables.</w:t>
      </w:r>
    </w:p>
    <w:p>
      <w:pPr>
        <w:pStyle w:val="ListBullet"/>
        <w:spacing w:after="40"/>
      </w:pPr>
      <w:r>
        <w:t>No GARCH terms or nonlinear machine-learning model.</w:t>
      </w:r>
    </w:p>
    <w:p>
      <w:pPr>
        <w:pStyle w:val="ListBullet"/>
        <w:spacing w:after="40"/>
      </w:pPr>
      <w:r>
        <w:t>No trade P&amp;L, win/loss flags, selected-tenor information, or sizing information.</w:t>
      </w:r>
    </w:p>
    <w:p>
      <w:r>
        <w:rPr>
          <w:b/>
        </w:rPr>
        <w:t xml:space="preserve">This separation is a feature, not a bug. </w:t>
      </w:r>
      <w:r>
        <w:t>The denominator remains clean and avoids circularity. The forecast estimates expected future realized variance; the trade logic separately decides whether the implied variance premium is large enough to sell.</w:t>
      </w:r>
    </w:p>
    <w:p>
      <w:pPr>
        <w:pStyle w:val="Heading1"/>
      </w:pPr>
      <w:r>
        <w:t>6. Model fitting methodology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2880"/>
            <w:shd w:fill="1F4E79"/>
            <w:vAlign w:val="center"/>
          </w:tcPr>
          <w:p>
            <w:r>
              <w:rPr>
                <w:color w:val="FFFFFF"/>
              </w:rPr>
            </w:r>
            <w:r>
              <w:rPr>
                <w:b/>
                <w:color w:val="FFFFFF"/>
                <w:sz w:val="17"/>
              </w:rPr>
              <w:t>Step</w:t>
            </w:r>
          </w:p>
        </w:tc>
        <w:tc>
          <w:tcPr>
            <w:tcW w:type="dxa" w:w="8352"/>
            <w:shd w:fill="1F4E79"/>
            <w:vAlign w:val="center"/>
          </w:tcPr>
          <w:p>
            <w:r>
              <w:rPr>
                <w:color w:val="FFFFFF"/>
              </w:rPr>
            </w:r>
            <w:r>
              <w:rPr>
                <w:b/>
                <w:color w:val="FFFFFF"/>
                <w:sz w:val="17"/>
              </w:rPr>
              <w:t>Implementation detail</w:t>
            </w:r>
          </w:p>
        </w:tc>
      </w:tr>
      <w:tr>
        <w:tc>
          <w:tcPr>
            <w:tcW w:type="dxa" w:w="2880"/>
            <w:vAlign w:val="top"/>
          </w:tcPr>
          <w:p>
            <w:r/>
            <w:r>
              <w:rPr>
                <w:b w:val="0"/>
                <w:sz w:val="17"/>
              </w:rPr>
              <w:t>Target variable</w:t>
            </w:r>
          </w:p>
        </w:tc>
        <w:tc>
          <w:tcPr>
            <w:tcW w:type="dxa" w:w="8352"/>
            <w:vAlign w:val="top"/>
          </w:tcPr>
          <w:p>
            <w:r/>
            <w:r>
              <w:rPr>
                <w:b w:val="0"/>
                <w:sz w:val="17"/>
              </w:rPr>
              <w:t>log_forward_realized_variance_corsi = log(forward realized variance).</w:t>
            </w:r>
          </w:p>
        </w:tc>
      </w:tr>
      <w:tr>
        <w:tc>
          <w:tcPr>
            <w:tcW w:type="dxa" w:w="2880"/>
            <w:vAlign w:val="top"/>
          </w:tcPr>
          <w:p>
            <w:r/>
            <w:r>
              <w:rPr>
                <w:b w:val="0"/>
                <w:sz w:val="17"/>
              </w:rPr>
              <w:t>Estimator</w:t>
            </w:r>
          </w:p>
        </w:tc>
        <w:tc>
          <w:tcPr>
            <w:tcW w:type="dxa" w:w="8352"/>
            <w:vAlign w:val="top"/>
          </w:tcPr>
          <w:p>
            <w:r/>
            <w:r>
              <w:rPr>
                <w:b w:val="0"/>
                <w:sz w:val="17"/>
              </w:rPr>
              <w:t>RidgeCV regression.</w:t>
            </w:r>
          </w:p>
        </w:tc>
      </w:tr>
      <w:tr>
        <w:tc>
          <w:tcPr>
            <w:tcW w:type="dxa" w:w="2880"/>
            <w:vAlign w:val="top"/>
          </w:tcPr>
          <w:p>
            <w:r/>
            <w:r>
              <w:rPr>
                <w:b w:val="0"/>
                <w:sz w:val="17"/>
              </w:rPr>
              <w:t>Preprocessing</w:t>
            </w:r>
          </w:p>
        </w:tc>
        <w:tc>
          <w:tcPr>
            <w:tcW w:type="dxa" w:w="8352"/>
            <w:vAlign w:val="top"/>
          </w:tcPr>
          <w:p>
            <w:r/>
            <w:r>
              <w:rPr>
                <w:b w:val="0"/>
                <w:sz w:val="17"/>
              </w:rPr>
              <w:t>Median imputation, then standardization via StandardScaler.</w:t>
            </w:r>
          </w:p>
        </w:tc>
      </w:tr>
      <w:tr>
        <w:tc>
          <w:tcPr>
            <w:tcW w:type="dxa" w:w="2880"/>
            <w:vAlign w:val="top"/>
          </w:tcPr>
          <w:p>
            <w:r/>
            <w:r>
              <w:rPr>
                <w:b w:val="0"/>
                <w:sz w:val="17"/>
              </w:rPr>
              <w:t>Ridge alpha grid</w:t>
            </w:r>
          </w:p>
        </w:tc>
        <w:tc>
          <w:tcPr>
            <w:tcW w:type="dxa" w:w="8352"/>
            <w:vAlign w:val="top"/>
          </w:tcPr>
          <w:p>
            <w:r/>
            <w:r>
              <w:rPr>
                <w:b w:val="0"/>
                <w:sz w:val="17"/>
              </w:rPr>
              <w:t>0.3, 1, 3, 10, 30, 100, 300, 1000, 3000, 10000.</w:t>
            </w:r>
          </w:p>
        </w:tc>
      </w:tr>
      <w:tr>
        <w:tc>
          <w:tcPr>
            <w:tcW w:type="dxa" w:w="2880"/>
            <w:vAlign w:val="top"/>
          </w:tcPr>
          <w:p>
            <w:r/>
            <w:r>
              <w:rPr>
                <w:b w:val="0"/>
                <w:sz w:val="17"/>
              </w:rPr>
              <w:t>Training / testing</w:t>
            </w:r>
          </w:p>
        </w:tc>
        <w:tc>
          <w:tcPr>
            <w:tcW w:type="dxa" w:w="8352"/>
            <w:vAlign w:val="top"/>
          </w:tcPr>
          <w:p>
            <w:r/>
            <w:r>
              <w:rPr>
                <w:b w:val="0"/>
                <w:sz w:val="17"/>
              </w:rPr>
              <w:t>Yearly walk-forward test years 2020 through 2026.</w:t>
            </w:r>
          </w:p>
        </w:tc>
      </w:tr>
      <w:tr>
        <w:tc>
          <w:tcPr>
            <w:tcW w:type="dxa" w:w="2880"/>
            <w:vAlign w:val="top"/>
          </w:tcPr>
          <w:p>
            <w:r/>
            <w:r>
              <w:rPr>
                <w:b w:val="0"/>
                <w:sz w:val="17"/>
              </w:rPr>
              <w:t>Embargo</w:t>
            </w:r>
          </w:p>
        </w:tc>
        <w:tc>
          <w:tcPr>
            <w:tcW w:type="dxa" w:w="8352"/>
            <w:vAlign w:val="top"/>
          </w:tcPr>
          <w:p>
            <w:r/>
            <w:r>
              <w:rPr>
                <w:b w:val="0"/>
                <w:sz w:val="17"/>
              </w:rPr>
              <w:t>33 calendar days before each test year; training data end at test_start - 33 days.</w:t>
            </w:r>
          </w:p>
        </w:tc>
      </w:tr>
      <w:tr>
        <w:tc>
          <w:tcPr>
            <w:tcW w:type="dxa" w:w="2880"/>
            <w:vAlign w:val="top"/>
          </w:tcPr>
          <w:p>
            <w:r/>
            <w:r>
              <w:rPr>
                <w:b w:val="0"/>
                <w:sz w:val="17"/>
              </w:rPr>
              <w:t>Minimum training rows</w:t>
            </w:r>
          </w:p>
        </w:tc>
        <w:tc>
          <w:tcPr>
            <w:tcW w:type="dxa" w:w="8352"/>
            <w:vAlign w:val="top"/>
          </w:tcPr>
          <w:p>
            <w:r/>
            <w:r>
              <w:rPr>
                <w:b w:val="0"/>
                <w:sz w:val="17"/>
              </w:rPr>
              <w:t>750 rows required for a yearly test split.</w:t>
            </w:r>
          </w:p>
        </w:tc>
      </w:tr>
      <w:tr>
        <w:tc>
          <w:tcPr>
            <w:tcW w:type="dxa" w:w="2880"/>
            <w:vAlign w:val="top"/>
          </w:tcPr>
          <w:p>
            <w:r/>
            <w:r>
              <w:rPr>
                <w:b w:val="0"/>
                <w:sz w:val="17"/>
              </w:rPr>
              <w:t>Prediction domain</w:t>
            </w:r>
          </w:p>
        </w:tc>
        <w:tc>
          <w:tcPr>
            <w:tcW w:type="dxa" w:w="8352"/>
            <w:vAlign w:val="top"/>
          </w:tcPr>
          <w:p>
            <w:r/>
            <w:r>
              <w:rPr>
                <w:b w:val="0"/>
                <w:sz w:val="17"/>
              </w:rPr>
              <w:t>Predict log variance first, then exponentiate to variance.</w:t>
            </w:r>
          </w:p>
        </w:tc>
      </w:tr>
      <w:tr>
        <w:tc>
          <w:tcPr>
            <w:tcW w:type="dxa" w:w="2880"/>
            <w:vAlign w:val="top"/>
          </w:tcPr>
          <w:p>
            <w:r/>
            <w:r>
              <w:rPr>
                <w:b w:val="0"/>
                <w:sz w:val="17"/>
              </w:rPr>
              <w:t>Prediction clipping</w:t>
            </w:r>
          </w:p>
        </w:tc>
        <w:tc>
          <w:tcPr>
            <w:tcW w:type="dxa" w:w="8352"/>
            <w:vAlign w:val="top"/>
          </w:tcPr>
          <w:p>
            <w:r/>
            <w:r>
              <w:rPr>
                <w:b w:val="0"/>
                <w:sz w:val="17"/>
              </w:rPr>
              <w:t>Clip log-variance prediction using only the training target distribution: 0.5th percentile minus 0.25, 99.5th percentile plus 0.75.</w:t>
            </w:r>
          </w:p>
        </w:tc>
      </w:tr>
      <w:tr>
        <w:tc>
          <w:tcPr>
            <w:tcW w:type="dxa" w:w="2880"/>
            <w:vAlign w:val="top"/>
          </w:tcPr>
          <w:p>
            <w:r/>
            <w:r>
              <w:rPr>
                <w:b w:val="0"/>
                <w:sz w:val="17"/>
              </w:rPr>
              <w:t>Forecast vol</w:t>
            </w:r>
          </w:p>
        </w:tc>
        <w:tc>
          <w:tcPr>
            <w:tcW w:type="dxa" w:w="8352"/>
            <w:vAlign w:val="top"/>
          </w:tcPr>
          <w:p>
            <w:r/>
            <w:r>
              <w:rPr>
                <w:b w:val="0"/>
                <w:sz w:val="17"/>
              </w:rPr>
              <w:t>forecast_vol = sqrt(forecast_variance) * 100.</w:t>
            </w:r>
          </w:p>
        </w:tc>
      </w:tr>
    </w:tbl>
    <w:p/>
    <w:p>
      <w:r>
        <w:rPr>
          <w:b/>
        </w:rPr>
        <w:t xml:space="preserve">Why log variance? </w:t>
      </w:r>
      <w:r>
        <w:t>Realized variance is positive and highly skewed. Modeling log variance stabilizes the target, prevents negative predictions after exponentiation, and makes multiplicative forecast errors more natural. This is also consistent with the VRP signal, which uses a log ratio of implied variance to forecast variance.</w:t>
      </w:r>
    </w:p>
    <w:p>
      <w:r>
        <w:rPr>
          <w:b/>
        </w:rPr>
        <w:t xml:space="preserve">Why Ridge? </w:t>
      </w:r>
      <w:r>
        <w:t>Ridge regularization shrinks coefficients and gives a stable pooled term-structure forecast. That stability matters because this forecast sits in the denominator of every VRP log calculation. An unstable denominator would create noisy signals and false richness/cheapness readings.</w:t>
      </w:r>
    </w:p>
    <w:p>
      <w:r>
        <w:rPr>
          <w:b/>
        </w:rPr>
        <w:t xml:space="preserve">Why prediction clipping? </w:t>
      </w:r>
      <w:r>
        <w:t>The clipping is a guardrail against pathological near-zero or extreme volatility forecasts. The clipping bounds are estimated only from the training target distribution for each split, so the test period is not used to set the bounds.</w:t>
      </w:r>
    </w:p>
    <w:p>
      <w:r>
        <w:br w:type="page"/>
      </w:r>
    </w:p>
    <w:p>
      <w:pPr>
        <w:pStyle w:val="Heading1"/>
      </w:pPr>
      <w:r>
        <w:t>7. Out-of-sample forecast and VRP signal panel</w:t>
      </w:r>
    </w:p>
    <w:p>
      <w:r>
        <w:rPr>
          <w:b/>
        </w:rPr>
        <w:t xml:space="preserve">After Cell 6B creates walk-forward predictions, the workflow builds a true OOS signal panel. </w:t>
      </w:r>
      <w:r>
        <w:t>This is the panel used for historical model selection and the Core parameter sweeps.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4320"/>
            <w:shd w:fill="1F4E79"/>
            <w:vAlign w:val="center"/>
          </w:tcPr>
          <w:p>
            <w:r>
              <w:rPr>
                <w:color w:val="FFFFFF"/>
              </w:rPr>
            </w:r>
            <w:r>
              <w:rPr>
                <w:b/>
                <w:color w:val="FFFFFF"/>
                <w:sz w:val="17"/>
              </w:rPr>
              <w:t>Output field</w:t>
            </w:r>
          </w:p>
        </w:tc>
        <w:tc>
          <w:tcPr>
            <w:tcW w:type="dxa" w:w="6912"/>
            <w:shd w:fill="1F4E79"/>
            <w:vAlign w:val="center"/>
          </w:tcPr>
          <w:p>
            <w:r>
              <w:rPr>
                <w:color w:val="FFFFFF"/>
              </w:rPr>
            </w:r>
            <w:r>
              <w:rPr>
                <w:b/>
                <w:color w:val="FFFFFF"/>
                <w:sz w:val="17"/>
              </w:rPr>
              <w:t>Meaning</w:t>
            </w:r>
          </w:p>
        </w:tc>
      </w:tr>
      <w:tr>
        <w:tc>
          <w:tcPr>
            <w:tcW w:type="dxa" w:w="4320"/>
            <w:vAlign w:val="top"/>
          </w:tcPr>
          <w:p>
            <w:r/>
            <w:r>
              <w:rPr>
                <w:b w:val="0"/>
                <w:sz w:val="17"/>
              </w:rPr>
              <w:t>forecast_variance_har_total_oos</w:t>
            </w:r>
          </w:p>
        </w:tc>
        <w:tc>
          <w:tcPr>
            <w:tcW w:type="dxa" w:w="6912"/>
            <w:vAlign w:val="top"/>
          </w:tcPr>
          <w:p>
            <w:r/>
            <w:r>
              <w:rPr>
                <w:b w:val="0"/>
                <w:sz w:val="17"/>
              </w:rPr>
              <w:t>OOS har_total_simple forecast variance for the date x tenor row.</w:t>
            </w:r>
          </w:p>
        </w:tc>
      </w:tr>
      <w:tr>
        <w:tc>
          <w:tcPr>
            <w:tcW w:type="dxa" w:w="4320"/>
            <w:vAlign w:val="top"/>
          </w:tcPr>
          <w:p>
            <w:r/>
            <w:r>
              <w:rPr>
                <w:b w:val="0"/>
                <w:sz w:val="17"/>
              </w:rPr>
              <w:t>forecast_vol_har_total_oos</w:t>
            </w:r>
          </w:p>
        </w:tc>
        <w:tc>
          <w:tcPr>
            <w:tcW w:type="dxa" w:w="6912"/>
            <w:vAlign w:val="top"/>
          </w:tcPr>
          <w:p>
            <w:r/>
            <w:r>
              <w:rPr>
                <w:b w:val="0"/>
                <w:sz w:val="17"/>
              </w:rPr>
              <w:t>OOS forecast vol = sqrt(forecast variance) * 100.</w:t>
            </w:r>
          </w:p>
        </w:tc>
      </w:tr>
      <w:tr>
        <w:tc>
          <w:tcPr>
            <w:tcW w:type="dxa" w:w="4320"/>
            <w:vAlign w:val="top"/>
          </w:tcPr>
          <w:p>
            <w:r/>
            <w:r>
              <w:rPr>
                <w:b w:val="0"/>
                <w:sz w:val="17"/>
              </w:rPr>
              <w:t>vrp_log_har_total_oos</w:t>
            </w:r>
          </w:p>
        </w:tc>
        <w:tc>
          <w:tcPr>
            <w:tcW w:type="dxa" w:w="6912"/>
            <w:vAlign w:val="top"/>
          </w:tcPr>
          <w:p>
            <w:r/>
            <w:r>
              <w:rPr>
                <w:b w:val="0"/>
                <w:sz w:val="17"/>
              </w:rPr>
              <w:t>log(implied_variance / forecast_variance_har_total_oos).</w:t>
            </w:r>
          </w:p>
        </w:tc>
      </w:tr>
      <w:tr>
        <w:tc>
          <w:tcPr>
            <w:tcW w:type="dxa" w:w="4320"/>
            <w:vAlign w:val="top"/>
          </w:tcPr>
          <w:p>
            <w:r/>
            <w:r>
              <w:rPr>
                <w:b w:val="0"/>
                <w:sz w:val="17"/>
              </w:rPr>
              <w:t>vrp_z_3m_har_total_oos_window</w:t>
            </w:r>
          </w:p>
        </w:tc>
        <w:tc>
          <w:tcPr>
            <w:tcW w:type="dxa" w:w="6912"/>
            <w:vAlign w:val="top"/>
          </w:tcPr>
          <w:p>
            <w:r/>
            <w:r>
              <w:rPr>
                <w:b w:val="0"/>
                <w:sz w:val="17"/>
              </w:rPr>
              <w:t>Rolling 3-month z-score of VRP log by tenor. Window: 63 rows; minimum: 30.</w:t>
            </w:r>
          </w:p>
        </w:tc>
      </w:tr>
      <w:tr>
        <w:tc>
          <w:tcPr>
            <w:tcW w:type="dxa" w:w="4320"/>
            <w:vAlign w:val="top"/>
          </w:tcPr>
          <w:p>
            <w:r/>
            <w:r>
              <w:rPr>
                <w:b w:val="0"/>
                <w:sz w:val="17"/>
              </w:rPr>
              <w:t>vrp_z_1y_har_total_oos_window</w:t>
            </w:r>
          </w:p>
        </w:tc>
        <w:tc>
          <w:tcPr>
            <w:tcW w:type="dxa" w:w="6912"/>
            <w:vAlign w:val="top"/>
          </w:tcPr>
          <w:p>
            <w:r/>
            <w:r>
              <w:rPr>
                <w:b w:val="0"/>
                <w:sz w:val="17"/>
              </w:rPr>
              <w:t>Rolling 1-year z-score of VRP log by tenor. Window: 252 rows; minimum: 126.</w:t>
            </w:r>
          </w:p>
        </w:tc>
      </w:tr>
    </w:tbl>
    <w:p/>
    <w:p>
      <w:pPr>
        <w:pStyle w:val="CodeBlock"/>
      </w:pPr>
      <w:r>
        <w:rPr>
          <w:rFonts w:ascii="Courier New" w:hAnsi="Courier New"/>
          <w:sz w:val="17"/>
        </w:rPr>
        <w:t>For each tenor separately:</w:t>
        <w:br/>
        <w:br/>
        <w:t>VRP_z_3m = (VRP_log_today - rolling_mean_63) / rolling_std_63</w:t>
        <w:br/>
        <w:t>VRP_z_1y = (VRP_log_today - rolling_mean_252) / rolling_std_252</w:t>
      </w:r>
    </w:p>
    <w:p>
      <w:r>
        <w:rPr>
          <w:b/>
        </w:rPr>
        <w:t xml:space="preserve">The z-scores are computed on the VRP log series after the OOS forecast has been created. </w:t>
      </w:r>
      <w:r>
        <w:t>They are not model inputs. They are relative-value filters applied after the forecast denominator is known.</w:t>
      </w:r>
    </w:p>
    <w:p>
      <w:pPr>
        <w:pStyle w:val="Heading1"/>
      </w:pPr>
      <w:r>
        <w:t>8. How the model is being used in Core research</w:t>
      </w:r>
    </w:p>
    <w:p>
      <w:r>
        <w:rPr>
          <w:b/>
        </w:rPr>
        <w:t xml:space="preserve">The current Core research uses har_total_simple as the denominator and then tests Core thresholds across buckets. </w:t>
      </w:r>
      <w:r>
        <w:t>The major threshold families are VRP log, 3m VRP z-score, 1y VRP z-score, RSI cap, and RV21D floor. The selected DTE is chosen from eligible tenors after filters pass.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2880"/>
            <w:shd w:fill="1F4E79"/>
            <w:vAlign w:val="center"/>
          </w:tcPr>
          <w:p>
            <w:r>
              <w:rPr>
                <w:color w:val="FFFFFF"/>
              </w:rPr>
            </w:r>
            <w:r>
              <w:rPr>
                <w:b/>
                <w:color w:val="FFFFFF"/>
                <w:sz w:val="17"/>
              </w:rPr>
              <w:t>Filter</w:t>
            </w:r>
          </w:p>
        </w:tc>
        <w:tc>
          <w:tcPr>
            <w:tcW w:type="dxa" w:w="8352"/>
            <w:shd w:fill="1F4E79"/>
            <w:vAlign w:val="center"/>
          </w:tcPr>
          <w:p>
            <w:r>
              <w:rPr>
                <w:color w:val="FFFFFF"/>
              </w:rPr>
            </w:r>
            <w:r>
              <w:rPr>
                <w:b/>
                <w:color w:val="FFFFFF"/>
                <w:sz w:val="17"/>
              </w:rPr>
              <w:t>Interpretation</w:t>
            </w:r>
          </w:p>
        </w:tc>
      </w:tr>
      <w:tr>
        <w:tc>
          <w:tcPr>
            <w:tcW w:type="dxa" w:w="2880"/>
            <w:vAlign w:val="top"/>
          </w:tcPr>
          <w:p>
            <w:r/>
            <w:r>
              <w:rPr>
                <w:b w:val="0"/>
                <w:sz w:val="17"/>
              </w:rPr>
              <w:t>VRP log threshold</w:t>
            </w:r>
          </w:p>
        </w:tc>
        <w:tc>
          <w:tcPr>
            <w:tcW w:type="dxa" w:w="8352"/>
            <w:vAlign w:val="top"/>
          </w:tcPr>
          <w:p>
            <w:r/>
            <w:r>
              <w:rPr>
                <w:b w:val="0"/>
                <w:sz w:val="17"/>
              </w:rPr>
              <w:t>Requires implied variance to be sufficiently rich versus forecast variance.</w:t>
            </w:r>
          </w:p>
        </w:tc>
      </w:tr>
      <w:tr>
        <w:tc>
          <w:tcPr>
            <w:tcW w:type="dxa" w:w="2880"/>
            <w:vAlign w:val="top"/>
          </w:tcPr>
          <w:p>
            <w:r/>
            <w:r>
              <w:rPr>
                <w:b w:val="0"/>
                <w:sz w:val="17"/>
              </w:rPr>
              <w:t>3m VRP z-score threshold</w:t>
            </w:r>
          </w:p>
        </w:tc>
        <w:tc>
          <w:tcPr>
            <w:tcW w:type="dxa" w:w="8352"/>
            <w:vAlign w:val="top"/>
          </w:tcPr>
          <w:p>
            <w:r/>
            <w:r>
              <w:rPr>
                <w:b w:val="0"/>
                <w:sz w:val="17"/>
              </w:rPr>
              <w:t>Requires richness versus recent 3-month history for that tenor.</w:t>
            </w:r>
          </w:p>
        </w:tc>
      </w:tr>
      <w:tr>
        <w:tc>
          <w:tcPr>
            <w:tcW w:type="dxa" w:w="2880"/>
            <w:vAlign w:val="top"/>
          </w:tcPr>
          <w:p>
            <w:r/>
            <w:r>
              <w:rPr>
                <w:b w:val="0"/>
                <w:sz w:val="17"/>
              </w:rPr>
              <w:t>1y VRP z-score threshold</w:t>
            </w:r>
          </w:p>
        </w:tc>
        <w:tc>
          <w:tcPr>
            <w:tcW w:type="dxa" w:w="8352"/>
            <w:vAlign w:val="top"/>
          </w:tcPr>
          <w:p>
            <w:r/>
            <w:r>
              <w:rPr>
                <w:b w:val="0"/>
                <w:sz w:val="17"/>
              </w:rPr>
              <w:t>Requires richness versus longer 1-year history for that tenor.</w:t>
            </w:r>
          </w:p>
        </w:tc>
      </w:tr>
      <w:tr>
        <w:tc>
          <w:tcPr>
            <w:tcW w:type="dxa" w:w="2880"/>
            <w:vAlign w:val="top"/>
          </w:tcPr>
          <w:p>
            <w:r/>
            <w:r>
              <w:rPr>
                <w:b w:val="0"/>
                <w:sz w:val="17"/>
              </w:rPr>
              <w:t>RSI cap</w:t>
            </w:r>
          </w:p>
        </w:tc>
        <w:tc>
          <w:tcPr>
            <w:tcW w:type="dxa" w:w="8352"/>
            <w:vAlign w:val="top"/>
          </w:tcPr>
          <w:p>
            <w:r/>
            <w:r>
              <w:rPr>
                <w:b w:val="0"/>
                <w:sz w:val="17"/>
              </w:rPr>
              <w:t>Avoids entering short-put structures when price momentum is too stretched/high.</w:t>
            </w:r>
          </w:p>
        </w:tc>
      </w:tr>
      <w:tr>
        <w:tc>
          <w:tcPr>
            <w:tcW w:type="dxa" w:w="2880"/>
            <w:vAlign w:val="top"/>
          </w:tcPr>
          <w:p>
            <w:r/>
            <w:r>
              <w:rPr>
                <w:b w:val="0"/>
                <w:sz w:val="17"/>
              </w:rPr>
              <w:t>RV21D floor</w:t>
            </w:r>
          </w:p>
        </w:tc>
        <w:tc>
          <w:tcPr>
            <w:tcW w:type="dxa" w:w="8352"/>
            <w:vAlign w:val="top"/>
          </w:tcPr>
          <w:p>
            <w:r/>
            <w:r>
              <w:rPr>
                <w:b w:val="0"/>
                <w:sz w:val="17"/>
              </w:rPr>
              <w:t>Avoids low-realized-vol states where premium may be deceptively low or risk/reward poor.</w:t>
            </w:r>
          </w:p>
        </w:tc>
      </w:tr>
    </w:tbl>
    <w:p/>
    <w:p>
      <w:r>
        <w:rPr>
          <w:b/>
        </w:rPr>
        <w:t xml:space="preserve">Current Core findings: </w:t>
      </w:r>
      <w:r>
        <w:t>ordinary bucket-level threshold tuning has improved Core win rate into the low 80s but has not produced an 85%+ Core winner. The best higher-frequency candidate is around 82% win rate with roughly 20% trade frequency, while higher-quality candidates get closer to 83% but with lower frequency.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rPr>
          <w:tblHeader w:val="true"/>
        </w:trPr>
        <w:tc>
          <w:tcPr>
            <w:tcW w:type="dxa" w:w="2448"/>
            <w:shd w:fill="1F4E79"/>
            <w:vAlign w:val="center"/>
          </w:tcPr>
          <w:p>
            <w:r>
              <w:rPr>
                <w:color w:val="FFFFFF"/>
              </w:rPr>
            </w:r>
            <w:r>
              <w:rPr>
                <w:b/>
                <w:color w:val="FFFFFF"/>
                <w:sz w:val="15"/>
              </w:rPr>
              <w:t>Candidate type</w:t>
            </w:r>
          </w:p>
        </w:tc>
        <w:tc>
          <w:tcPr>
            <w:tcW w:type="dxa" w:w="4752"/>
            <w:shd w:fill="1F4E79"/>
            <w:vAlign w:val="center"/>
          </w:tcPr>
          <w:p>
            <w:r>
              <w:rPr>
                <w:color w:val="FFFFFF"/>
              </w:rPr>
            </w:r>
            <w:r>
              <w:rPr>
                <w:b/>
                <w:color w:val="FFFFFF"/>
                <w:sz w:val="15"/>
              </w:rPr>
              <w:t>Representative parameters</w:t>
            </w:r>
          </w:p>
        </w:tc>
        <w:tc>
          <w:tcPr>
            <w:tcW w:type="dxa" w:w="4032"/>
            <w:shd w:fill="1F4E79"/>
            <w:vAlign w:val="center"/>
          </w:tcPr>
          <w:p>
            <w:r>
              <w:rPr>
                <w:color w:val="FFFFFF"/>
              </w:rPr>
            </w:r>
            <w:r>
              <w:rPr>
                <w:b/>
                <w:color w:val="FFFFFF"/>
                <w:sz w:val="15"/>
              </w:rPr>
              <w:t>Approximate result / interpretation</w:t>
            </w:r>
          </w:p>
        </w:tc>
      </w:tr>
      <w:tr>
        <w:tc>
          <w:tcPr>
            <w:tcW w:type="dxa" w:w="2448"/>
            <w:vAlign w:val="top"/>
          </w:tcPr>
          <w:p>
            <w:r/>
            <w:r>
              <w:rPr>
                <w:b w:val="0"/>
                <w:sz w:val="15"/>
              </w:rPr>
              <w:t>Higher-frequency Core mode</w:t>
            </w:r>
          </w:p>
        </w:tc>
        <w:tc>
          <w:tcPr>
            <w:tcW w:type="dxa" w:w="4752"/>
            <w:vAlign w:val="top"/>
          </w:tcPr>
          <w:p>
            <w:r/>
            <w:r>
              <w:rPr>
                <w:b w:val="0"/>
                <w:sz w:val="15"/>
              </w:rPr>
              <w:t>VRP 0.60 / 0.70 / 0.70; z around 0.60-0.70 front / 0.75 middle / 0.75 back; RSI 70 / 68 / 65; RV21D 8.0 / 8.5 / 8.5</w:t>
            </w:r>
          </w:p>
        </w:tc>
        <w:tc>
          <w:tcPr>
            <w:tcW w:type="dxa" w:w="4032"/>
            <w:vAlign w:val="top"/>
          </w:tcPr>
          <w:p>
            <w:r/>
            <w:r>
              <w:rPr>
                <w:b w:val="0"/>
                <w:sz w:val="15"/>
              </w:rPr>
              <w:t>Around 82% win rate with roughly 19.5%-20.0% frequency. This is the current practical working mode.</w:t>
            </w:r>
          </w:p>
        </w:tc>
      </w:tr>
      <w:tr>
        <w:tc>
          <w:tcPr>
            <w:tcW w:type="dxa" w:w="2448"/>
            <w:vAlign w:val="top"/>
          </w:tcPr>
          <w:p>
            <w:r/>
            <w:r>
              <w:rPr>
                <w:b w:val="0"/>
                <w:sz w:val="15"/>
              </w:rPr>
              <w:t>Higher-quality Core mode</w:t>
            </w:r>
          </w:p>
        </w:tc>
        <w:tc>
          <w:tcPr>
            <w:tcW w:type="dxa" w:w="4752"/>
            <w:vAlign w:val="top"/>
          </w:tcPr>
          <w:p>
            <w:r/>
            <w:r>
              <w:rPr>
                <w:b w:val="0"/>
                <w:sz w:val="15"/>
              </w:rPr>
              <w:t>VRP 0.70 / 0.70 / 0.70; tied z 0.70 / 0.75 / 0.75; RSI 70 / 68 / 65; RV21D 8.5 / 8.5 / 8.5</w:t>
            </w:r>
          </w:p>
        </w:tc>
        <w:tc>
          <w:tcPr>
            <w:tcW w:type="dxa" w:w="4032"/>
            <w:vAlign w:val="top"/>
          </w:tcPr>
          <w:p>
            <w:r/>
            <w:r>
              <w:rPr>
                <w:b w:val="0"/>
                <w:sz w:val="15"/>
              </w:rPr>
              <w:t>Around 82.9% win rate with lower frequency. Best quality result so far but still below 85%.</w:t>
            </w:r>
          </w:p>
        </w:tc>
      </w:tr>
      <w:tr>
        <w:tc>
          <w:tcPr>
            <w:tcW w:type="dxa" w:w="2448"/>
            <w:vAlign w:val="top"/>
          </w:tcPr>
          <w:p>
            <w:r/>
            <w:r>
              <w:rPr>
                <w:b w:val="0"/>
                <w:sz w:val="15"/>
              </w:rPr>
              <w:t>Untied z-score test</w:t>
            </w:r>
          </w:p>
        </w:tc>
        <w:tc>
          <w:tcPr>
            <w:tcW w:type="dxa" w:w="4752"/>
            <w:vAlign w:val="top"/>
          </w:tcPr>
          <w:p>
            <w:r/>
            <w:r>
              <w:rPr>
                <w:b w:val="0"/>
                <w:sz w:val="15"/>
              </w:rPr>
              <w:t>3m and 1y z tested independently with strict highest-win-probability selection</w:t>
            </w:r>
          </w:p>
        </w:tc>
        <w:tc>
          <w:tcPr>
            <w:tcW w:type="dxa" w:w="4032"/>
            <w:vAlign w:val="top"/>
          </w:tcPr>
          <w:p>
            <w:r/>
            <w:r>
              <w:rPr>
                <w:b w:val="0"/>
                <w:sz w:val="15"/>
              </w:rPr>
              <w:t>Did not improve the 85% target; no 83%+ winners in the tested Phase 3 grid.</w:t>
            </w:r>
          </w:p>
        </w:tc>
      </w:tr>
    </w:tbl>
    <w:p/>
    <w:p>
      <w:r>
        <w:rPr>
          <w:b/>
        </w:rPr>
        <w:t xml:space="preserve">Practical implication: </w:t>
      </w:r>
      <w:r>
        <w:t>the next Core improvement likely requires a structural treatment of front DTEs rather than further ordinary threshold tweaking. 9D and 12D have repeatedly looked weaker than 15D/middle/back. A test that excludes 9D, or excludes both 9D and 12D, should be treated as a structural Core-design test, not a forecast-model change.</w:t>
      </w:r>
    </w:p>
    <w:p>
      <w:pPr>
        <w:pStyle w:val="Heading1"/>
      </w:pPr>
      <w:r>
        <w:t>9. Strengths and weaknesses of har_total_simple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3024"/>
            <w:shd w:fill="1F4E79"/>
            <w:vAlign w:val="center"/>
          </w:tcPr>
          <w:p>
            <w:r>
              <w:rPr>
                <w:color w:val="FFFFFF"/>
              </w:rPr>
            </w:r>
            <w:r>
              <w:rPr>
                <w:b/>
                <w:color w:val="FFFFFF"/>
                <w:sz w:val="17"/>
              </w:rPr>
              <w:t>Strength</w:t>
            </w:r>
          </w:p>
        </w:tc>
        <w:tc>
          <w:tcPr>
            <w:tcW w:type="dxa" w:w="8208"/>
            <w:shd w:fill="1F4E79"/>
            <w:vAlign w:val="center"/>
          </w:tcPr>
          <w:p>
            <w:r>
              <w:rPr>
                <w:color w:val="FFFFFF"/>
              </w:rPr>
            </w:r>
            <w:r>
              <w:rPr>
                <w:b/>
                <w:color w:val="FFFFFF"/>
                <w:sz w:val="17"/>
              </w:rPr>
              <w:t>Why it matters</w:t>
            </w:r>
          </w:p>
        </w:tc>
      </w:tr>
      <w:tr>
        <w:tc>
          <w:tcPr>
            <w:tcW w:type="dxa" w:w="3024"/>
            <w:vAlign w:val="top"/>
          </w:tcPr>
          <w:p>
            <w:r/>
            <w:r>
              <w:rPr>
                <w:b w:val="0"/>
                <w:sz w:val="17"/>
              </w:rPr>
              <w:t>Auditable</w:t>
            </w:r>
          </w:p>
        </w:tc>
        <w:tc>
          <w:tcPr>
            <w:tcW w:type="dxa" w:w="8208"/>
            <w:vAlign w:val="top"/>
          </w:tcPr>
          <w:p>
            <w:r/>
            <w:r>
              <w:rPr>
                <w:b w:val="0"/>
                <w:sz w:val="17"/>
              </w:rPr>
              <w:t>Every input is traceable to realized variance history and tenor features.</w:t>
            </w:r>
          </w:p>
        </w:tc>
      </w:tr>
      <w:tr>
        <w:tc>
          <w:tcPr>
            <w:tcW w:type="dxa" w:w="3024"/>
            <w:vAlign w:val="top"/>
          </w:tcPr>
          <w:p>
            <w:r/>
            <w:r>
              <w:rPr>
                <w:b w:val="0"/>
                <w:sz w:val="17"/>
              </w:rPr>
              <w:t>Walk-forward</w:t>
            </w:r>
          </w:p>
        </w:tc>
        <w:tc>
          <w:tcPr>
            <w:tcW w:type="dxa" w:w="8208"/>
            <w:vAlign w:val="top"/>
          </w:tcPr>
          <w:p>
            <w:r/>
            <w:r>
              <w:rPr>
                <w:b w:val="0"/>
                <w:sz w:val="17"/>
              </w:rPr>
              <w:t>Historical signals use OOS predictions rather than final-model in-sample forecasts.</w:t>
            </w:r>
          </w:p>
        </w:tc>
      </w:tr>
      <w:tr>
        <w:tc>
          <w:tcPr>
            <w:tcW w:type="dxa" w:w="3024"/>
            <w:vAlign w:val="top"/>
          </w:tcPr>
          <w:p>
            <w:r/>
            <w:r>
              <w:rPr>
                <w:b w:val="0"/>
                <w:sz w:val="17"/>
              </w:rPr>
              <w:t>No implied variance contamination</w:t>
            </w:r>
          </w:p>
        </w:tc>
        <w:tc>
          <w:tcPr>
            <w:tcW w:type="dxa" w:w="8208"/>
            <w:vAlign w:val="top"/>
          </w:tcPr>
          <w:p>
            <w:r/>
            <w:r>
              <w:rPr>
                <w:b w:val="0"/>
                <w:sz w:val="17"/>
              </w:rPr>
              <w:t>VRP remains a clean comparison of implied variance versus realized-variance forecast.</w:t>
            </w:r>
          </w:p>
        </w:tc>
      </w:tr>
      <w:tr>
        <w:tc>
          <w:tcPr>
            <w:tcW w:type="dxa" w:w="3024"/>
            <w:vAlign w:val="top"/>
          </w:tcPr>
          <w:p>
            <w:r/>
            <w:r>
              <w:rPr>
                <w:b w:val="0"/>
                <w:sz w:val="17"/>
              </w:rPr>
              <w:t>No trade-outcome contamination</w:t>
            </w:r>
          </w:p>
        </w:tc>
        <w:tc>
          <w:tcPr>
            <w:tcW w:type="dxa" w:w="8208"/>
            <w:vAlign w:val="top"/>
          </w:tcPr>
          <w:p>
            <w:r/>
            <w:r>
              <w:rPr>
                <w:b w:val="0"/>
                <w:sz w:val="17"/>
              </w:rPr>
              <w:t>The denominator is not fitted to win rate or P&amp;L.</w:t>
            </w:r>
          </w:p>
        </w:tc>
      </w:tr>
      <w:tr>
        <w:tc>
          <w:tcPr>
            <w:tcW w:type="dxa" w:w="3024"/>
            <w:vAlign w:val="top"/>
          </w:tcPr>
          <w:p>
            <w:r/>
            <w:r>
              <w:rPr>
                <w:b w:val="0"/>
                <w:sz w:val="17"/>
              </w:rPr>
              <w:t>Tenor-aware</w:t>
            </w:r>
          </w:p>
        </w:tc>
        <w:tc>
          <w:tcPr>
            <w:tcW w:type="dxa" w:w="8208"/>
            <w:vAlign w:val="top"/>
          </w:tcPr>
          <w:p>
            <w:r/>
            <w:r>
              <w:rPr>
                <w:b w:val="0"/>
                <w:sz w:val="17"/>
              </w:rPr>
              <w:t>The model can forecast different horizons across the 9D-33D term structure.</w:t>
            </w:r>
          </w:p>
        </w:tc>
      </w:tr>
      <w:tr>
        <w:tc>
          <w:tcPr>
            <w:tcW w:type="dxa" w:w="3024"/>
            <w:vAlign w:val="top"/>
          </w:tcPr>
          <w:p>
            <w:r/>
            <w:r>
              <w:rPr>
                <w:b w:val="0"/>
                <w:sz w:val="17"/>
              </w:rPr>
              <w:t>Stable</w:t>
            </w:r>
          </w:p>
        </w:tc>
        <w:tc>
          <w:tcPr>
            <w:tcW w:type="dxa" w:w="8208"/>
            <w:vAlign w:val="top"/>
          </w:tcPr>
          <w:p>
            <w:r/>
            <w:r>
              <w:rPr>
                <w:b w:val="0"/>
                <w:sz w:val="17"/>
              </w:rPr>
              <w:t>Ridge plus a small feature set reduces denominator noise.</w:t>
            </w:r>
          </w:p>
        </w:tc>
      </w:tr>
    </w:tbl>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3024"/>
            <w:shd w:fill="1F4E79"/>
            <w:vAlign w:val="center"/>
          </w:tcPr>
          <w:p>
            <w:r>
              <w:rPr>
                <w:color w:val="FFFFFF"/>
              </w:rPr>
            </w:r>
            <w:r>
              <w:rPr>
                <w:b/>
                <w:color w:val="FFFFFF"/>
                <w:sz w:val="17"/>
              </w:rPr>
              <w:t>Weakness</w:t>
            </w:r>
          </w:p>
        </w:tc>
        <w:tc>
          <w:tcPr>
            <w:tcW w:type="dxa" w:w="8208"/>
            <w:shd w:fill="1F4E79"/>
            <w:vAlign w:val="center"/>
          </w:tcPr>
          <w:p>
            <w:r>
              <w:rPr>
                <w:color w:val="FFFFFF"/>
              </w:rPr>
            </w:r>
            <w:r>
              <w:rPr>
                <w:b/>
                <w:color w:val="FFFFFF"/>
                <w:sz w:val="17"/>
              </w:rPr>
              <w:t>How to interpret it</w:t>
            </w:r>
          </w:p>
        </w:tc>
      </w:tr>
      <w:tr>
        <w:tc>
          <w:tcPr>
            <w:tcW w:type="dxa" w:w="3024"/>
            <w:vAlign w:val="top"/>
          </w:tcPr>
          <w:p>
            <w:r/>
            <w:r>
              <w:rPr>
                <w:b w:val="0"/>
                <w:sz w:val="17"/>
              </w:rPr>
              <w:t>Persistence-heavy</w:t>
            </w:r>
          </w:p>
        </w:tc>
        <w:tc>
          <w:tcPr>
            <w:tcW w:type="dxa" w:w="8208"/>
            <w:vAlign w:val="top"/>
          </w:tcPr>
          <w:p>
            <w:r/>
            <w:r>
              <w:rPr>
                <w:b w:val="0"/>
                <w:sz w:val="17"/>
              </w:rPr>
              <w:t>Most of the information comes from recent realized variance; sudden volatility jumps will still be missed.</w:t>
            </w:r>
          </w:p>
        </w:tc>
      </w:tr>
      <w:tr>
        <w:tc>
          <w:tcPr>
            <w:tcW w:type="dxa" w:w="3024"/>
            <w:vAlign w:val="top"/>
          </w:tcPr>
          <w:p>
            <w:r/>
            <w:r>
              <w:rPr>
                <w:b w:val="0"/>
                <w:sz w:val="17"/>
              </w:rPr>
              <w:t>Linear/log-linear structure</w:t>
            </w:r>
          </w:p>
        </w:tc>
        <w:tc>
          <w:tcPr>
            <w:tcW w:type="dxa" w:w="8208"/>
            <w:vAlign w:val="top"/>
          </w:tcPr>
          <w:p>
            <w:r/>
            <w:r>
              <w:rPr>
                <w:b w:val="0"/>
                <w:sz w:val="17"/>
              </w:rPr>
              <w:t>It cannot learn complex nonlinear regime transitions.</w:t>
            </w:r>
          </w:p>
        </w:tc>
      </w:tr>
      <w:tr>
        <w:tc>
          <w:tcPr>
            <w:tcW w:type="dxa" w:w="3024"/>
            <w:vAlign w:val="top"/>
          </w:tcPr>
          <w:p>
            <w:r/>
            <w:r>
              <w:rPr>
                <w:b w:val="0"/>
                <w:sz w:val="17"/>
              </w:rPr>
              <w:t>SPY realized proxy</w:t>
            </w:r>
          </w:p>
        </w:tc>
        <w:tc>
          <w:tcPr>
            <w:tcW w:type="dxa" w:w="8208"/>
            <w:vAlign w:val="top"/>
          </w:tcPr>
          <w:p>
            <w:r/>
            <w:r>
              <w:rPr>
                <w:b w:val="0"/>
                <w:sz w:val="17"/>
              </w:rPr>
              <w:t>SPY realized variance is used as a practical proxy for SPX realized variance.</w:t>
            </w:r>
          </w:p>
        </w:tc>
      </w:tr>
      <w:tr>
        <w:tc>
          <w:tcPr>
            <w:tcW w:type="dxa" w:w="3024"/>
            <w:vAlign w:val="top"/>
          </w:tcPr>
          <w:p>
            <w:r/>
            <w:r>
              <w:rPr>
                <w:b w:val="0"/>
                <w:sz w:val="17"/>
              </w:rPr>
              <w:t>Smooth denominator</w:t>
            </w:r>
          </w:p>
        </w:tc>
        <w:tc>
          <w:tcPr>
            <w:tcW w:type="dxa" w:w="8208"/>
            <w:vAlign w:val="top"/>
          </w:tcPr>
          <w:p>
            <w:r/>
            <w:r>
              <w:rPr>
                <w:b w:val="0"/>
                <w:sz w:val="17"/>
              </w:rPr>
              <w:t>The forecast may lag sharp regime changes; this is acceptable for a denominator but not a complete risk model.</w:t>
            </w:r>
          </w:p>
        </w:tc>
      </w:tr>
      <w:tr>
        <w:tc>
          <w:tcPr>
            <w:tcW w:type="dxa" w:w="3024"/>
            <w:vAlign w:val="top"/>
          </w:tcPr>
          <w:p>
            <w:r/>
            <w:r>
              <w:rPr>
                <w:b w:val="0"/>
                <w:sz w:val="17"/>
              </w:rPr>
              <w:t>No direct tail-risk awareness</w:t>
            </w:r>
          </w:p>
        </w:tc>
        <w:tc>
          <w:tcPr>
            <w:tcW w:type="dxa" w:w="8208"/>
            <w:vAlign w:val="top"/>
          </w:tcPr>
          <w:p>
            <w:r/>
            <w:r>
              <w:rPr>
                <w:b w:val="0"/>
                <w:sz w:val="17"/>
              </w:rPr>
              <w:t>It does not know about option payoff convexity or stress loss asymmetry. Sizing and stress testing still need to handle that.</w:t>
            </w:r>
          </w:p>
        </w:tc>
      </w:tr>
    </w:tbl>
    <w:p/>
    <w:p>
      <w:r>
        <w:br w:type="page"/>
      </w:r>
    </w:p>
    <w:p>
      <w:pPr>
        <w:pStyle w:val="Heading1"/>
      </w:pPr>
      <w:r>
        <w:t>10. Governance: what is locked and what is not</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3024"/>
            <w:shd w:fill="1F4E79"/>
            <w:vAlign w:val="center"/>
          </w:tcPr>
          <w:p>
            <w:r>
              <w:rPr>
                <w:color w:val="FFFFFF"/>
              </w:rPr>
            </w:r>
            <w:r>
              <w:rPr>
                <w:b/>
                <w:color w:val="FFFFFF"/>
                <w:sz w:val="17"/>
              </w:rPr>
              <w:t>Area</w:t>
            </w:r>
          </w:p>
        </w:tc>
        <w:tc>
          <w:tcPr>
            <w:tcW w:type="dxa" w:w="8208"/>
            <w:shd w:fill="1F4E79"/>
            <w:vAlign w:val="center"/>
          </w:tcPr>
          <w:p>
            <w:r>
              <w:rPr>
                <w:color w:val="FFFFFF"/>
              </w:rPr>
            </w:r>
            <w:r>
              <w:rPr>
                <w:b/>
                <w:color w:val="FFFFFF"/>
                <w:sz w:val="17"/>
              </w:rPr>
              <w:t>Status</w:t>
            </w:r>
          </w:p>
        </w:tc>
      </w:tr>
      <w:tr>
        <w:tc>
          <w:tcPr>
            <w:tcW w:type="dxa" w:w="3024"/>
            <w:vAlign w:val="top"/>
          </w:tcPr>
          <w:p>
            <w:r/>
            <w:r>
              <w:rPr>
                <w:b w:val="0"/>
                <w:sz w:val="17"/>
              </w:rPr>
              <w:t>Denominator model</w:t>
            </w:r>
          </w:p>
        </w:tc>
        <w:tc>
          <w:tcPr>
            <w:tcW w:type="dxa" w:w="8208"/>
            <w:vAlign w:val="top"/>
          </w:tcPr>
          <w:p>
            <w:r/>
            <w:r>
              <w:rPr>
                <w:b w:val="0"/>
                <w:sz w:val="17"/>
              </w:rPr>
              <w:t>Treat har_total_simple as locked for current Core threshold work.</w:t>
            </w:r>
          </w:p>
        </w:tc>
      </w:tr>
      <w:tr>
        <w:tc>
          <w:tcPr>
            <w:tcW w:type="dxa" w:w="3024"/>
            <w:vAlign w:val="top"/>
          </w:tcPr>
          <w:p>
            <w:r/>
            <w:r>
              <w:rPr>
                <w:b w:val="0"/>
                <w:sz w:val="17"/>
              </w:rPr>
              <w:t>Core threshold family</w:t>
            </w:r>
          </w:p>
        </w:tc>
        <w:tc>
          <w:tcPr>
            <w:tcW w:type="dxa" w:w="8208"/>
            <w:vAlign w:val="top"/>
          </w:tcPr>
          <w:p>
            <w:r/>
            <w:r>
              <w:rPr>
                <w:b w:val="0"/>
                <w:sz w:val="17"/>
              </w:rPr>
              <w:t>Still in research; higher-frequency mode is currently favored but not final.</w:t>
            </w:r>
          </w:p>
        </w:tc>
      </w:tr>
      <w:tr>
        <w:tc>
          <w:tcPr>
            <w:tcW w:type="dxa" w:w="3024"/>
            <w:vAlign w:val="top"/>
          </w:tcPr>
          <w:p>
            <w:r/>
            <w:r>
              <w:rPr>
                <w:b w:val="0"/>
                <w:sz w:val="17"/>
              </w:rPr>
              <w:t>3m vs 1y z-score treatment</w:t>
            </w:r>
          </w:p>
        </w:tc>
        <w:tc>
          <w:tcPr>
            <w:tcW w:type="dxa" w:w="8208"/>
            <w:vAlign w:val="top"/>
          </w:tcPr>
          <w:p>
            <w:r/>
            <w:r>
              <w:rPr>
                <w:b w:val="0"/>
                <w:sz w:val="17"/>
              </w:rPr>
              <w:t>Untied test did not materially improve results; tied z-score logic remains acceptable.</w:t>
            </w:r>
          </w:p>
        </w:tc>
      </w:tr>
      <w:tr>
        <w:tc>
          <w:tcPr>
            <w:tcW w:type="dxa" w:w="3024"/>
            <w:vAlign w:val="top"/>
          </w:tcPr>
          <w:p>
            <w:r/>
            <w:r>
              <w:rPr>
                <w:b w:val="0"/>
                <w:sz w:val="17"/>
              </w:rPr>
              <w:t>Front DTE treatment</w:t>
            </w:r>
          </w:p>
        </w:tc>
        <w:tc>
          <w:tcPr>
            <w:tcW w:type="dxa" w:w="8208"/>
            <w:vAlign w:val="top"/>
          </w:tcPr>
          <w:p>
            <w:r/>
            <w:r>
              <w:rPr>
                <w:b w:val="0"/>
                <w:sz w:val="17"/>
              </w:rPr>
              <w:t>Not locked. This is the next structural area to test.</w:t>
            </w:r>
          </w:p>
        </w:tc>
      </w:tr>
      <w:tr>
        <w:tc>
          <w:tcPr>
            <w:tcW w:type="dxa" w:w="3024"/>
            <w:vAlign w:val="top"/>
          </w:tcPr>
          <w:p>
            <w:r/>
            <w:r>
              <w:rPr>
                <w:b w:val="0"/>
                <w:sz w:val="17"/>
              </w:rPr>
              <w:t>Secondary layer</w:t>
            </w:r>
          </w:p>
        </w:tc>
        <w:tc>
          <w:tcPr>
            <w:tcW w:type="dxa" w:w="8208"/>
            <w:vAlign w:val="top"/>
          </w:tcPr>
          <w:p>
            <w:r/>
            <w:r>
              <w:rPr>
                <w:b w:val="0"/>
                <w:sz w:val="17"/>
              </w:rPr>
              <w:t>Not yet calibrated under the new Core; should wait until Core is stabilized.</w:t>
            </w:r>
          </w:p>
        </w:tc>
      </w:tr>
      <w:tr>
        <w:tc>
          <w:tcPr>
            <w:tcW w:type="dxa" w:w="3024"/>
            <w:vAlign w:val="top"/>
          </w:tcPr>
          <w:p>
            <w:r/>
            <w:r>
              <w:rPr>
                <w:b w:val="0"/>
                <w:sz w:val="17"/>
              </w:rPr>
              <w:t>Sizing / overlap / portfolio caps</w:t>
            </w:r>
          </w:p>
        </w:tc>
        <w:tc>
          <w:tcPr>
            <w:tcW w:type="dxa" w:w="8208"/>
            <w:vAlign w:val="top"/>
          </w:tcPr>
          <w:p>
            <w:r/>
            <w:r>
              <w:rPr>
                <w:b w:val="0"/>
                <w:sz w:val="17"/>
              </w:rPr>
              <w:t>Separate layer; do not mix into signal denominator calibration.</w:t>
            </w:r>
          </w:p>
        </w:tc>
      </w:tr>
    </w:tbl>
    <w:p/>
    <w:p>
      <w:r>
        <w:rPr>
          <w:b/>
        </w:rPr>
        <w:t xml:space="preserve">Do not change the denominator casually. </w:t>
      </w:r>
      <w:r>
        <w:t>Changing the denominator changes every VRP log, every rolling z-score, and every parameter result. Denominator changes should be treated as a new research branch, not as a small parameter tweak.</w:t>
      </w:r>
    </w:p>
    <w:p>
      <w:pPr>
        <w:pStyle w:val="Heading1"/>
      </w:pPr>
      <w:r>
        <w:t>11. Reference checklist for future reruns</w:t>
      </w:r>
    </w:p>
    <w:p>
      <w:pPr>
        <w:pStyle w:val="ListNumber"/>
        <w:spacing w:after="40"/>
      </w:pPr>
      <w:r>
        <w:t>Confirm SPY 5-minute and EOD realized-variance tables are current and model-ready.</w:t>
      </w:r>
    </w:p>
    <w:p>
      <w:pPr>
        <w:pStyle w:val="ListNumber"/>
        <w:spacing w:after="40"/>
      </w:pPr>
      <w:r>
        <w:t>Confirm daily RV has finite intraday, overnight, and total variance values, with session-quality flags retained.</w:t>
      </w:r>
    </w:p>
    <w:p>
      <w:pPr>
        <w:pStyle w:val="ListNumber"/>
        <w:spacing w:after="40"/>
      </w:pPr>
      <w:r>
        <w:t>Rebuild forward realized-variance targets for all tenors using the calendar-window convention.</w:t>
      </w:r>
    </w:p>
    <w:p>
      <w:pPr>
        <w:pStyle w:val="ListNumber"/>
        <w:spacing w:after="40"/>
      </w:pPr>
      <w:r>
        <w:t>Rebuild the model feature panel and confirm har_total_simple feature count and feature names.</w:t>
      </w:r>
    </w:p>
    <w:p>
      <w:pPr>
        <w:pStyle w:val="ListNumber"/>
        <w:spacing w:after="40"/>
      </w:pPr>
      <w:r>
        <w:t>Fit Cell 6B walk-forward predictions, not final in-sample predictions, for historical parameter research.</w:t>
      </w:r>
    </w:p>
    <w:p>
      <w:pPr>
        <w:pStyle w:val="ListNumber"/>
        <w:spacing w:after="40"/>
      </w:pPr>
      <w:r>
        <w:t>Build the OOS signal panel with har_total_simple forecast variance and recomputed rolling z-scores.</w:t>
      </w:r>
    </w:p>
    <w:p>
      <w:pPr>
        <w:pStyle w:val="ListNumber"/>
        <w:spacing w:after="40"/>
      </w:pPr>
      <w:r>
        <w:t>Use only OOS forecast columns in parameter sweeps.</w:t>
      </w:r>
    </w:p>
    <w:p>
      <w:pPr>
        <w:pStyle w:val="ListNumber"/>
        <w:spacing w:after="40"/>
      </w:pPr>
      <w:r>
        <w:t>Keep signal calibration separate from sizing, overlap caps, and stress-risk management.</w:t>
      </w:r>
    </w:p>
    <w:p>
      <w:pPr>
        <w:pStyle w:val="ListNumber"/>
        <w:spacing w:after="40"/>
      </w:pPr>
      <w:r>
        <w:t>Before changing the forecast model, first test whether the failure is actually due to weak tenor selection or front-DTE structure.</w:t>
      </w:r>
    </w:p>
    <w:p>
      <w:r>
        <w:br w:type="page"/>
      </w:r>
    </w:p>
    <w:p>
      <w:pPr>
        <w:pStyle w:val="Heading1"/>
      </w:pPr>
      <w:r>
        <w:t>12. Glossary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2880"/>
            <w:shd w:fill="1F4E79"/>
            <w:vAlign w:val="center"/>
          </w:tcPr>
          <w:p>
            <w:r>
              <w:rPr>
                <w:color w:val="FFFFFF"/>
              </w:rPr>
            </w:r>
            <w:r>
              <w:rPr>
                <w:b/>
                <w:color w:val="FFFFFF"/>
                <w:sz w:val="17"/>
              </w:rPr>
              <w:t>Term</w:t>
            </w:r>
          </w:p>
        </w:tc>
        <w:tc>
          <w:tcPr>
            <w:tcW w:type="dxa" w:w="8352"/>
            <w:shd w:fill="1F4E79"/>
            <w:vAlign w:val="center"/>
          </w:tcPr>
          <w:p>
            <w:r>
              <w:rPr>
                <w:color w:val="FFFFFF"/>
              </w:rPr>
            </w:r>
            <w:r>
              <w:rPr>
                <w:b/>
                <w:color w:val="FFFFFF"/>
                <w:sz w:val="17"/>
              </w:rPr>
              <w:t>Meaning</w:t>
            </w:r>
          </w:p>
        </w:tc>
      </w:tr>
      <w:tr>
        <w:tc>
          <w:tcPr>
            <w:tcW w:type="dxa" w:w="2880"/>
            <w:vAlign w:val="top"/>
          </w:tcPr>
          <w:p>
            <w:r/>
            <w:r>
              <w:rPr>
                <w:b w:val="0"/>
                <w:sz w:val="17"/>
              </w:rPr>
              <w:t>HAR</w:t>
            </w:r>
          </w:p>
        </w:tc>
        <w:tc>
          <w:tcPr>
            <w:tcW w:type="dxa" w:w="8352"/>
            <w:vAlign w:val="top"/>
          </w:tcPr>
          <w:p>
            <w:r/>
            <w:r>
              <w:rPr>
                <w:b w:val="0"/>
                <w:sz w:val="17"/>
              </w:rPr>
              <w:t>Heterogeneous autoregressive volatility framework: uses realized-volatility states over multiple horizons such as 1D, 5D, 21D, and 63D.</w:t>
            </w:r>
          </w:p>
        </w:tc>
      </w:tr>
      <w:tr>
        <w:tc>
          <w:tcPr>
            <w:tcW w:type="dxa" w:w="2880"/>
            <w:vAlign w:val="top"/>
          </w:tcPr>
          <w:p>
            <w:r/>
            <w:r>
              <w:rPr>
                <w:b w:val="0"/>
                <w:sz w:val="17"/>
              </w:rPr>
              <w:t>Corsi model</w:t>
            </w:r>
          </w:p>
        </w:tc>
        <w:tc>
          <w:tcPr>
            <w:tcW w:type="dxa" w:w="8352"/>
            <w:vAlign w:val="top"/>
          </w:tcPr>
          <w:p>
            <w:r/>
            <w:r>
              <w:rPr>
                <w:b w:val="0"/>
                <w:sz w:val="17"/>
              </w:rPr>
              <w:t>A common HAR-style realized-volatility forecasting framework associated with realized-volatility persistence across horizons.</w:t>
            </w:r>
          </w:p>
        </w:tc>
      </w:tr>
      <w:tr>
        <w:tc>
          <w:tcPr>
            <w:tcW w:type="dxa" w:w="2880"/>
            <w:vAlign w:val="top"/>
          </w:tcPr>
          <w:p>
            <w:r/>
            <w:r>
              <w:rPr>
                <w:b w:val="0"/>
                <w:sz w:val="17"/>
              </w:rPr>
              <w:t>Realized variance</w:t>
            </w:r>
          </w:p>
        </w:tc>
        <w:tc>
          <w:tcPr>
            <w:tcW w:type="dxa" w:w="8352"/>
            <w:vAlign w:val="top"/>
          </w:tcPr>
          <w:p>
            <w:r/>
            <w:r>
              <w:rPr>
                <w:b w:val="0"/>
                <w:sz w:val="17"/>
              </w:rPr>
              <w:t>Sum of squared returns over a period. Variance is additive across time windows, unlike volatility.</w:t>
            </w:r>
          </w:p>
        </w:tc>
      </w:tr>
      <w:tr>
        <w:tc>
          <w:tcPr>
            <w:tcW w:type="dxa" w:w="2880"/>
            <w:vAlign w:val="top"/>
          </w:tcPr>
          <w:p>
            <w:r/>
            <w:r>
              <w:rPr>
                <w:b w:val="0"/>
                <w:sz w:val="17"/>
              </w:rPr>
              <w:t>Forecast variance</w:t>
            </w:r>
          </w:p>
        </w:tc>
        <w:tc>
          <w:tcPr>
            <w:tcW w:type="dxa" w:w="8352"/>
            <w:vAlign w:val="top"/>
          </w:tcPr>
          <w:p>
            <w:r/>
            <w:r>
              <w:rPr>
                <w:b w:val="0"/>
                <w:sz w:val="17"/>
              </w:rPr>
              <w:t>Model estimate of future realized variance over a specified tenor.</w:t>
            </w:r>
          </w:p>
        </w:tc>
      </w:tr>
      <w:tr>
        <w:tc>
          <w:tcPr>
            <w:tcW w:type="dxa" w:w="2880"/>
            <w:vAlign w:val="top"/>
          </w:tcPr>
          <w:p>
            <w:r/>
            <w:r>
              <w:rPr>
                <w:b w:val="0"/>
                <w:sz w:val="17"/>
              </w:rPr>
              <w:t>Implied variance</w:t>
            </w:r>
          </w:p>
        </w:tc>
        <w:tc>
          <w:tcPr>
            <w:tcW w:type="dxa" w:w="8352"/>
            <w:vAlign w:val="top"/>
          </w:tcPr>
          <w:p>
            <w:r/>
            <w:r>
              <w:rPr>
                <w:b w:val="0"/>
                <w:sz w:val="17"/>
              </w:rPr>
              <w:t>Variance implied by the SPX/VIX-style option term structure for a given tenor.</w:t>
            </w:r>
          </w:p>
        </w:tc>
      </w:tr>
      <w:tr>
        <w:tc>
          <w:tcPr>
            <w:tcW w:type="dxa" w:w="2880"/>
            <w:vAlign w:val="top"/>
          </w:tcPr>
          <w:p>
            <w:r/>
            <w:r>
              <w:rPr>
                <w:b w:val="0"/>
                <w:sz w:val="17"/>
              </w:rPr>
              <w:t>VRP log</w:t>
            </w:r>
          </w:p>
        </w:tc>
        <w:tc>
          <w:tcPr>
            <w:tcW w:type="dxa" w:w="8352"/>
            <w:vAlign w:val="top"/>
          </w:tcPr>
          <w:p>
            <w:r/>
            <w:r>
              <w:rPr>
                <w:b w:val="0"/>
                <w:sz w:val="17"/>
              </w:rPr>
              <w:t>Log ratio of implied variance to forecast variance. Positive values mean implied variance is richer than the forecast.</w:t>
            </w:r>
          </w:p>
        </w:tc>
      </w:tr>
      <w:tr>
        <w:tc>
          <w:tcPr>
            <w:tcW w:type="dxa" w:w="2880"/>
            <w:vAlign w:val="top"/>
          </w:tcPr>
          <w:p>
            <w:r/>
            <w:r>
              <w:rPr>
                <w:b w:val="0"/>
                <w:sz w:val="17"/>
              </w:rPr>
              <w:t>OOS</w:t>
            </w:r>
          </w:p>
        </w:tc>
        <w:tc>
          <w:tcPr>
            <w:tcW w:type="dxa" w:w="8352"/>
            <w:vAlign w:val="top"/>
          </w:tcPr>
          <w:p>
            <w:r/>
            <w:r>
              <w:rPr>
                <w:b w:val="0"/>
                <w:sz w:val="17"/>
              </w:rPr>
              <w:t>Out-of-sample. Historical forecasts are generated from models trained only on data available before the test period, with an embargo.</w:t>
            </w:r>
          </w:p>
        </w:tc>
      </w:tr>
      <w:tr>
        <w:tc>
          <w:tcPr>
            <w:tcW w:type="dxa" w:w="2880"/>
            <w:vAlign w:val="top"/>
          </w:tcPr>
          <w:p>
            <w:r/>
            <w:r>
              <w:rPr>
                <w:b w:val="0"/>
                <w:sz w:val="17"/>
              </w:rPr>
              <w:t>Tenor</w:t>
            </w:r>
          </w:p>
        </w:tc>
        <w:tc>
          <w:tcPr>
            <w:tcW w:type="dxa" w:w="8352"/>
            <w:vAlign w:val="top"/>
          </w:tcPr>
          <w:p>
            <w:r/>
            <w:r>
              <w:rPr>
                <w:b w:val="0"/>
                <w:sz w:val="17"/>
              </w:rPr>
              <w:t>Target option horizon / DTE bucket used in the signal panel. Current tenors are 9D to 33D.</w:t>
            </w:r>
          </w:p>
        </w:tc>
      </w:tr>
    </w:tbl>
    <w:p/>
    <w:p>
      <w:pPr>
        <w:pStyle w:val="Heading1"/>
      </w:pPr>
      <w:r>
        <w:t>13. Current practical read</w:t>
      </w:r>
    </w:p>
    <w:p>
      <w:r>
        <w:rPr>
          <w:b/>
        </w:rPr>
        <w:t xml:space="preserve">My current interpretation: </w:t>
      </w:r>
      <w:r>
        <w:t>keep har_total_simple locked for now. It is simple, clean, OOS, and not contaminated by implied variance or trade outcomes. The remaining Core issue is not obviously a forecast-denominator issue. The current evidence points toward front-tenor structure, especially 9D/12D, as the next lever.</w:t>
      </w:r>
    </w:p>
    <w:p>
      <w:pPr>
        <w:pStyle w:val="CodeBlock"/>
      </w:pPr>
      <w:r>
        <w:rPr>
          <w:rFonts w:ascii="Courier New" w:hAnsi="Courier New"/>
          <w:sz w:val="17"/>
        </w:rPr>
        <w:t>Current working direction:</w:t>
        <w:br/>
        <w:t xml:space="preserve">    Keep denominator = har_total_simple</w:t>
        <w:br/>
        <w:t xml:space="preserve">    Lean toward higher-frequency Core mode</w:t>
        <w:br/>
        <w:t xml:space="preserve">    Test structural front-DTE restrictions next</w:t>
        <w:br/>
        <w:t xml:space="preserve">    Finalize Core before moving to Secondary</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har_total_simple reference | VRP trades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right="216"/>
      <w:shd w:fill="F2F2F2"/>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har_total_simple Forecasted Variance Methodology</dc:title>
  <dc:subject>VRP trades project reference note</dc:subject>
  <dc:creator/>
  <cp:keywords>VRP, Corsi, HAR, realized variance, forecast variance</cp:keywords>
  <dc:description/>
  <cp:lastModifiedBy/>
  <cp:revision>1</cp:revision>
  <dcterms:created xsi:type="dcterms:W3CDTF">2013-12-23T23:15:00Z</dcterms:created>
  <dcterms:modified xsi:type="dcterms:W3CDTF">2013-12-23T23:15:00Z</dcterms:modified>
  <cp:category/>
</cp:coreProperties>
</file>