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Locked 2621 SPX VRP Signal and Per-Trade Sizing</w:t>
      </w:r>
    </w:p>
    <w:p>
      <w:pPr>
        <w:jc w:val="center"/>
      </w:pPr>
      <w:r>
        <w:rPr>
          <w:i/>
          <w:sz w:val="24"/>
        </w:rPr>
        <w:t>Goals, process, data sources, and final results</w:t>
      </w:r>
    </w:p>
    <w:p>
      <w:pPr>
        <w:jc w:val="center"/>
      </w:pPr>
      <w:r>
        <w:rPr>
          <w:b/>
        </w:rPr>
        <w:t xml:space="preserve">Model label: </w:t>
      </w:r>
      <w:r>
        <w:t>locked_2621_win_band_25bps_conditional</w:t>
      </w:r>
    </w:p>
    <w:p/>
    <w:p>
      <w:pPr>
        <w:spacing w:before="120" w:after="120"/>
      </w:pPr>
      <w:r>
        <w:rPr>
          <w:b/>
          <w:color w:val="1F4E79"/>
        </w:rPr>
        <w:t>Final locked per-trade sizing v0.1: Core back 5.00%, Core middle 4.85%, Core front 1.75%, Secondary back 4.50%, Secondary middle 3.25%, Secondary front 1.75%.</w:t>
      </w:r>
    </w:p>
    <w:p>
      <w:pPr>
        <w:pStyle w:val="Heading1"/>
      </w:pPr>
      <w:r>
        <w:t>1. Executive summary</w:t>
      </w:r>
    </w:p>
    <w:p>
      <w:r>
        <w:t>The goal of this notebook is to implement a clean, reproducible version of the locked SPX volatility risk premium (VRP) signal framework. The strategy evaluates a fixed tenor universe from 9 DTE to 33 DTE and selects at most one naked ATM put trade per date. The final version separates signal selection from risk management: the signal decides whether and where to trade, while a locked per-trade max-risk schedule decides trade size.</w:t>
      </w:r>
    </w:p>
    <w:p>
      <w:r>
        <w:t>The final selected signal is a Core-first, Secondary-second framework. Core trades represent higher-quality setups with stricter VRP, z-score, RSI, and realized-volatility filters. Secondary trades are only considered when no Core tenor qualifies. Within the active layer, tenor choice prioritizes conditional win probability, then conditional average P&amp;L/day within a 25 bps win-rate band.</w:t>
      </w:r>
    </w:p>
    <w:p>
      <w:r>
        <w:t>The final reporting view sizes every trade against a constant $1,000,000 NAV. This removes compounding and makes historical cumulative P&amp;L easier to interpret as a fixed-risk program. On that basis, the locked sizing produced total realized P&amp;L of approximately $2.13 million across 577 selected trades, with an 83.19% win rate and a maximum drawdown of approximately -$139,954, or -14.00% of the constant NAV.</w:t>
      </w:r>
    </w:p>
    <w:p>
      <w:pPr>
        <w:pStyle w:val="Heading1"/>
      </w:pPr>
      <w:r>
        <w:t>2. Goals of the research notebook</w:t>
      </w:r>
    </w:p>
    <w:p>
      <w:pPr>
        <w:pStyle w:val="ListBullet"/>
      </w:pPr>
      <w:r>
        <w:t>Build a historical SPX VRP signal across tenors from roughly one week to one month-plus, rather than relying only on a fixed 30 DTE trade.</w:t>
      </w:r>
    </w:p>
    <w:p>
      <w:pPr>
        <w:pStyle w:val="ListBullet"/>
      </w:pPr>
      <w:r>
        <w:t>Preserve a simple and explainable signal structure using VRP level, rolling VRP z-scores, RSI, and realized-volatility filters.</w:t>
      </w:r>
    </w:p>
    <w:p>
      <w:pPr>
        <w:pStyle w:val="ListBullet"/>
      </w:pPr>
      <w:r>
        <w:t>Prioritize win probability in tenor selection while still using P&amp;L/day to avoid duration bias and break near-ties intelligently.</w:t>
      </w:r>
    </w:p>
    <w:p>
      <w:pPr>
        <w:pStyle w:val="ListBullet"/>
      </w:pPr>
      <w:r>
        <w:t>Create a final locked notebook that is production-like: it loads source panels, applies locked rules, saves selected trades, and plots constant-NAV cumulative P&amp;L.</w:t>
      </w:r>
    </w:p>
    <w:p>
      <w:pPr>
        <w:pStyle w:val="ListBullet"/>
      </w:pPr>
      <w:r>
        <w:t>Keep portfolio overlap, hedge triggers, stress caps, and rolling exposure governance out of this notebook. Those are separate portfolio risk-management layers.</w:t>
      </w:r>
    </w:p>
    <w:p>
      <w:pPr>
        <w:pStyle w:val="Heading1"/>
      </w:pPr>
      <w:r>
        <w:t>3. Source files and where they came from</w:t>
      </w:r>
    </w:p>
    <w:p>
      <w:r>
        <w:t>The notebook requires two primary source files in the project processed-data folder. The paths are relative to the VRP project root when possible, with a fallback to the development project path used during research.</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D9EAF7"/>
          </w:tcPr>
          <w:p>
            <w:r>
              <w:rPr>
                <w:sz w:val="17"/>
              </w:rPr>
            </w:r>
            <w:r>
              <w:rPr>
                <w:b/>
                <w:sz w:val="17"/>
              </w:rPr>
              <w:t>Source</w:t>
            </w:r>
          </w:p>
        </w:tc>
        <w:tc>
          <w:tcPr>
            <w:tcW w:type="dxa" w:w="3600"/>
            <w:vAlign w:val="center"/>
            <w:shd w:fill="D9EAF7"/>
          </w:tcPr>
          <w:p>
            <w:r>
              <w:rPr>
                <w:sz w:val="17"/>
              </w:rPr>
            </w:r>
            <w:r>
              <w:rPr>
                <w:b/>
                <w:sz w:val="17"/>
              </w:rPr>
              <w:t>Expected location</w:t>
            </w:r>
          </w:p>
        </w:tc>
        <w:tc>
          <w:tcPr>
            <w:tcW w:type="dxa" w:w="4320"/>
            <w:vAlign w:val="center"/>
            <w:shd w:fill="D9EAF7"/>
          </w:tcPr>
          <w:p>
            <w:r>
              <w:rPr>
                <w:sz w:val="17"/>
              </w:rPr>
            </w:r>
            <w:r>
              <w:rPr>
                <w:b/>
                <w:sz w:val="17"/>
              </w:rPr>
              <w:t>Role in notebook</w:t>
            </w:r>
          </w:p>
        </w:tc>
      </w:tr>
      <w:tr>
        <w:tc>
          <w:tcPr>
            <w:tcW w:type="dxa" w:w="2304"/>
            <w:vAlign w:val="center"/>
          </w:tcPr>
          <w:p>
            <w:r>
              <w:rPr>
                <w:sz w:val="17"/>
              </w:rPr>
            </w:r>
            <w:r>
              <w:rPr>
                <w:b w:val="0"/>
                <w:sz w:val="17"/>
              </w:rPr>
              <w:t>Production feature panel</w:t>
            </w:r>
          </w:p>
        </w:tc>
        <w:tc>
          <w:tcPr>
            <w:tcW w:type="dxa" w:w="3600"/>
            <w:vAlign w:val="center"/>
          </w:tcPr>
          <w:p>
            <w:r>
              <w:rPr>
                <w:sz w:val="17"/>
              </w:rPr>
            </w:r>
            <w:r>
              <w:rPr>
                <w:b w:val="0"/>
                <w:sz w:val="17"/>
              </w:rPr>
              <w:t>data/processed/production_feature_panel_v0_1.parquet</w:t>
            </w:r>
          </w:p>
        </w:tc>
        <w:tc>
          <w:tcPr>
            <w:tcW w:type="dxa" w:w="4320"/>
            <w:vAlign w:val="center"/>
          </w:tcPr>
          <w:p>
            <w:r>
              <w:rPr>
                <w:sz w:val="17"/>
              </w:rPr>
            </w:r>
            <w:r>
              <w:rPr>
                <w:b w:val="0"/>
                <w:sz w:val="17"/>
              </w:rPr>
              <w:t>Date x tenor feature set. It provides SPX close, implied variance, forecast variance, VRP log, 3-month VRP z-score, 1-year VRP z-score, RV21D, RSI14, and tenor bucket labels.</w:t>
            </w:r>
          </w:p>
        </w:tc>
      </w:tr>
      <w:tr>
        <w:tc>
          <w:tcPr>
            <w:tcW w:type="dxa" w:w="2304"/>
            <w:vAlign w:val="center"/>
          </w:tcPr>
          <w:p>
            <w:r>
              <w:rPr>
                <w:sz w:val="17"/>
              </w:rPr>
            </w:r>
            <w:r>
              <w:rPr>
                <w:b w:val="0"/>
                <w:sz w:val="17"/>
              </w:rPr>
              <w:t>Naked ATM put outcome panel</w:t>
            </w:r>
          </w:p>
        </w:tc>
        <w:tc>
          <w:tcPr>
            <w:tcW w:type="dxa" w:w="3600"/>
            <w:vAlign w:val="center"/>
          </w:tcPr>
          <w:p>
            <w:r>
              <w:rPr>
                <w:sz w:val="17"/>
              </w:rPr>
            </w:r>
            <w:r>
              <w:rPr>
                <w:b w:val="0"/>
                <w:sz w:val="17"/>
              </w:rPr>
              <w:t>data/processed/naked_atm_put_eod_panel_v0_1.parquet</w:t>
            </w:r>
          </w:p>
        </w:tc>
        <w:tc>
          <w:tcPr>
            <w:tcW w:type="dxa" w:w="4320"/>
            <w:vAlign w:val="center"/>
          </w:tcPr>
          <w:p>
            <w:r>
              <w:rPr>
                <w:sz w:val="17"/>
              </w:rPr>
            </w:r>
            <w:r>
              <w:rPr>
                <w:b w:val="0"/>
                <w:sz w:val="17"/>
              </w:rPr>
              <w:t>Completed EOD outcome panel for naked ATM put trades. It provides trade date, entry tenor, win/loss outcome, normalized P&amp;L dollars, actual DTE, and available expiry/outcome fields.</w:t>
            </w:r>
          </w:p>
        </w:tc>
      </w:tr>
    </w:tbl>
    <w:p/>
    <w:p>
      <w:r>
        <w:t>The feature panel is the production feature set built from the SPX volatility surface and forecast/realized-volatility pipeline. In the broader project, the SPX surface work is sourced from ThetaData-based option data and the project’s downstream feature engineering. The outcome panel is the completed naked ATM put backtest panel used to evaluate what would have happened for each candidate date and tenor.</w:t>
      </w:r>
    </w:p>
    <w:p>
      <w:pPr>
        <w:pStyle w:val="Heading1"/>
      </w:pPr>
      <w:r>
        <w:t>4. Derived outputs created by the notebook</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center"/>
            <w:shd w:fill="D9EAF7"/>
          </w:tcPr>
          <w:p>
            <w:r>
              <w:rPr>
                <w:sz w:val="17"/>
              </w:rPr>
            </w:r>
            <w:r>
              <w:rPr>
                <w:b/>
                <w:sz w:val="17"/>
              </w:rPr>
              <w:t>Derived output</w:t>
            </w:r>
          </w:p>
        </w:tc>
        <w:tc>
          <w:tcPr>
            <w:tcW w:type="dxa" w:w="4176"/>
            <w:vAlign w:val="center"/>
            <w:shd w:fill="D9EAF7"/>
          </w:tcPr>
          <w:p>
            <w:r>
              <w:rPr>
                <w:sz w:val="17"/>
              </w:rPr>
            </w:r>
            <w:r>
              <w:rPr>
                <w:b/>
                <w:sz w:val="17"/>
              </w:rPr>
              <w:t>Location</w:t>
            </w:r>
          </w:p>
        </w:tc>
        <w:tc>
          <w:tcPr>
            <w:tcW w:type="dxa" w:w="3456"/>
            <w:vAlign w:val="center"/>
            <w:shd w:fill="D9EAF7"/>
          </w:tcPr>
          <w:p>
            <w:r>
              <w:rPr>
                <w:sz w:val="17"/>
              </w:rPr>
            </w:r>
            <w:r>
              <w:rPr>
                <w:b/>
                <w:sz w:val="17"/>
              </w:rPr>
              <w:t>Purpose</w:t>
            </w:r>
          </w:p>
        </w:tc>
      </w:tr>
      <w:tr>
        <w:tc>
          <w:tcPr>
            <w:tcW w:type="dxa" w:w="2592"/>
            <w:vAlign w:val="center"/>
          </w:tcPr>
          <w:p>
            <w:r>
              <w:rPr>
                <w:sz w:val="17"/>
              </w:rPr>
            </w:r>
            <w:r>
              <w:rPr>
                <w:b w:val="0"/>
                <w:sz w:val="17"/>
              </w:rPr>
              <w:t>Selected trades</w:t>
            </w:r>
          </w:p>
        </w:tc>
        <w:tc>
          <w:tcPr>
            <w:tcW w:type="dxa" w:w="4176"/>
            <w:vAlign w:val="center"/>
          </w:tcPr>
          <w:p>
            <w:r>
              <w:rPr>
                <w:sz w:val="17"/>
              </w:rPr>
            </w:r>
            <w:r>
              <w:rPr>
                <w:b w:val="0"/>
                <w:sz w:val="17"/>
              </w:rPr>
              <w:t>data/processed/locked_2621_win_band_25bps_conditional_selected_trades_v0_1.parquet</w:t>
            </w:r>
          </w:p>
        </w:tc>
        <w:tc>
          <w:tcPr>
            <w:tcW w:type="dxa" w:w="3456"/>
            <w:vAlign w:val="center"/>
          </w:tcPr>
          <w:p>
            <w:r>
              <w:rPr>
                <w:sz w:val="17"/>
              </w:rPr>
            </w:r>
            <w:r>
              <w:rPr>
                <w:b w:val="0"/>
                <w:sz w:val="17"/>
              </w:rPr>
              <w:t>Parquet output containing the final selected trade path with attached features, outcomes, and priority metrics.</w:t>
            </w:r>
          </w:p>
        </w:tc>
      </w:tr>
      <w:tr>
        <w:tc>
          <w:tcPr>
            <w:tcW w:type="dxa" w:w="2592"/>
            <w:vAlign w:val="center"/>
          </w:tcPr>
          <w:p>
            <w:r>
              <w:rPr>
                <w:sz w:val="17"/>
              </w:rPr>
            </w:r>
            <w:r>
              <w:rPr>
                <w:b w:val="0"/>
                <w:sz w:val="17"/>
              </w:rPr>
              <w:t>Selected trades audit CSV</w:t>
            </w:r>
          </w:p>
        </w:tc>
        <w:tc>
          <w:tcPr>
            <w:tcW w:type="dxa" w:w="4176"/>
            <w:vAlign w:val="center"/>
          </w:tcPr>
          <w:p>
            <w:r>
              <w:rPr>
                <w:sz w:val="17"/>
              </w:rPr>
            </w:r>
            <w:r>
              <w:rPr>
                <w:b w:val="0"/>
                <w:sz w:val="17"/>
              </w:rPr>
              <w:t>data/audit/locked_2621_win_band_25bps_conditional_selected_trades_v0_1.csv</w:t>
            </w:r>
          </w:p>
        </w:tc>
        <w:tc>
          <w:tcPr>
            <w:tcW w:type="dxa" w:w="3456"/>
            <w:vAlign w:val="center"/>
          </w:tcPr>
          <w:p>
            <w:r>
              <w:rPr>
                <w:sz w:val="17"/>
              </w:rPr>
            </w:r>
            <w:r>
              <w:rPr>
                <w:b w:val="0"/>
                <w:sz w:val="17"/>
              </w:rPr>
              <w:t>Human-readable selected-trade audit file.</w:t>
            </w:r>
          </w:p>
        </w:tc>
      </w:tr>
      <w:tr>
        <w:tc>
          <w:tcPr>
            <w:tcW w:type="dxa" w:w="2592"/>
            <w:vAlign w:val="center"/>
          </w:tcPr>
          <w:p>
            <w:r>
              <w:rPr>
                <w:sz w:val="17"/>
              </w:rPr>
            </w:r>
            <w:r>
              <w:rPr>
                <w:b w:val="0"/>
                <w:sz w:val="17"/>
              </w:rPr>
              <w:t>Model summaries</w:t>
            </w:r>
          </w:p>
        </w:tc>
        <w:tc>
          <w:tcPr>
            <w:tcW w:type="dxa" w:w="4176"/>
            <w:vAlign w:val="center"/>
          </w:tcPr>
          <w:p>
            <w:r>
              <w:rPr>
                <w:sz w:val="17"/>
              </w:rPr>
            </w:r>
            <w:r>
              <w:rPr>
                <w:b w:val="0"/>
                <w:sz w:val="17"/>
              </w:rPr>
              <w:t>data/audit/locked_2621_win_band_25bps_conditional_*</w:t>
            </w:r>
          </w:p>
        </w:tc>
        <w:tc>
          <w:tcPr>
            <w:tcW w:type="dxa" w:w="3456"/>
            <w:vAlign w:val="center"/>
          </w:tcPr>
          <w:p>
            <w:r>
              <w:rPr>
                <w:sz w:val="17"/>
              </w:rPr>
            </w:r>
            <w:r>
              <w:rPr>
                <w:b w:val="0"/>
                <w:sz w:val="17"/>
              </w:rPr>
              <w:t>Summary files by layer, year/layer, tenor/layer, tenor-group/layer, worst trades, and worst rolling windows.</w:t>
            </w:r>
          </w:p>
        </w:tc>
      </w:tr>
      <w:tr>
        <w:tc>
          <w:tcPr>
            <w:tcW w:type="dxa" w:w="2592"/>
            <w:vAlign w:val="center"/>
          </w:tcPr>
          <w:p>
            <w:r>
              <w:rPr>
                <w:sz w:val="17"/>
              </w:rPr>
            </w:r>
            <w:r>
              <w:rPr>
                <w:b w:val="0"/>
                <w:sz w:val="17"/>
              </w:rPr>
              <w:t>Constant-NAV realized curve</w:t>
            </w:r>
          </w:p>
        </w:tc>
        <w:tc>
          <w:tcPr>
            <w:tcW w:type="dxa" w:w="4176"/>
            <w:vAlign w:val="center"/>
          </w:tcPr>
          <w:p>
            <w:r>
              <w:rPr>
                <w:sz w:val="17"/>
              </w:rPr>
            </w:r>
            <w:r>
              <w:rPr>
                <w:b w:val="0"/>
                <w:sz w:val="17"/>
              </w:rPr>
              <w:t>data/audit/locked_2621_constant_1mm_nav_cumulative_pnl_realized_curve_v0_1.csv</w:t>
            </w:r>
          </w:p>
        </w:tc>
        <w:tc>
          <w:tcPr>
            <w:tcW w:type="dxa" w:w="3456"/>
            <w:vAlign w:val="center"/>
          </w:tcPr>
          <w:p>
            <w:r>
              <w:rPr>
                <w:sz w:val="17"/>
              </w:rPr>
            </w:r>
            <w:r>
              <w:rPr>
                <w:b w:val="0"/>
                <w:sz w:val="17"/>
              </w:rPr>
              <w:t>Trade-level realized P&amp;L curve using constant $1mm NAV sizing.</w:t>
            </w:r>
          </w:p>
        </w:tc>
      </w:tr>
      <w:tr>
        <w:tc>
          <w:tcPr>
            <w:tcW w:type="dxa" w:w="2592"/>
            <w:vAlign w:val="center"/>
          </w:tcPr>
          <w:p>
            <w:r>
              <w:rPr>
                <w:sz w:val="17"/>
              </w:rPr>
            </w:r>
            <w:r>
              <w:rPr>
                <w:b w:val="0"/>
                <w:sz w:val="17"/>
              </w:rPr>
              <w:t>Constant-NAV trade-level file</w:t>
            </w:r>
          </w:p>
        </w:tc>
        <w:tc>
          <w:tcPr>
            <w:tcW w:type="dxa" w:w="4176"/>
            <w:vAlign w:val="center"/>
          </w:tcPr>
          <w:p>
            <w:r>
              <w:rPr>
                <w:sz w:val="17"/>
              </w:rPr>
            </w:r>
            <w:r>
              <w:rPr>
                <w:b w:val="0"/>
                <w:sz w:val="17"/>
              </w:rPr>
              <w:t>data/audit/locked_2621_constant_1mm_nav_cumulative_pnl_trade_level_v0_1.csv</w:t>
            </w:r>
          </w:p>
        </w:tc>
        <w:tc>
          <w:tcPr>
            <w:tcW w:type="dxa" w:w="3456"/>
            <w:vAlign w:val="center"/>
          </w:tcPr>
          <w:p>
            <w:r>
              <w:rPr>
                <w:sz w:val="17"/>
              </w:rPr>
            </w:r>
            <w:r>
              <w:rPr>
                <w:b w:val="0"/>
                <w:sz w:val="17"/>
              </w:rPr>
              <w:t>Trade-level output with locked sizing group, risk fraction, max-risk dollars, and sized P&amp;L.</w:t>
            </w:r>
          </w:p>
        </w:tc>
      </w:tr>
      <w:tr>
        <w:tc>
          <w:tcPr>
            <w:tcW w:type="dxa" w:w="2592"/>
            <w:vAlign w:val="center"/>
          </w:tcPr>
          <w:p>
            <w:r>
              <w:rPr>
                <w:sz w:val="17"/>
              </w:rPr>
            </w:r>
            <w:r>
              <w:rPr>
                <w:b w:val="0"/>
                <w:sz w:val="17"/>
              </w:rPr>
              <w:t>Constant-NAV chart</w:t>
            </w:r>
          </w:p>
        </w:tc>
        <w:tc>
          <w:tcPr>
            <w:tcW w:type="dxa" w:w="4176"/>
            <w:vAlign w:val="center"/>
          </w:tcPr>
          <w:p>
            <w:r>
              <w:rPr>
                <w:sz w:val="17"/>
              </w:rPr>
            </w:r>
            <w:r>
              <w:rPr>
                <w:b w:val="0"/>
                <w:sz w:val="17"/>
              </w:rPr>
              <w:t>data/audit/locked_2621_constant_1mm_nav_cumulative_pnl_cumulative_pnl_v0_1.png</w:t>
            </w:r>
          </w:p>
        </w:tc>
        <w:tc>
          <w:tcPr>
            <w:tcW w:type="dxa" w:w="3456"/>
            <w:vAlign w:val="center"/>
          </w:tcPr>
          <w:p>
            <w:r>
              <w:rPr>
                <w:sz w:val="17"/>
              </w:rPr>
            </w:r>
            <w:r>
              <w:rPr>
                <w:b w:val="0"/>
                <w:sz w:val="17"/>
              </w:rPr>
              <w:t>Final cumulative P&amp;L chart used for visual review.</w:t>
            </w:r>
          </w:p>
        </w:tc>
      </w:tr>
    </w:tbl>
    <w:p/>
    <w:p>
      <w:pPr>
        <w:pStyle w:val="Heading1"/>
      </w:pPr>
      <w:r>
        <w:t>5. Signal construction</w:t>
      </w:r>
    </w:p>
    <w:p>
      <w:r>
        <w:t>The signal operates on a nine-tenor universe: 9, 12, 15, 18, 21, 24, 27, 30, and 33 DTE. These tenors are grouped into Front, Middle, and Back buckets. The primary VRP signal is the log ratio of implied variance to forecast variance. The rolling z-scores measure whether the current VRP is rich relative to its own recent history on both a 3-month and 1-year window.</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D9EAF7"/>
          </w:tcPr>
          <w:p>
            <w:r>
              <w:rPr>
                <w:sz w:val="17"/>
              </w:rPr>
            </w:r>
            <w:r>
              <w:rPr>
                <w:b/>
                <w:sz w:val="17"/>
              </w:rPr>
              <w:t>Bucket</w:t>
            </w:r>
          </w:p>
        </w:tc>
        <w:tc>
          <w:tcPr>
            <w:tcW w:type="dxa" w:w="6480"/>
            <w:vAlign w:val="center"/>
            <w:shd w:fill="D9EAF7"/>
          </w:tcPr>
          <w:p>
            <w:r>
              <w:rPr>
                <w:sz w:val="17"/>
              </w:rPr>
            </w:r>
            <w:r>
              <w:rPr>
                <w:b/>
                <w:sz w:val="17"/>
              </w:rPr>
              <w:t>Tenors</w:t>
            </w:r>
          </w:p>
        </w:tc>
      </w:tr>
      <w:tr>
        <w:tc>
          <w:tcPr>
            <w:tcW w:type="dxa" w:w="2160"/>
            <w:vAlign w:val="center"/>
          </w:tcPr>
          <w:p>
            <w:r>
              <w:rPr>
                <w:sz w:val="17"/>
              </w:rPr>
            </w:r>
            <w:r>
              <w:rPr>
                <w:b w:val="0"/>
                <w:sz w:val="17"/>
              </w:rPr>
              <w:t>Front</w:t>
            </w:r>
          </w:p>
        </w:tc>
        <w:tc>
          <w:tcPr>
            <w:tcW w:type="dxa" w:w="6480"/>
            <w:vAlign w:val="center"/>
          </w:tcPr>
          <w:p>
            <w:r>
              <w:rPr>
                <w:sz w:val="17"/>
              </w:rPr>
            </w:r>
            <w:r>
              <w:rPr>
                <w:b w:val="0"/>
                <w:sz w:val="17"/>
              </w:rPr>
              <w:t>9, 12, 15 DTE</w:t>
            </w:r>
          </w:p>
        </w:tc>
      </w:tr>
      <w:tr>
        <w:tc>
          <w:tcPr>
            <w:tcW w:type="dxa" w:w="2160"/>
            <w:vAlign w:val="center"/>
          </w:tcPr>
          <w:p>
            <w:r>
              <w:rPr>
                <w:sz w:val="17"/>
              </w:rPr>
            </w:r>
            <w:r>
              <w:rPr>
                <w:b w:val="0"/>
                <w:sz w:val="17"/>
              </w:rPr>
              <w:t>Middle</w:t>
            </w:r>
          </w:p>
        </w:tc>
        <w:tc>
          <w:tcPr>
            <w:tcW w:type="dxa" w:w="6480"/>
            <w:vAlign w:val="center"/>
          </w:tcPr>
          <w:p>
            <w:r>
              <w:rPr>
                <w:sz w:val="17"/>
              </w:rPr>
            </w:r>
            <w:r>
              <w:rPr>
                <w:b w:val="0"/>
                <w:sz w:val="17"/>
              </w:rPr>
              <w:t>18, 21, 24 DTE</w:t>
            </w:r>
          </w:p>
        </w:tc>
      </w:tr>
      <w:tr>
        <w:tc>
          <w:tcPr>
            <w:tcW w:type="dxa" w:w="2160"/>
            <w:vAlign w:val="center"/>
          </w:tcPr>
          <w:p>
            <w:r>
              <w:rPr>
                <w:sz w:val="17"/>
              </w:rPr>
            </w:r>
            <w:r>
              <w:rPr>
                <w:b w:val="0"/>
                <w:sz w:val="17"/>
              </w:rPr>
              <w:t>Back</w:t>
            </w:r>
          </w:p>
        </w:tc>
        <w:tc>
          <w:tcPr>
            <w:tcW w:type="dxa" w:w="6480"/>
            <w:vAlign w:val="center"/>
          </w:tcPr>
          <w:p>
            <w:r>
              <w:rPr>
                <w:sz w:val="17"/>
              </w:rPr>
            </w:r>
            <w:r>
              <w:rPr>
                <w:b w:val="0"/>
                <w:sz w:val="17"/>
              </w:rPr>
              <w:t>27, 30, 33 DTE</w:t>
            </w:r>
          </w:p>
        </w:tc>
      </w:tr>
    </w:tbl>
    <w:p/>
    <w:p>
      <w:pPr>
        <w:pStyle w:val="Heading2"/>
      </w:pPr>
      <w:r>
        <w:t>5.1 Locked Core thresholds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sz w:val="17"/>
              </w:rPr>
            </w:r>
            <w:r>
              <w:rPr>
                <w:b/>
                <w:sz w:val="17"/>
              </w:rPr>
              <w:t>Bucket</w:t>
            </w:r>
          </w:p>
        </w:tc>
        <w:tc>
          <w:tcPr>
            <w:tcW w:type="dxa" w:w="1680"/>
            <w:vAlign w:val="center"/>
            <w:shd w:fill="D9EAF7"/>
          </w:tcPr>
          <w:p>
            <w:r>
              <w:rPr>
                <w:sz w:val="17"/>
              </w:rPr>
            </w:r>
            <w:r>
              <w:rPr>
                <w:b/>
                <w:sz w:val="17"/>
              </w:rPr>
              <w:t>VRP log</w:t>
            </w:r>
          </w:p>
        </w:tc>
        <w:tc>
          <w:tcPr>
            <w:tcW w:type="dxa" w:w="1680"/>
            <w:vAlign w:val="center"/>
            <w:shd w:fill="D9EAF7"/>
          </w:tcPr>
          <w:p>
            <w:r>
              <w:rPr>
                <w:sz w:val="17"/>
              </w:rPr>
            </w:r>
            <w:r>
              <w:rPr>
                <w:b/>
                <w:sz w:val="17"/>
              </w:rPr>
              <w:t>3m z</w:t>
            </w:r>
          </w:p>
        </w:tc>
        <w:tc>
          <w:tcPr>
            <w:tcW w:type="dxa" w:w="1680"/>
            <w:vAlign w:val="center"/>
            <w:shd w:fill="D9EAF7"/>
          </w:tcPr>
          <w:p>
            <w:r>
              <w:rPr>
                <w:sz w:val="17"/>
              </w:rPr>
            </w:r>
            <w:r>
              <w:rPr>
                <w:b/>
                <w:sz w:val="17"/>
              </w:rPr>
              <w:t>1y z</w:t>
            </w:r>
          </w:p>
        </w:tc>
        <w:tc>
          <w:tcPr>
            <w:tcW w:type="dxa" w:w="1680"/>
            <w:vAlign w:val="center"/>
            <w:shd w:fill="D9EAF7"/>
          </w:tcPr>
          <w:p>
            <w:r>
              <w:rPr>
                <w:sz w:val="17"/>
              </w:rPr>
            </w:r>
            <w:r>
              <w:rPr>
                <w:b/>
                <w:sz w:val="17"/>
              </w:rPr>
              <w:t>RSI cap</w:t>
            </w:r>
          </w:p>
        </w:tc>
        <w:tc>
          <w:tcPr>
            <w:tcW w:type="dxa" w:w="1680"/>
            <w:vAlign w:val="center"/>
            <w:shd w:fill="D9EAF7"/>
          </w:tcPr>
          <w:p>
            <w:r>
              <w:rPr>
                <w:sz w:val="17"/>
              </w:rPr>
            </w:r>
            <w:r>
              <w:rPr>
                <w:b/>
                <w:sz w:val="17"/>
              </w:rPr>
              <w:t>RV21D floor</w:t>
            </w:r>
          </w:p>
        </w:tc>
      </w:tr>
      <w:tr>
        <w:tc>
          <w:tcPr>
            <w:tcW w:type="dxa" w:w="1680"/>
            <w:vAlign w:val="center"/>
          </w:tcPr>
          <w:p>
            <w:r>
              <w:rPr>
                <w:sz w:val="17"/>
              </w:rPr>
            </w:r>
            <w:r>
              <w:rPr>
                <w:b w:val="0"/>
                <w:sz w:val="17"/>
              </w:rPr>
              <w:t>Front</w:t>
            </w:r>
          </w:p>
        </w:tc>
        <w:tc>
          <w:tcPr>
            <w:tcW w:type="dxa" w:w="1680"/>
            <w:vAlign w:val="center"/>
          </w:tcPr>
          <w:p>
            <w:r>
              <w:rPr>
                <w:sz w:val="17"/>
              </w:rPr>
            </w:r>
            <w:r>
              <w:rPr>
                <w:b w:val="0"/>
                <w:sz w:val="17"/>
              </w:rPr>
              <w:t>0.60</w:t>
            </w:r>
          </w:p>
        </w:tc>
        <w:tc>
          <w:tcPr>
            <w:tcW w:type="dxa" w:w="1680"/>
            <w:vAlign w:val="center"/>
          </w:tcPr>
          <w:p>
            <w:r>
              <w:rPr>
                <w:sz w:val="17"/>
              </w:rPr>
            </w:r>
            <w:r>
              <w:rPr>
                <w:b w:val="0"/>
                <w:sz w:val="17"/>
              </w:rPr>
              <w:t>0.55</w:t>
            </w:r>
          </w:p>
        </w:tc>
        <w:tc>
          <w:tcPr>
            <w:tcW w:type="dxa" w:w="1680"/>
            <w:vAlign w:val="center"/>
          </w:tcPr>
          <w:p>
            <w:r>
              <w:rPr>
                <w:sz w:val="17"/>
              </w:rPr>
            </w:r>
            <w:r>
              <w:rPr>
                <w:b w:val="0"/>
                <w:sz w:val="17"/>
              </w:rPr>
              <w:t>0.65</w:t>
            </w:r>
          </w:p>
        </w:tc>
        <w:tc>
          <w:tcPr>
            <w:tcW w:type="dxa" w:w="1680"/>
            <w:vAlign w:val="center"/>
          </w:tcPr>
          <w:p>
            <w:r>
              <w:rPr>
                <w:sz w:val="17"/>
              </w:rPr>
            </w:r>
            <w:r>
              <w:rPr>
                <w:b w:val="0"/>
                <w:sz w:val="17"/>
              </w:rPr>
              <w:t>70</w:t>
            </w:r>
          </w:p>
        </w:tc>
        <w:tc>
          <w:tcPr>
            <w:tcW w:type="dxa" w:w="1680"/>
            <w:vAlign w:val="center"/>
          </w:tcPr>
          <w:p>
            <w:r>
              <w:rPr>
                <w:sz w:val="17"/>
              </w:rPr>
            </w:r>
            <w:r>
              <w:rPr>
                <w:b w:val="0"/>
                <w:sz w:val="17"/>
              </w:rPr>
              <w:t>8.5</w:t>
            </w:r>
          </w:p>
        </w:tc>
      </w:tr>
      <w:tr>
        <w:tc>
          <w:tcPr>
            <w:tcW w:type="dxa" w:w="1680"/>
            <w:vAlign w:val="center"/>
          </w:tcPr>
          <w:p>
            <w:r>
              <w:rPr>
                <w:sz w:val="17"/>
              </w:rPr>
            </w:r>
            <w:r>
              <w:rPr>
                <w:b w:val="0"/>
                <w:sz w:val="17"/>
              </w:rPr>
              <w:t>Middle</w:t>
            </w:r>
          </w:p>
        </w:tc>
        <w:tc>
          <w:tcPr>
            <w:tcW w:type="dxa" w:w="1680"/>
            <w:vAlign w:val="center"/>
          </w:tcPr>
          <w:p>
            <w:r>
              <w:rPr>
                <w:sz w:val="17"/>
              </w:rPr>
            </w:r>
            <w:r>
              <w:rPr>
                <w:b w:val="0"/>
                <w:sz w:val="17"/>
              </w:rPr>
              <w:t>0.65</w:t>
            </w:r>
          </w:p>
        </w:tc>
        <w:tc>
          <w:tcPr>
            <w:tcW w:type="dxa" w:w="1680"/>
            <w:vAlign w:val="center"/>
          </w:tcPr>
          <w:p>
            <w:r>
              <w:rPr>
                <w:sz w:val="17"/>
              </w:rPr>
            </w:r>
            <w:r>
              <w:rPr>
                <w:b w:val="0"/>
                <w:sz w:val="17"/>
              </w:rPr>
              <w:t>0.75</w:t>
            </w:r>
          </w:p>
        </w:tc>
        <w:tc>
          <w:tcPr>
            <w:tcW w:type="dxa" w:w="1680"/>
            <w:vAlign w:val="center"/>
          </w:tcPr>
          <w:p>
            <w:r>
              <w:rPr>
                <w:sz w:val="17"/>
              </w:rPr>
            </w:r>
            <w:r>
              <w:rPr>
                <w:b w:val="0"/>
                <w:sz w:val="17"/>
              </w:rPr>
              <w:t>0.65</w:t>
            </w:r>
          </w:p>
        </w:tc>
        <w:tc>
          <w:tcPr>
            <w:tcW w:type="dxa" w:w="1680"/>
            <w:vAlign w:val="center"/>
          </w:tcPr>
          <w:p>
            <w:r>
              <w:rPr>
                <w:sz w:val="17"/>
              </w:rPr>
            </w:r>
            <w:r>
              <w:rPr>
                <w:b w:val="0"/>
                <w:sz w:val="17"/>
              </w:rPr>
              <w:t>68</w:t>
            </w:r>
          </w:p>
        </w:tc>
        <w:tc>
          <w:tcPr>
            <w:tcW w:type="dxa" w:w="1680"/>
            <w:vAlign w:val="center"/>
          </w:tcPr>
          <w:p>
            <w:r>
              <w:rPr>
                <w:sz w:val="17"/>
              </w:rPr>
            </w:r>
            <w:r>
              <w:rPr>
                <w:b w:val="0"/>
                <w:sz w:val="17"/>
              </w:rPr>
              <w:t>8.5</w:t>
            </w:r>
          </w:p>
        </w:tc>
      </w:tr>
      <w:tr>
        <w:tc>
          <w:tcPr>
            <w:tcW w:type="dxa" w:w="1680"/>
            <w:vAlign w:val="center"/>
          </w:tcPr>
          <w:p>
            <w:r>
              <w:rPr>
                <w:sz w:val="17"/>
              </w:rPr>
            </w:r>
            <w:r>
              <w:rPr>
                <w:b w:val="0"/>
                <w:sz w:val="17"/>
              </w:rPr>
              <w:t>Back</w:t>
            </w:r>
          </w:p>
        </w:tc>
        <w:tc>
          <w:tcPr>
            <w:tcW w:type="dxa" w:w="1680"/>
            <w:vAlign w:val="center"/>
          </w:tcPr>
          <w:p>
            <w:r>
              <w:rPr>
                <w:sz w:val="17"/>
              </w:rPr>
            </w:r>
            <w:r>
              <w:rPr>
                <w:b w:val="0"/>
                <w:sz w:val="17"/>
              </w:rPr>
              <w:t>0.70</w:t>
            </w:r>
          </w:p>
        </w:tc>
        <w:tc>
          <w:tcPr>
            <w:tcW w:type="dxa" w:w="1680"/>
            <w:vAlign w:val="center"/>
          </w:tcPr>
          <w:p>
            <w:r>
              <w:rPr>
                <w:sz w:val="17"/>
              </w:rPr>
            </w:r>
            <w:r>
              <w:rPr>
                <w:b w:val="0"/>
                <w:sz w:val="17"/>
              </w:rPr>
              <w:t>0.75</w:t>
            </w:r>
          </w:p>
        </w:tc>
        <w:tc>
          <w:tcPr>
            <w:tcW w:type="dxa" w:w="1680"/>
            <w:vAlign w:val="center"/>
          </w:tcPr>
          <w:p>
            <w:r>
              <w:rPr>
                <w:sz w:val="17"/>
              </w:rPr>
            </w:r>
            <w:r>
              <w:rPr>
                <w:b w:val="0"/>
                <w:sz w:val="17"/>
              </w:rPr>
              <w:t>0.75</w:t>
            </w:r>
          </w:p>
        </w:tc>
        <w:tc>
          <w:tcPr>
            <w:tcW w:type="dxa" w:w="1680"/>
            <w:vAlign w:val="center"/>
          </w:tcPr>
          <w:p>
            <w:r>
              <w:rPr>
                <w:sz w:val="17"/>
              </w:rPr>
            </w:r>
            <w:r>
              <w:rPr>
                <w:b w:val="0"/>
                <w:sz w:val="17"/>
              </w:rPr>
              <w:t>66</w:t>
            </w:r>
          </w:p>
        </w:tc>
        <w:tc>
          <w:tcPr>
            <w:tcW w:type="dxa" w:w="1680"/>
            <w:vAlign w:val="center"/>
          </w:tcPr>
          <w:p>
            <w:r>
              <w:rPr>
                <w:sz w:val="17"/>
              </w:rPr>
            </w:r>
            <w:r>
              <w:rPr>
                <w:b w:val="0"/>
                <w:sz w:val="17"/>
              </w:rPr>
              <w:t>8.5</w:t>
            </w:r>
          </w:p>
        </w:tc>
      </w:tr>
    </w:tbl>
    <w:p/>
    <w:p>
      <w:pPr>
        <w:pStyle w:val="Heading2"/>
      </w:pPr>
      <w:r>
        <w:t>5.2 Locked Secondary thresholds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sz w:val="17"/>
              </w:rPr>
            </w:r>
            <w:r>
              <w:rPr>
                <w:b/>
                <w:sz w:val="17"/>
              </w:rPr>
              <w:t>Bucket</w:t>
            </w:r>
          </w:p>
        </w:tc>
        <w:tc>
          <w:tcPr>
            <w:tcW w:type="dxa" w:w="1680"/>
            <w:vAlign w:val="center"/>
            <w:shd w:fill="D9EAF7"/>
          </w:tcPr>
          <w:p>
            <w:r>
              <w:rPr>
                <w:sz w:val="17"/>
              </w:rPr>
            </w:r>
            <w:r>
              <w:rPr>
                <w:b/>
                <w:sz w:val="17"/>
              </w:rPr>
              <w:t>VRP log</w:t>
            </w:r>
          </w:p>
        </w:tc>
        <w:tc>
          <w:tcPr>
            <w:tcW w:type="dxa" w:w="1680"/>
            <w:vAlign w:val="center"/>
            <w:shd w:fill="D9EAF7"/>
          </w:tcPr>
          <w:p>
            <w:r>
              <w:rPr>
                <w:sz w:val="17"/>
              </w:rPr>
            </w:r>
            <w:r>
              <w:rPr>
                <w:b/>
                <w:sz w:val="17"/>
              </w:rPr>
              <w:t>3m z</w:t>
            </w:r>
          </w:p>
        </w:tc>
        <w:tc>
          <w:tcPr>
            <w:tcW w:type="dxa" w:w="1680"/>
            <w:vAlign w:val="center"/>
            <w:shd w:fill="D9EAF7"/>
          </w:tcPr>
          <w:p>
            <w:r>
              <w:rPr>
                <w:sz w:val="17"/>
              </w:rPr>
            </w:r>
            <w:r>
              <w:rPr>
                <w:b/>
                <w:sz w:val="17"/>
              </w:rPr>
              <w:t>1y z</w:t>
            </w:r>
          </w:p>
        </w:tc>
        <w:tc>
          <w:tcPr>
            <w:tcW w:type="dxa" w:w="1680"/>
            <w:vAlign w:val="center"/>
            <w:shd w:fill="D9EAF7"/>
          </w:tcPr>
          <w:p>
            <w:r>
              <w:rPr>
                <w:sz w:val="17"/>
              </w:rPr>
            </w:r>
            <w:r>
              <w:rPr>
                <w:b/>
                <w:sz w:val="17"/>
              </w:rPr>
              <w:t>RSI cap</w:t>
            </w:r>
          </w:p>
        </w:tc>
        <w:tc>
          <w:tcPr>
            <w:tcW w:type="dxa" w:w="1680"/>
            <w:vAlign w:val="center"/>
            <w:shd w:fill="D9EAF7"/>
          </w:tcPr>
          <w:p>
            <w:r>
              <w:rPr>
                <w:sz w:val="17"/>
              </w:rPr>
            </w:r>
            <w:r>
              <w:rPr>
                <w:b/>
                <w:sz w:val="17"/>
              </w:rPr>
              <w:t>RV21D floor</w:t>
            </w:r>
          </w:p>
        </w:tc>
      </w:tr>
      <w:tr>
        <w:tc>
          <w:tcPr>
            <w:tcW w:type="dxa" w:w="1680"/>
            <w:vAlign w:val="center"/>
          </w:tcPr>
          <w:p>
            <w:r>
              <w:rPr>
                <w:sz w:val="17"/>
              </w:rPr>
            </w:r>
            <w:r>
              <w:rPr>
                <w:b w:val="0"/>
                <w:sz w:val="17"/>
              </w:rPr>
              <w:t>Front</w:t>
            </w:r>
          </w:p>
        </w:tc>
        <w:tc>
          <w:tcPr>
            <w:tcW w:type="dxa" w:w="1680"/>
            <w:vAlign w:val="center"/>
          </w:tcPr>
          <w:p>
            <w:r>
              <w:rPr>
                <w:sz w:val="17"/>
              </w:rPr>
            </w:r>
            <w:r>
              <w:rPr>
                <w:b w:val="0"/>
                <w:sz w:val="17"/>
              </w:rPr>
              <w:t>0.60</w:t>
            </w:r>
          </w:p>
        </w:tc>
        <w:tc>
          <w:tcPr>
            <w:tcW w:type="dxa" w:w="1680"/>
            <w:vAlign w:val="center"/>
          </w:tcPr>
          <w:p>
            <w:r>
              <w:rPr>
                <w:sz w:val="17"/>
              </w:rPr>
            </w:r>
            <w:r>
              <w:rPr>
                <w:b w:val="0"/>
                <w:sz w:val="17"/>
              </w:rPr>
              <w:t>0.50</w:t>
            </w:r>
          </w:p>
        </w:tc>
        <w:tc>
          <w:tcPr>
            <w:tcW w:type="dxa" w:w="1680"/>
            <w:vAlign w:val="center"/>
          </w:tcPr>
          <w:p>
            <w:r>
              <w:rPr>
                <w:sz w:val="17"/>
              </w:rPr>
            </w:r>
            <w:r>
              <w:rPr>
                <w:b w:val="0"/>
                <w:sz w:val="17"/>
              </w:rPr>
              <w:t>0.40</w:t>
            </w:r>
          </w:p>
        </w:tc>
        <w:tc>
          <w:tcPr>
            <w:tcW w:type="dxa" w:w="1680"/>
            <w:vAlign w:val="center"/>
          </w:tcPr>
          <w:p>
            <w:r>
              <w:rPr>
                <w:sz w:val="17"/>
              </w:rPr>
            </w:r>
            <w:r>
              <w:rPr>
                <w:b w:val="0"/>
                <w:sz w:val="17"/>
              </w:rPr>
              <w:t>74</w:t>
            </w:r>
          </w:p>
        </w:tc>
        <w:tc>
          <w:tcPr>
            <w:tcW w:type="dxa" w:w="1680"/>
            <w:vAlign w:val="center"/>
          </w:tcPr>
          <w:p>
            <w:r>
              <w:rPr>
                <w:sz w:val="17"/>
              </w:rPr>
            </w:r>
            <w:r>
              <w:rPr>
                <w:b w:val="0"/>
                <w:sz w:val="17"/>
              </w:rPr>
              <w:t>6.5</w:t>
            </w:r>
          </w:p>
        </w:tc>
      </w:tr>
      <w:tr>
        <w:tc>
          <w:tcPr>
            <w:tcW w:type="dxa" w:w="1680"/>
            <w:vAlign w:val="center"/>
          </w:tcPr>
          <w:p>
            <w:r>
              <w:rPr>
                <w:sz w:val="17"/>
              </w:rPr>
            </w:r>
            <w:r>
              <w:rPr>
                <w:b w:val="0"/>
                <w:sz w:val="17"/>
              </w:rPr>
              <w:t>Middle</w:t>
            </w:r>
          </w:p>
        </w:tc>
        <w:tc>
          <w:tcPr>
            <w:tcW w:type="dxa" w:w="1680"/>
            <w:vAlign w:val="center"/>
          </w:tcPr>
          <w:p>
            <w:r>
              <w:rPr>
                <w:sz w:val="17"/>
              </w:rPr>
            </w:r>
            <w:r>
              <w:rPr>
                <w:b w:val="0"/>
                <w:sz w:val="17"/>
              </w:rPr>
              <w:t>0.60</w:t>
            </w:r>
          </w:p>
        </w:tc>
        <w:tc>
          <w:tcPr>
            <w:tcW w:type="dxa" w:w="1680"/>
            <w:vAlign w:val="center"/>
          </w:tcPr>
          <w:p>
            <w:r>
              <w:rPr>
                <w:sz w:val="17"/>
              </w:rPr>
            </w:r>
            <w:r>
              <w:rPr>
                <w:b w:val="0"/>
                <w:sz w:val="17"/>
              </w:rPr>
              <w:t>0.50</w:t>
            </w:r>
          </w:p>
        </w:tc>
        <w:tc>
          <w:tcPr>
            <w:tcW w:type="dxa" w:w="1680"/>
            <w:vAlign w:val="center"/>
          </w:tcPr>
          <w:p>
            <w:r>
              <w:rPr>
                <w:sz w:val="17"/>
              </w:rPr>
            </w:r>
            <w:r>
              <w:rPr>
                <w:b w:val="0"/>
                <w:sz w:val="17"/>
              </w:rPr>
              <w:t>0.50</w:t>
            </w:r>
          </w:p>
        </w:tc>
        <w:tc>
          <w:tcPr>
            <w:tcW w:type="dxa" w:w="1680"/>
            <w:vAlign w:val="center"/>
          </w:tcPr>
          <w:p>
            <w:r>
              <w:rPr>
                <w:sz w:val="17"/>
              </w:rPr>
            </w:r>
            <w:r>
              <w:rPr>
                <w:b w:val="0"/>
                <w:sz w:val="17"/>
              </w:rPr>
              <w:t>70</w:t>
            </w:r>
          </w:p>
        </w:tc>
        <w:tc>
          <w:tcPr>
            <w:tcW w:type="dxa" w:w="1680"/>
            <w:vAlign w:val="center"/>
          </w:tcPr>
          <w:p>
            <w:r>
              <w:rPr>
                <w:sz w:val="17"/>
              </w:rPr>
            </w:r>
            <w:r>
              <w:rPr>
                <w:b w:val="0"/>
                <w:sz w:val="17"/>
              </w:rPr>
              <w:t>6.5</w:t>
            </w:r>
          </w:p>
        </w:tc>
      </w:tr>
      <w:tr>
        <w:tc>
          <w:tcPr>
            <w:tcW w:type="dxa" w:w="1680"/>
            <w:vAlign w:val="center"/>
          </w:tcPr>
          <w:p>
            <w:r>
              <w:rPr>
                <w:sz w:val="17"/>
              </w:rPr>
            </w:r>
            <w:r>
              <w:rPr>
                <w:b w:val="0"/>
                <w:sz w:val="17"/>
              </w:rPr>
              <w:t>Back</w:t>
            </w:r>
          </w:p>
        </w:tc>
        <w:tc>
          <w:tcPr>
            <w:tcW w:type="dxa" w:w="1680"/>
            <w:vAlign w:val="center"/>
          </w:tcPr>
          <w:p>
            <w:r>
              <w:rPr>
                <w:sz w:val="17"/>
              </w:rPr>
            </w:r>
            <w:r>
              <w:rPr>
                <w:b w:val="0"/>
                <w:sz w:val="17"/>
              </w:rPr>
              <w:t>0.70</w:t>
            </w:r>
          </w:p>
        </w:tc>
        <w:tc>
          <w:tcPr>
            <w:tcW w:type="dxa" w:w="1680"/>
            <w:vAlign w:val="center"/>
          </w:tcPr>
          <w:p>
            <w:r>
              <w:rPr>
                <w:sz w:val="17"/>
              </w:rPr>
            </w:r>
            <w:r>
              <w:rPr>
                <w:b w:val="0"/>
                <w:sz w:val="17"/>
              </w:rPr>
              <w:t>0.50</w:t>
            </w:r>
          </w:p>
        </w:tc>
        <w:tc>
          <w:tcPr>
            <w:tcW w:type="dxa" w:w="1680"/>
            <w:vAlign w:val="center"/>
          </w:tcPr>
          <w:p>
            <w:r>
              <w:rPr>
                <w:sz w:val="17"/>
              </w:rPr>
            </w:r>
            <w:r>
              <w:rPr>
                <w:b w:val="0"/>
                <w:sz w:val="17"/>
              </w:rPr>
              <w:t>0.50</w:t>
            </w:r>
          </w:p>
        </w:tc>
        <w:tc>
          <w:tcPr>
            <w:tcW w:type="dxa" w:w="1680"/>
            <w:vAlign w:val="center"/>
          </w:tcPr>
          <w:p>
            <w:r>
              <w:rPr>
                <w:sz w:val="17"/>
              </w:rPr>
            </w:r>
            <w:r>
              <w:rPr>
                <w:b w:val="0"/>
                <w:sz w:val="17"/>
              </w:rPr>
              <w:t>68</w:t>
            </w:r>
          </w:p>
        </w:tc>
        <w:tc>
          <w:tcPr>
            <w:tcW w:type="dxa" w:w="1680"/>
            <w:vAlign w:val="center"/>
          </w:tcPr>
          <w:p>
            <w:r>
              <w:rPr>
                <w:sz w:val="17"/>
              </w:rPr>
            </w:r>
            <w:r>
              <w:rPr>
                <w:b w:val="0"/>
                <w:sz w:val="17"/>
              </w:rPr>
              <w:t>6.5</w:t>
            </w:r>
          </w:p>
        </w:tc>
      </w:tr>
    </w:tbl>
    <w:p/>
    <w:p>
      <w:pPr>
        <w:pStyle w:val="Heading2"/>
      </w:pPr>
      <w:r>
        <w:t>5.3 Qualification and selection</w:t>
      </w:r>
    </w:p>
    <w:p>
      <w:pPr>
        <w:pStyle w:val="ListNumber"/>
      </w:pPr>
      <w:r>
        <w:t>For every date, evaluate all Core tenors against their bucket-specific thresholds.</w:t>
      </w:r>
    </w:p>
    <w:p>
      <w:pPr>
        <w:pStyle w:val="ListNumber"/>
      </w:pPr>
      <w:r>
        <w:t>If one or more Core tenors qualify, ignore Secondary and select one Core tenor.</w:t>
      </w:r>
    </w:p>
    <w:p>
      <w:pPr>
        <w:pStyle w:val="ListNumber"/>
      </w:pPr>
      <w:r>
        <w:t>If no Core tenor qualifies, evaluate Secondary tenors against their bucket-specific thresholds.</w:t>
      </w:r>
    </w:p>
    <w:p>
      <w:pPr>
        <w:pStyle w:val="ListNumber"/>
      </w:pPr>
      <w:r>
        <w:t>If one or more Secondary tenors qualify, select one Secondary tenor.</w:t>
      </w:r>
    </w:p>
    <w:p>
      <w:pPr>
        <w:pStyle w:val="ListNumber"/>
      </w:pPr>
      <w:r>
        <w:t>Within the active layer, rank qualifying tenors by that layer’s conditional win probability under the locked 2621 rule.</w:t>
      </w:r>
    </w:p>
    <w:p>
      <w:pPr>
        <w:pStyle w:val="ListNumber"/>
      </w:pPr>
      <w:r>
        <w:t>Keep tenors within 25 basis points of the best conditional win probability.</w:t>
      </w:r>
    </w:p>
    <w:p>
      <w:pPr>
        <w:pStyle w:val="ListNumber"/>
      </w:pPr>
      <w:r>
        <w:t>Select the tenor in that near-tie set with the highest conditional average P&amp;L/day.</w:t>
      </w:r>
    </w:p>
    <w:p>
      <w:pPr>
        <w:pStyle w:val="ListNumber"/>
      </w:pPr>
      <w:r>
        <w:t>Remaining ties are broken by aggregate P&amp;L/day, conditional win probability, and then longer tenor.</w:t>
      </w:r>
    </w:p>
    <w:p>
      <w:pPr>
        <w:pStyle w:val="Heading1"/>
      </w:pPr>
      <w:r>
        <w:t>6. Locked signal results before final sizing</w:t>
      </w:r>
    </w:p>
    <w:p>
      <w:r>
        <w:t>The locked selected-trade path contains 577 trades from the complete-date research panel. The combined win rate is 83.19%, with total normalized P&amp;L of approximately $4.89 million before applying the final per-trade sizing schedule. These normalized dollars are based on the outcome-panel convention and are not the final constant-NAV sized P&amp;L.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7"/>
              </w:rPr>
            </w:r>
            <w:r>
              <w:rPr>
                <w:b/>
                <w:sz w:val="17"/>
              </w:rPr>
              <w:t>Metric</w:t>
            </w:r>
          </w:p>
        </w:tc>
        <w:tc>
          <w:tcPr>
            <w:tcW w:type="dxa" w:w="5040"/>
            <w:vAlign w:val="center"/>
            <w:shd w:fill="D9EAF7"/>
          </w:tcPr>
          <w:p>
            <w:r>
              <w:rPr>
                <w:sz w:val="17"/>
              </w:rPr>
            </w:r>
            <w:r>
              <w:rPr>
                <w:b/>
                <w:sz w:val="17"/>
              </w:rPr>
              <w:t>Value</w:t>
            </w:r>
          </w:p>
        </w:tc>
      </w:tr>
      <w:tr>
        <w:tc>
          <w:tcPr>
            <w:tcW w:type="dxa" w:w="5040"/>
            <w:vAlign w:val="center"/>
          </w:tcPr>
          <w:p>
            <w:r>
              <w:rPr>
                <w:sz w:val="17"/>
              </w:rPr>
            </w:r>
            <w:r>
              <w:rPr>
                <w:b w:val="0"/>
                <w:sz w:val="17"/>
              </w:rPr>
              <w:t>Selected trades</w:t>
            </w:r>
          </w:p>
        </w:tc>
        <w:tc>
          <w:tcPr>
            <w:tcW w:type="dxa" w:w="5040"/>
            <w:vAlign w:val="center"/>
          </w:tcPr>
          <w:p>
            <w:r>
              <w:rPr>
                <w:sz w:val="17"/>
              </w:rPr>
            </w:r>
            <w:r>
              <w:rPr>
                <w:b w:val="0"/>
                <w:sz w:val="17"/>
              </w:rPr>
              <w:t>577</w:t>
            </w:r>
          </w:p>
        </w:tc>
      </w:tr>
      <w:tr>
        <w:tc>
          <w:tcPr>
            <w:tcW w:type="dxa" w:w="5040"/>
            <w:vAlign w:val="center"/>
          </w:tcPr>
          <w:p>
            <w:r>
              <w:rPr>
                <w:sz w:val="17"/>
              </w:rPr>
            </w:r>
            <w:r>
              <w:rPr>
                <w:b w:val="0"/>
                <w:sz w:val="17"/>
              </w:rPr>
              <w:t>Trade frequency</w:t>
            </w:r>
          </w:p>
        </w:tc>
        <w:tc>
          <w:tcPr>
            <w:tcW w:type="dxa" w:w="5040"/>
            <w:vAlign w:val="center"/>
          </w:tcPr>
          <w:p>
            <w:r>
              <w:rPr>
                <w:sz w:val="17"/>
              </w:rPr>
            </w:r>
            <w:r>
              <w:rPr>
                <w:b w:val="0"/>
                <w:sz w:val="17"/>
              </w:rPr>
              <w:t>33.45% of complete dates</w:t>
            </w:r>
          </w:p>
        </w:tc>
      </w:tr>
      <w:tr>
        <w:tc>
          <w:tcPr>
            <w:tcW w:type="dxa" w:w="5040"/>
            <w:vAlign w:val="center"/>
          </w:tcPr>
          <w:p>
            <w:r>
              <w:rPr>
                <w:sz w:val="17"/>
              </w:rPr>
            </w:r>
            <w:r>
              <w:rPr>
                <w:b w:val="0"/>
                <w:sz w:val="17"/>
              </w:rPr>
              <w:t>Combined win rate</w:t>
            </w:r>
          </w:p>
        </w:tc>
        <w:tc>
          <w:tcPr>
            <w:tcW w:type="dxa" w:w="5040"/>
            <w:vAlign w:val="center"/>
          </w:tcPr>
          <w:p>
            <w:r>
              <w:rPr>
                <w:sz w:val="17"/>
              </w:rPr>
            </w:r>
            <w:r>
              <w:rPr>
                <w:b w:val="0"/>
                <w:sz w:val="17"/>
              </w:rPr>
              <w:t>83.19%</w:t>
            </w:r>
          </w:p>
        </w:tc>
      </w:tr>
      <w:tr>
        <w:tc>
          <w:tcPr>
            <w:tcW w:type="dxa" w:w="5040"/>
            <w:vAlign w:val="center"/>
          </w:tcPr>
          <w:p>
            <w:r>
              <w:rPr>
                <w:sz w:val="17"/>
              </w:rPr>
            </w:r>
            <w:r>
              <w:rPr>
                <w:b w:val="0"/>
                <w:sz w:val="17"/>
              </w:rPr>
              <w:t>Average P&amp;L/day</w:t>
            </w:r>
          </w:p>
        </w:tc>
        <w:tc>
          <w:tcPr>
            <w:tcW w:type="dxa" w:w="5040"/>
            <w:vAlign w:val="center"/>
          </w:tcPr>
          <w:p>
            <w:r>
              <w:rPr>
                <w:sz w:val="17"/>
              </w:rPr>
            </w:r>
            <w:r>
              <w:rPr>
                <w:b w:val="0"/>
                <w:sz w:val="17"/>
              </w:rPr>
              <w:t>$400.07</w:t>
            </w:r>
          </w:p>
        </w:tc>
      </w:tr>
      <w:tr>
        <w:tc>
          <w:tcPr>
            <w:tcW w:type="dxa" w:w="5040"/>
            <w:vAlign w:val="center"/>
          </w:tcPr>
          <w:p>
            <w:r>
              <w:rPr>
                <w:sz w:val="17"/>
              </w:rPr>
            </w:r>
            <w:r>
              <w:rPr>
                <w:b w:val="0"/>
                <w:sz w:val="17"/>
              </w:rPr>
              <w:t>Median P&amp;L/day</w:t>
            </w:r>
          </w:p>
        </w:tc>
        <w:tc>
          <w:tcPr>
            <w:tcW w:type="dxa" w:w="5040"/>
            <w:vAlign w:val="center"/>
          </w:tcPr>
          <w:p>
            <w:r>
              <w:rPr>
                <w:sz w:val="17"/>
              </w:rPr>
            </w:r>
            <w:r>
              <w:rPr>
                <w:b w:val="0"/>
                <w:sz w:val="17"/>
              </w:rPr>
              <w:t>$531.20</w:t>
            </w:r>
          </w:p>
        </w:tc>
      </w:tr>
      <w:tr>
        <w:tc>
          <w:tcPr>
            <w:tcW w:type="dxa" w:w="5040"/>
            <w:vAlign w:val="center"/>
          </w:tcPr>
          <w:p>
            <w:r>
              <w:rPr>
                <w:sz w:val="17"/>
              </w:rPr>
            </w:r>
            <w:r>
              <w:rPr>
                <w:b w:val="0"/>
                <w:sz w:val="17"/>
              </w:rPr>
              <w:t>Aggregate P&amp;L/day</w:t>
            </w:r>
          </w:p>
        </w:tc>
        <w:tc>
          <w:tcPr>
            <w:tcW w:type="dxa" w:w="5040"/>
            <w:vAlign w:val="center"/>
          </w:tcPr>
          <w:p>
            <w:r>
              <w:rPr>
                <w:sz w:val="17"/>
              </w:rPr>
            </w:r>
            <w:r>
              <w:rPr>
                <w:b w:val="0"/>
                <w:sz w:val="17"/>
              </w:rPr>
              <w:t>$384.79</w:t>
            </w:r>
          </w:p>
        </w:tc>
      </w:tr>
      <w:tr>
        <w:tc>
          <w:tcPr>
            <w:tcW w:type="dxa" w:w="5040"/>
            <w:vAlign w:val="center"/>
          </w:tcPr>
          <w:p>
            <w:r>
              <w:rPr>
                <w:sz w:val="17"/>
              </w:rPr>
            </w:r>
            <w:r>
              <w:rPr>
                <w:b w:val="0"/>
                <w:sz w:val="17"/>
              </w:rPr>
              <w:t>Total normalized P&amp;L</w:t>
            </w:r>
          </w:p>
        </w:tc>
        <w:tc>
          <w:tcPr>
            <w:tcW w:type="dxa" w:w="5040"/>
            <w:vAlign w:val="center"/>
          </w:tcPr>
          <w:p>
            <w:r>
              <w:rPr>
                <w:sz w:val="17"/>
              </w:rPr>
            </w:r>
            <w:r>
              <w:rPr>
                <w:b w:val="0"/>
                <w:sz w:val="17"/>
              </w:rPr>
              <w:t>$4,892,639</w:t>
            </w:r>
          </w:p>
        </w:tc>
      </w:tr>
      <w:tr>
        <w:tc>
          <w:tcPr>
            <w:tcW w:type="dxa" w:w="5040"/>
            <w:vAlign w:val="center"/>
          </w:tcPr>
          <w:p>
            <w:r>
              <w:rPr>
                <w:sz w:val="17"/>
              </w:rPr>
            </w:r>
            <w:r>
              <w:rPr>
                <w:b w:val="0"/>
                <w:sz w:val="17"/>
              </w:rPr>
              <w:t>Worst individual normalized trade</w:t>
            </w:r>
          </w:p>
        </w:tc>
        <w:tc>
          <w:tcPr>
            <w:tcW w:type="dxa" w:w="5040"/>
            <w:vAlign w:val="center"/>
          </w:tcPr>
          <w:p>
            <w:r>
              <w:rPr>
                <w:sz w:val="17"/>
              </w:rPr>
            </w:r>
            <w:r>
              <w:rPr>
                <w:b w:val="0"/>
                <w:sz w:val="17"/>
              </w:rPr>
              <w:t>-$87,933</w:t>
            </w:r>
          </w:p>
        </w:tc>
      </w:tr>
      <w:tr>
        <w:tc>
          <w:tcPr>
            <w:tcW w:type="dxa" w:w="5040"/>
            <w:vAlign w:val="center"/>
          </w:tcPr>
          <w:p>
            <w:r>
              <w:rPr>
                <w:sz w:val="17"/>
              </w:rPr>
            </w:r>
            <w:r>
              <w:rPr>
                <w:b w:val="0"/>
                <w:sz w:val="17"/>
              </w:rPr>
              <w:t>Worst P&amp;L/day</w:t>
            </w:r>
          </w:p>
        </w:tc>
        <w:tc>
          <w:tcPr>
            <w:tcW w:type="dxa" w:w="5040"/>
            <w:vAlign w:val="center"/>
          </w:tcPr>
          <w:p>
            <w:r>
              <w:rPr>
                <w:sz w:val="17"/>
              </w:rPr>
            </w:r>
            <w:r>
              <w:rPr>
                <w:b w:val="0"/>
                <w:sz w:val="17"/>
              </w:rPr>
              <w:t>-$5,535.61</w:t>
            </w:r>
          </w:p>
        </w:tc>
      </w:tr>
      <w:tr>
        <w:tc>
          <w:tcPr>
            <w:tcW w:type="dxa" w:w="5040"/>
            <w:vAlign w:val="center"/>
          </w:tcPr>
          <w:p>
            <w:r>
              <w:rPr>
                <w:sz w:val="17"/>
              </w:rPr>
            </w:r>
            <w:r>
              <w:rPr>
                <w:b w:val="0"/>
                <w:sz w:val="17"/>
              </w:rPr>
              <w:t>Max normalized drawdown</w:t>
            </w:r>
          </w:p>
        </w:tc>
        <w:tc>
          <w:tcPr>
            <w:tcW w:type="dxa" w:w="5040"/>
            <w:vAlign w:val="center"/>
          </w:tcPr>
          <w:p>
            <w:r>
              <w:rPr>
                <w:sz w:val="17"/>
              </w:rPr>
            </w:r>
            <w:r>
              <w:rPr>
                <w:b w:val="0"/>
                <w:sz w:val="17"/>
              </w:rPr>
              <w:t>-$287,260</w:t>
            </w:r>
          </w:p>
        </w:tc>
      </w:tr>
      <w:tr>
        <w:tc>
          <w:tcPr>
            <w:tcW w:type="dxa" w:w="5040"/>
            <w:vAlign w:val="center"/>
          </w:tcPr>
          <w:p>
            <w:r>
              <w:rPr>
                <w:sz w:val="17"/>
              </w:rPr>
            </w:r>
            <w:r>
              <w:rPr>
                <w:b w:val="0"/>
                <w:sz w:val="17"/>
              </w:rPr>
              <w:t>Worst 20-trade rolling sum</w:t>
            </w:r>
          </w:p>
        </w:tc>
        <w:tc>
          <w:tcPr>
            <w:tcW w:type="dxa" w:w="5040"/>
            <w:vAlign w:val="center"/>
          </w:tcPr>
          <w:p>
            <w:r>
              <w:rPr>
                <w:sz w:val="17"/>
              </w:rPr>
            </w:r>
            <w:r>
              <w:rPr>
                <w:b w:val="0"/>
                <w:sz w:val="17"/>
              </w:rPr>
              <w:t>-$247,740</w:t>
            </w:r>
          </w:p>
        </w:tc>
      </w:tr>
      <w:tr>
        <w:tc>
          <w:tcPr>
            <w:tcW w:type="dxa" w:w="5040"/>
            <w:vAlign w:val="center"/>
          </w:tcPr>
          <w:p>
            <w:r>
              <w:rPr>
                <w:sz w:val="17"/>
              </w:rPr>
            </w:r>
            <w:r>
              <w:rPr>
                <w:b w:val="0"/>
                <w:sz w:val="17"/>
              </w:rPr>
              <w:t>Average selected tenor</w:t>
            </w:r>
          </w:p>
        </w:tc>
        <w:tc>
          <w:tcPr>
            <w:tcW w:type="dxa" w:w="5040"/>
            <w:vAlign w:val="center"/>
          </w:tcPr>
          <w:p>
            <w:r>
              <w:rPr>
                <w:sz w:val="17"/>
              </w:rPr>
            </w:r>
            <w:r>
              <w:rPr>
                <w:b w:val="0"/>
                <w:sz w:val="17"/>
              </w:rPr>
              <w:t>22.28 DTE</w:t>
            </w:r>
          </w:p>
        </w:tc>
      </w:tr>
    </w:tbl>
    <w:p/>
    <w:p>
      <w:pPr>
        <w:pStyle w:val="Heading2"/>
      </w:pPr>
      <w:r>
        <w:t>6.1 Results by Core vs Secondary layer</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Pr>
                <w:sz w:val="17"/>
              </w:rPr>
            </w:r>
            <w:r>
              <w:rPr>
                <w:b/>
                <w:sz w:val="17"/>
              </w:rPr>
              <w:t>Layer</w:t>
            </w:r>
          </w:p>
        </w:tc>
        <w:tc>
          <w:tcPr>
            <w:tcW w:type="dxa" w:w="1260"/>
            <w:vAlign w:val="center"/>
            <w:shd w:fill="D9EAF7"/>
          </w:tcPr>
          <w:p>
            <w:r>
              <w:rPr>
                <w:sz w:val="17"/>
              </w:rPr>
            </w:r>
            <w:r>
              <w:rPr>
                <w:b/>
                <w:sz w:val="17"/>
              </w:rPr>
              <w:t>Trades</w:t>
            </w:r>
          </w:p>
        </w:tc>
        <w:tc>
          <w:tcPr>
            <w:tcW w:type="dxa" w:w="1260"/>
            <w:vAlign w:val="center"/>
            <w:shd w:fill="D9EAF7"/>
          </w:tcPr>
          <w:p>
            <w:r>
              <w:rPr>
                <w:sz w:val="17"/>
              </w:rPr>
            </w:r>
            <w:r>
              <w:rPr>
                <w:b/>
                <w:sz w:val="17"/>
              </w:rPr>
              <w:t>Frequency</w:t>
            </w:r>
          </w:p>
        </w:tc>
        <w:tc>
          <w:tcPr>
            <w:tcW w:type="dxa" w:w="1260"/>
            <w:vAlign w:val="center"/>
            <w:shd w:fill="D9EAF7"/>
          </w:tcPr>
          <w:p>
            <w:r>
              <w:rPr>
                <w:sz w:val="17"/>
              </w:rPr>
            </w:r>
            <w:r>
              <w:rPr>
                <w:b/>
                <w:sz w:val="17"/>
              </w:rPr>
              <w:t>Win rate</w:t>
            </w:r>
          </w:p>
        </w:tc>
        <w:tc>
          <w:tcPr>
            <w:tcW w:type="dxa" w:w="1260"/>
            <w:vAlign w:val="center"/>
            <w:shd w:fill="D9EAF7"/>
          </w:tcPr>
          <w:p>
            <w:r>
              <w:rPr>
                <w:sz w:val="17"/>
              </w:rPr>
            </w:r>
            <w:r>
              <w:rPr>
                <w:b/>
                <w:sz w:val="17"/>
              </w:rPr>
              <w:t>Avg P&amp;L/day</w:t>
            </w:r>
          </w:p>
        </w:tc>
        <w:tc>
          <w:tcPr>
            <w:tcW w:type="dxa" w:w="1260"/>
            <w:vAlign w:val="center"/>
            <w:shd w:fill="D9EAF7"/>
          </w:tcPr>
          <w:p>
            <w:r>
              <w:rPr>
                <w:sz w:val="17"/>
              </w:rPr>
            </w:r>
            <w:r>
              <w:rPr>
                <w:b/>
                <w:sz w:val="17"/>
              </w:rPr>
              <w:t>Total normalized P&amp;L</w:t>
            </w:r>
          </w:p>
        </w:tc>
        <w:tc>
          <w:tcPr>
            <w:tcW w:type="dxa" w:w="1260"/>
            <w:vAlign w:val="center"/>
            <w:shd w:fill="D9EAF7"/>
          </w:tcPr>
          <w:p>
            <w:r>
              <w:rPr>
                <w:sz w:val="17"/>
              </w:rPr>
            </w:r>
            <w:r>
              <w:rPr>
                <w:b/>
                <w:sz w:val="17"/>
              </w:rPr>
              <w:t>Max drawdown</w:t>
            </w:r>
          </w:p>
        </w:tc>
        <w:tc>
          <w:tcPr>
            <w:tcW w:type="dxa" w:w="1260"/>
            <w:vAlign w:val="center"/>
            <w:shd w:fill="D9EAF7"/>
          </w:tcPr>
          <w:p>
            <w:r>
              <w:rPr>
                <w:sz w:val="17"/>
              </w:rPr>
            </w:r>
            <w:r>
              <w:rPr>
                <w:b/>
                <w:sz w:val="17"/>
              </w:rPr>
              <w:t>Worst 20-trade sum</w:t>
            </w:r>
          </w:p>
        </w:tc>
      </w:tr>
      <w:tr>
        <w:tc>
          <w:tcPr>
            <w:tcW w:type="dxa" w:w="1260"/>
            <w:vAlign w:val="center"/>
          </w:tcPr>
          <w:p>
            <w:r>
              <w:rPr>
                <w:sz w:val="17"/>
              </w:rPr>
            </w:r>
            <w:r>
              <w:rPr>
                <w:b w:val="0"/>
                <w:sz w:val="17"/>
              </w:rPr>
              <w:t>Core</w:t>
            </w:r>
          </w:p>
        </w:tc>
        <w:tc>
          <w:tcPr>
            <w:tcW w:type="dxa" w:w="1260"/>
            <w:vAlign w:val="center"/>
          </w:tcPr>
          <w:p>
            <w:r>
              <w:rPr>
                <w:sz w:val="17"/>
              </w:rPr>
            </w:r>
            <w:r>
              <w:rPr>
                <w:b w:val="0"/>
                <w:sz w:val="17"/>
              </w:rPr>
              <w:t>386</w:t>
            </w:r>
          </w:p>
        </w:tc>
        <w:tc>
          <w:tcPr>
            <w:tcW w:type="dxa" w:w="1260"/>
            <w:vAlign w:val="center"/>
          </w:tcPr>
          <w:p>
            <w:r>
              <w:rPr>
                <w:sz w:val="17"/>
              </w:rPr>
            </w:r>
            <w:r>
              <w:rPr>
                <w:b w:val="0"/>
                <w:sz w:val="17"/>
              </w:rPr>
              <w:t>22.38%</w:t>
            </w:r>
          </w:p>
        </w:tc>
        <w:tc>
          <w:tcPr>
            <w:tcW w:type="dxa" w:w="1260"/>
            <w:vAlign w:val="center"/>
          </w:tcPr>
          <w:p>
            <w:r>
              <w:rPr>
                <w:sz w:val="17"/>
              </w:rPr>
            </w:r>
            <w:r>
              <w:rPr>
                <w:b w:val="0"/>
                <w:sz w:val="17"/>
              </w:rPr>
              <w:t>86.01%</w:t>
            </w:r>
          </w:p>
        </w:tc>
        <w:tc>
          <w:tcPr>
            <w:tcW w:type="dxa" w:w="1260"/>
            <w:vAlign w:val="center"/>
          </w:tcPr>
          <w:p>
            <w:r>
              <w:rPr>
                <w:sz w:val="17"/>
              </w:rPr>
            </w:r>
            <w:r>
              <w:rPr>
                <w:b w:val="0"/>
                <w:sz w:val="17"/>
              </w:rPr>
              <w:t>$465.77</w:t>
            </w:r>
          </w:p>
        </w:tc>
        <w:tc>
          <w:tcPr>
            <w:tcW w:type="dxa" w:w="1260"/>
            <w:vAlign w:val="center"/>
          </w:tcPr>
          <w:p>
            <w:r>
              <w:rPr>
                <w:sz w:val="17"/>
              </w:rPr>
            </w:r>
            <w:r>
              <w:rPr>
                <w:b w:val="0"/>
                <w:sz w:val="17"/>
              </w:rPr>
              <w:t>$3,969,480</w:t>
            </w:r>
          </w:p>
        </w:tc>
        <w:tc>
          <w:tcPr>
            <w:tcW w:type="dxa" w:w="1260"/>
            <w:vAlign w:val="center"/>
          </w:tcPr>
          <w:p>
            <w:r>
              <w:rPr>
                <w:sz w:val="17"/>
              </w:rPr>
            </w:r>
            <w:r>
              <w:rPr>
                <w:b w:val="0"/>
                <w:sz w:val="17"/>
              </w:rPr>
              <w:t>-$287,260</w:t>
            </w:r>
          </w:p>
        </w:tc>
        <w:tc>
          <w:tcPr>
            <w:tcW w:type="dxa" w:w="1260"/>
            <w:vAlign w:val="center"/>
          </w:tcPr>
          <w:p>
            <w:r>
              <w:rPr>
                <w:sz w:val="17"/>
              </w:rPr>
            </w:r>
            <w:r>
              <w:rPr>
                <w:b w:val="0"/>
                <w:sz w:val="17"/>
              </w:rPr>
              <w:t>-$247,740</w:t>
            </w:r>
          </w:p>
        </w:tc>
      </w:tr>
      <w:tr>
        <w:tc>
          <w:tcPr>
            <w:tcW w:type="dxa" w:w="1260"/>
            <w:vAlign w:val="center"/>
          </w:tcPr>
          <w:p>
            <w:r>
              <w:rPr>
                <w:sz w:val="17"/>
              </w:rPr>
            </w:r>
            <w:r>
              <w:rPr>
                <w:b w:val="0"/>
                <w:sz w:val="17"/>
              </w:rPr>
              <w:t>Secondary</w:t>
            </w:r>
          </w:p>
        </w:tc>
        <w:tc>
          <w:tcPr>
            <w:tcW w:type="dxa" w:w="1260"/>
            <w:vAlign w:val="center"/>
          </w:tcPr>
          <w:p>
            <w:r>
              <w:rPr>
                <w:sz w:val="17"/>
              </w:rPr>
            </w:r>
            <w:r>
              <w:rPr>
                <w:b w:val="0"/>
                <w:sz w:val="17"/>
              </w:rPr>
              <w:t>191</w:t>
            </w:r>
          </w:p>
        </w:tc>
        <w:tc>
          <w:tcPr>
            <w:tcW w:type="dxa" w:w="1260"/>
            <w:vAlign w:val="center"/>
          </w:tcPr>
          <w:p>
            <w:r>
              <w:rPr>
                <w:sz w:val="17"/>
              </w:rPr>
            </w:r>
            <w:r>
              <w:rPr>
                <w:b w:val="0"/>
                <w:sz w:val="17"/>
              </w:rPr>
              <w:t>11.07%</w:t>
            </w:r>
          </w:p>
        </w:tc>
        <w:tc>
          <w:tcPr>
            <w:tcW w:type="dxa" w:w="1260"/>
            <w:vAlign w:val="center"/>
          </w:tcPr>
          <w:p>
            <w:r>
              <w:rPr>
                <w:sz w:val="17"/>
              </w:rPr>
            </w:r>
            <w:r>
              <w:rPr>
                <w:b w:val="0"/>
                <w:sz w:val="17"/>
              </w:rPr>
              <w:t>77.49%</w:t>
            </w:r>
          </w:p>
        </w:tc>
        <w:tc>
          <w:tcPr>
            <w:tcW w:type="dxa" w:w="1260"/>
            <w:vAlign w:val="center"/>
          </w:tcPr>
          <w:p>
            <w:r>
              <w:rPr>
                <w:sz w:val="17"/>
              </w:rPr>
            </w:r>
            <w:r>
              <w:rPr>
                <w:b w:val="0"/>
                <w:sz w:val="17"/>
              </w:rPr>
              <w:t>$267.30</w:t>
            </w:r>
          </w:p>
        </w:tc>
        <w:tc>
          <w:tcPr>
            <w:tcW w:type="dxa" w:w="1260"/>
            <w:vAlign w:val="center"/>
          </w:tcPr>
          <w:p>
            <w:r>
              <w:rPr>
                <w:sz w:val="17"/>
              </w:rPr>
            </w:r>
            <w:r>
              <w:rPr>
                <w:b w:val="0"/>
                <w:sz w:val="17"/>
              </w:rPr>
              <w:t>$923,159</w:t>
            </w:r>
          </w:p>
        </w:tc>
        <w:tc>
          <w:tcPr>
            <w:tcW w:type="dxa" w:w="1260"/>
            <w:vAlign w:val="center"/>
          </w:tcPr>
          <w:p>
            <w:r>
              <w:rPr>
                <w:sz w:val="17"/>
              </w:rPr>
            </w:r>
            <w:r>
              <w:rPr>
                <w:b w:val="0"/>
                <w:sz w:val="17"/>
              </w:rPr>
              <w:t>-$249,163</w:t>
            </w:r>
          </w:p>
        </w:tc>
        <w:tc>
          <w:tcPr>
            <w:tcW w:type="dxa" w:w="1260"/>
            <w:vAlign w:val="center"/>
          </w:tcPr>
          <w:p>
            <w:r>
              <w:rPr>
                <w:sz w:val="17"/>
              </w:rPr>
            </w:r>
            <w:r>
              <w:rPr>
                <w:b w:val="0"/>
                <w:sz w:val="17"/>
              </w:rPr>
              <w:t>-$176,622</w:t>
            </w:r>
          </w:p>
        </w:tc>
      </w:tr>
    </w:tbl>
    <w:p/>
    <w:p>
      <w:pPr>
        <w:pStyle w:val="Heading2"/>
      </w:pPr>
      <w:r>
        <w:t>6.2 Results by tenor group and layer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sz w:val="17"/>
              </w:rPr>
            </w:r>
            <w:r>
              <w:rPr>
                <w:b/>
                <w:sz w:val="17"/>
              </w:rPr>
              <w:t>Group / Layer</w:t>
            </w:r>
          </w:p>
        </w:tc>
        <w:tc>
          <w:tcPr>
            <w:tcW w:type="dxa" w:w="1680"/>
            <w:vAlign w:val="center"/>
            <w:shd w:fill="D9EAF7"/>
          </w:tcPr>
          <w:p>
            <w:r>
              <w:rPr>
                <w:sz w:val="17"/>
              </w:rPr>
            </w:r>
            <w:r>
              <w:rPr>
                <w:b/>
                <w:sz w:val="17"/>
              </w:rPr>
              <w:t>Trades</w:t>
            </w:r>
          </w:p>
        </w:tc>
        <w:tc>
          <w:tcPr>
            <w:tcW w:type="dxa" w:w="1680"/>
            <w:vAlign w:val="center"/>
            <w:shd w:fill="D9EAF7"/>
          </w:tcPr>
          <w:p>
            <w:r>
              <w:rPr>
                <w:sz w:val="17"/>
              </w:rPr>
            </w:r>
            <w:r>
              <w:rPr>
                <w:b/>
                <w:sz w:val="17"/>
              </w:rPr>
              <w:t>Win rate</w:t>
            </w:r>
          </w:p>
        </w:tc>
        <w:tc>
          <w:tcPr>
            <w:tcW w:type="dxa" w:w="1680"/>
            <w:vAlign w:val="center"/>
            <w:shd w:fill="D9EAF7"/>
          </w:tcPr>
          <w:p>
            <w:r>
              <w:rPr>
                <w:sz w:val="17"/>
              </w:rPr>
            </w:r>
            <w:r>
              <w:rPr>
                <w:b/>
                <w:sz w:val="17"/>
              </w:rPr>
              <w:t>Avg P&amp;L/day</w:t>
            </w:r>
          </w:p>
        </w:tc>
        <w:tc>
          <w:tcPr>
            <w:tcW w:type="dxa" w:w="1680"/>
            <w:vAlign w:val="center"/>
            <w:shd w:fill="D9EAF7"/>
          </w:tcPr>
          <w:p>
            <w:r>
              <w:rPr>
                <w:sz w:val="17"/>
              </w:rPr>
            </w:r>
            <w:r>
              <w:rPr>
                <w:b/>
                <w:sz w:val="17"/>
              </w:rPr>
              <w:t>Total normalized P&amp;L</w:t>
            </w:r>
          </w:p>
        </w:tc>
        <w:tc>
          <w:tcPr>
            <w:tcW w:type="dxa" w:w="1680"/>
            <w:vAlign w:val="center"/>
            <w:shd w:fill="D9EAF7"/>
          </w:tcPr>
          <w:p>
            <w:r>
              <w:rPr>
                <w:sz w:val="17"/>
              </w:rPr>
            </w:r>
            <w:r>
              <w:rPr>
                <w:b/>
                <w:sz w:val="17"/>
              </w:rPr>
              <w:t>Worst P&amp;L/day</w:t>
            </w:r>
          </w:p>
        </w:tc>
      </w:tr>
      <w:tr>
        <w:tc>
          <w:tcPr>
            <w:tcW w:type="dxa" w:w="1680"/>
            <w:vAlign w:val="center"/>
          </w:tcPr>
          <w:p>
            <w:r>
              <w:rPr>
                <w:sz w:val="17"/>
              </w:rPr>
            </w:r>
            <w:r>
              <w:rPr>
                <w:b w:val="0"/>
                <w:sz w:val="17"/>
              </w:rPr>
              <w:t>Core back</w:t>
            </w:r>
          </w:p>
        </w:tc>
        <w:tc>
          <w:tcPr>
            <w:tcW w:type="dxa" w:w="1680"/>
            <w:vAlign w:val="center"/>
          </w:tcPr>
          <w:p>
            <w:r>
              <w:rPr>
                <w:sz w:val="17"/>
              </w:rPr>
            </w:r>
            <w:r>
              <w:rPr>
                <w:b w:val="0"/>
                <w:sz w:val="17"/>
              </w:rPr>
              <w:t>224</w:t>
            </w:r>
          </w:p>
        </w:tc>
        <w:tc>
          <w:tcPr>
            <w:tcW w:type="dxa" w:w="1680"/>
            <w:vAlign w:val="center"/>
          </w:tcPr>
          <w:p>
            <w:r>
              <w:rPr>
                <w:sz w:val="17"/>
              </w:rPr>
            </w:r>
            <w:r>
              <w:rPr>
                <w:b w:val="0"/>
                <w:sz w:val="17"/>
              </w:rPr>
              <w:t>88.84%</w:t>
            </w:r>
          </w:p>
        </w:tc>
        <w:tc>
          <w:tcPr>
            <w:tcW w:type="dxa" w:w="1680"/>
            <w:vAlign w:val="center"/>
          </w:tcPr>
          <w:p>
            <w:r>
              <w:rPr>
                <w:sz w:val="17"/>
              </w:rPr>
            </w:r>
            <w:r>
              <w:rPr>
                <w:b w:val="0"/>
                <w:sz w:val="17"/>
              </w:rPr>
              <w:t>$470.13</w:t>
            </w:r>
          </w:p>
        </w:tc>
        <w:tc>
          <w:tcPr>
            <w:tcW w:type="dxa" w:w="1680"/>
            <w:vAlign w:val="center"/>
          </w:tcPr>
          <w:p>
            <w:r>
              <w:rPr>
                <w:sz w:val="17"/>
              </w:rPr>
            </w:r>
            <w:r>
              <w:rPr>
                <w:b w:val="0"/>
                <w:sz w:val="17"/>
              </w:rPr>
              <w:t>$2,855,976</w:t>
            </w:r>
          </w:p>
        </w:tc>
        <w:tc>
          <w:tcPr>
            <w:tcW w:type="dxa" w:w="1680"/>
            <w:vAlign w:val="center"/>
          </w:tcPr>
          <w:p>
            <w:r>
              <w:rPr>
                <w:sz w:val="17"/>
              </w:rPr>
            </w:r>
            <w:r>
              <w:rPr>
                <w:b w:val="0"/>
                <w:sz w:val="17"/>
              </w:rPr>
              <w:t>-$2,292.77</w:t>
            </w:r>
          </w:p>
        </w:tc>
      </w:tr>
      <w:tr>
        <w:tc>
          <w:tcPr>
            <w:tcW w:type="dxa" w:w="1680"/>
            <w:vAlign w:val="center"/>
          </w:tcPr>
          <w:p>
            <w:r>
              <w:rPr>
                <w:sz w:val="17"/>
              </w:rPr>
            </w:r>
            <w:r>
              <w:rPr>
                <w:b w:val="0"/>
                <w:sz w:val="17"/>
              </w:rPr>
              <w:t>Core middle</w:t>
            </w:r>
          </w:p>
        </w:tc>
        <w:tc>
          <w:tcPr>
            <w:tcW w:type="dxa" w:w="1680"/>
            <w:vAlign w:val="center"/>
          </w:tcPr>
          <w:p>
            <w:r>
              <w:rPr>
                <w:sz w:val="17"/>
              </w:rPr>
            </w:r>
            <w:r>
              <w:rPr>
                <w:b w:val="0"/>
                <w:sz w:val="17"/>
              </w:rPr>
              <w:t>65</w:t>
            </w:r>
          </w:p>
        </w:tc>
        <w:tc>
          <w:tcPr>
            <w:tcW w:type="dxa" w:w="1680"/>
            <w:vAlign w:val="center"/>
          </w:tcPr>
          <w:p>
            <w:r>
              <w:rPr>
                <w:sz w:val="17"/>
              </w:rPr>
            </w:r>
            <w:r>
              <w:rPr>
                <w:b w:val="0"/>
                <w:sz w:val="17"/>
              </w:rPr>
              <w:t>86.15%</w:t>
            </w:r>
          </w:p>
        </w:tc>
        <w:tc>
          <w:tcPr>
            <w:tcW w:type="dxa" w:w="1680"/>
            <w:vAlign w:val="center"/>
          </w:tcPr>
          <w:p>
            <w:r>
              <w:rPr>
                <w:sz w:val="17"/>
              </w:rPr>
            </w:r>
            <w:r>
              <w:rPr>
                <w:b w:val="0"/>
                <w:sz w:val="17"/>
              </w:rPr>
              <w:t>$495.01</w:t>
            </w:r>
          </w:p>
        </w:tc>
        <w:tc>
          <w:tcPr>
            <w:tcW w:type="dxa" w:w="1680"/>
            <w:vAlign w:val="center"/>
          </w:tcPr>
          <w:p>
            <w:r>
              <w:rPr>
                <w:sz w:val="17"/>
              </w:rPr>
            </w:r>
            <w:r>
              <w:rPr>
                <w:b w:val="0"/>
                <w:sz w:val="17"/>
              </w:rPr>
              <w:t>$616,597</w:t>
            </w:r>
          </w:p>
        </w:tc>
        <w:tc>
          <w:tcPr>
            <w:tcW w:type="dxa" w:w="1680"/>
            <w:vAlign w:val="center"/>
          </w:tcPr>
          <w:p>
            <w:r>
              <w:rPr>
                <w:sz w:val="17"/>
              </w:rPr>
            </w:r>
            <w:r>
              <w:rPr>
                <w:b w:val="0"/>
                <w:sz w:val="17"/>
              </w:rPr>
              <w:t>-$2,353.26</w:t>
            </w:r>
          </w:p>
        </w:tc>
      </w:tr>
      <w:tr>
        <w:tc>
          <w:tcPr>
            <w:tcW w:type="dxa" w:w="1680"/>
            <w:vAlign w:val="center"/>
          </w:tcPr>
          <w:p>
            <w:r>
              <w:rPr>
                <w:sz w:val="17"/>
              </w:rPr>
            </w:r>
            <w:r>
              <w:rPr>
                <w:b w:val="0"/>
                <w:sz w:val="17"/>
              </w:rPr>
              <w:t>Core front</w:t>
            </w:r>
          </w:p>
        </w:tc>
        <w:tc>
          <w:tcPr>
            <w:tcW w:type="dxa" w:w="1680"/>
            <w:vAlign w:val="center"/>
          </w:tcPr>
          <w:p>
            <w:r>
              <w:rPr>
                <w:sz w:val="17"/>
              </w:rPr>
            </w:r>
            <w:r>
              <w:rPr>
                <w:b w:val="0"/>
                <w:sz w:val="17"/>
              </w:rPr>
              <w:t>97</w:t>
            </w:r>
          </w:p>
        </w:tc>
        <w:tc>
          <w:tcPr>
            <w:tcW w:type="dxa" w:w="1680"/>
            <w:vAlign w:val="center"/>
          </w:tcPr>
          <w:p>
            <w:r>
              <w:rPr>
                <w:sz w:val="17"/>
              </w:rPr>
            </w:r>
            <w:r>
              <w:rPr>
                <w:b w:val="0"/>
                <w:sz w:val="17"/>
              </w:rPr>
              <w:t>79.38%</w:t>
            </w:r>
          </w:p>
        </w:tc>
        <w:tc>
          <w:tcPr>
            <w:tcW w:type="dxa" w:w="1680"/>
            <w:vAlign w:val="center"/>
          </w:tcPr>
          <w:p>
            <w:r>
              <w:rPr>
                <w:sz w:val="17"/>
              </w:rPr>
            </w:r>
            <w:r>
              <w:rPr>
                <w:b w:val="0"/>
                <w:sz w:val="17"/>
              </w:rPr>
              <w:t>$436.10</w:t>
            </w:r>
          </w:p>
        </w:tc>
        <w:tc>
          <w:tcPr>
            <w:tcW w:type="dxa" w:w="1680"/>
            <w:vAlign w:val="center"/>
          </w:tcPr>
          <w:p>
            <w:r>
              <w:rPr>
                <w:sz w:val="17"/>
              </w:rPr>
            </w:r>
            <w:r>
              <w:rPr>
                <w:b w:val="0"/>
                <w:sz w:val="17"/>
              </w:rPr>
              <w:t>$496,907</w:t>
            </w:r>
          </w:p>
        </w:tc>
        <w:tc>
          <w:tcPr>
            <w:tcW w:type="dxa" w:w="1680"/>
            <w:vAlign w:val="center"/>
          </w:tcPr>
          <w:p>
            <w:r>
              <w:rPr>
                <w:sz w:val="17"/>
              </w:rPr>
            </w:r>
            <w:r>
              <w:rPr>
                <w:b w:val="0"/>
                <w:sz w:val="17"/>
              </w:rPr>
              <w:t>-$5,535.61</w:t>
            </w:r>
          </w:p>
        </w:tc>
      </w:tr>
      <w:tr>
        <w:tc>
          <w:tcPr>
            <w:tcW w:type="dxa" w:w="1680"/>
            <w:vAlign w:val="center"/>
          </w:tcPr>
          <w:p>
            <w:r>
              <w:rPr>
                <w:sz w:val="17"/>
              </w:rPr>
            </w:r>
            <w:r>
              <w:rPr>
                <w:b w:val="0"/>
                <w:sz w:val="17"/>
              </w:rPr>
              <w:t>Secondary back</w:t>
            </w:r>
          </w:p>
        </w:tc>
        <w:tc>
          <w:tcPr>
            <w:tcW w:type="dxa" w:w="1680"/>
            <w:vAlign w:val="center"/>
          </w:tcPr>
          <w:p>
            <w:r>
              <w:rPr>
                <w:sz w:val="17"/>
              </w:rPr>
            </w:r>
            <w:r>
              <w:rPr>
                <w:b w:val="0"/>
                <w:sz w:val="17"/>
              </w:rPr>
              <w:t>82</w:t>
            </w:r>
          </w:p>
        </w:tc>
        <w:tc>
          <w:tcPr>
            <w:tcW w:type="dxa" w:w="1680"/>
            <w:vAlign w:val="center"/>
          </w:tcPr>
          <w:p>
            <w:r>
              <w:rPr>
                <w:sz w:val="17"/>
              </w:rPr>
            </w:r>
            <w:r>
              <w:rPr>
                <w:b w:val="0"/>
                <w:sz w:val="17"/>
              </w:rPr>
              <w:t>78.05%</w:t>
            </w:r>
          </w:p>
        </w:tc>
        <w:tc>
          <w:tcPr>
            <w:tcW w:type="dxa" w:w="1680"/>
            <w:vAlign w:val="center"/>
          </w:tcPr>
          <w:p>
            <w:r>
              <w:rPr>
                <w:sz w:val="17"/>
              </w:rPr>
            </w:r>
            <w:r>
              <w:rPr>
                <w:b w:val="0"/>
                <w:sz w:val="17"/>
              </w:rPr>
              <w:t>$197.15</w:t>
            </w:r>
          </w:p>
        </w:tc>
        <w:tc>
          <w:tcPr>
            <w:tcW w:type="dxa" w:w="1680"/>
            <w:vAlign w:val="center"/>
          </w:tcPr>
          <w:p>
            <w:r>
              <w:rPr>
                <w:sz w:val="17"/>
              </w:rPr>
            </w:r>
            <w:r>
              <w:rPr>
                <w:b w:val="0"/>
                <w:sz w:val="17"/>
              </w:rPr>
              <w:t>$522,947</w:t>
            </w:r>
          </w:p>
        </w:tc>
        <w:tc>
          <w:tcPr>
            <w:tcW w:type="dxa" w:w="1680"/>
            <w:vAlign w:val="center"/>
          </w:tcPr>
          <w:p>
            <w:r>
              <w:rPr>
                <w:sz w:val="17"/>
              </w:rPr>
            </w:r>
            <w:r>
              <w:rPr>
                <w:b w:val="0"/>
                <w:sz w:val="17"/>
              </w:rPr>
              <w:t>-$2,512.37</w:t>
            </w:r>
          </w:p>
        </w:tc>
      </w:tr>
      <w:tr>
        <w:tc>
          <w:tcPr>
            <w:tcW w:type="dxa" w:w="1680"/>
            <w:vAlign w:val="center"/>
          </w:tcPr>
          <w:p>
            <w:r>
              <w:rPr>
                <w:sz w:val="17"/>
              </w:rPr>
            </w:r>
            <w:r>
              <w:rPr>
                <w:b w:val="0"/>
                <w:sz w:val="17"/>
              </w:rPr>
              <w:t>Secondary middle</w:t>
            </w:r>
          </w:p>
        </w:tc>
        <w:tc>
          <w:tcPr>
            <w:tcW w:type="dxa" w:w="1680"/>
            <w:vAlign w:val="center"/>
          </w:tcPr>
          <w:p>
            <w:r>
              <w:rPr>
                <w:sz w:val="17"/>
              </w:rPr>
            </w:r>
            <w:r>
              <w:rPr>
                <w:b w:val="0"/>
                <w:sz w:val="17"/>
              </w:rPr>
              <w:t>10</w:t>
            </w:r>
          </w:p>
        </w:tc>
        <w:tc>
          <w:tcPr>
            <w:tcW w:type="dxa" w:w="1680"/>
            <w:vAlign w:val="center"/>
          </w:tcPr>
          <w:p>
            <w:r>
              <w:rPr>
                <w:sz w:val="17"/>
              </w:rPr>
            </w:r>
            <w:r>
              <w:rPr>
                <w:b w:val="0"/>
                <w:sz w:val="17"/>
              </w:rPr>
              <w:t>80.00%</w:t>
            </w:r>
          </w:p>
        </w:tc>
        <w:tc>
          <w:tcPr>
            <w:tcW w:type="dxa" w:w="1680"/>
            <w:vAlign w:val="center"/>
          </w:tcPr>
          <w:p>
            <w:r>
              <w:rPr>
                <w:sz w:val="17"/>
              </w:rPr>
            </w:r>
            <w:r>
              <w:rPr>
                <w:b w:val="0"/>
                <w:sz w:val="17"/>
              </w:rPr>
              <w:t>$239.42</w:t>
            </w:r>
          </w:p>
        </w:tc>
        <w:tc>
          <w:tcPr>
            <w:tcW w:type="dxa" w:w="1680"/>
            <w:vAlign w:val="center"/>
          </w:tcPr>
          <w:p>
            <w:r>
              <w:rPr>
                <w:sz w:val="17"/>
              </w:rPr>
            </w:r>
            <w:r>
              <w:rPr>
                <w:b w:val="0"/>
                <w:sz w:val="17"/>
              </w:rPr>
              <w:t>$49,325</w:t>
            </w:r>
          </w:p>
        </w:tc>
        <w:tc>
          <w:tcPr>
            <w:tcW w:type="dxa" w:w="1680"/>
            <w:vAlign w:val="center"/>
          </w:tcPr>
          <w:p>
            <w:r>
              <w:rPr>
                <w:sz w:val="17"/>
              </w:rPr>
            </w:r>
            <w:r>
              <w:rPr>
                <w:b w:val="0"/>
                <w:sz w:val="17"/>
              </w:rPr>
              <w:t>-$1,714.23</w:t>
            </w:r>
          </w:p>
        </w:tc>
      </w:tr>
      <w:tr>
        <w:tc>
          <w:tcPr>
            <w:tcW w:type="dxa" w:w="1680"/>
            <w:vAlign w:val="center"/>
          </w:tcPr>
          <w:p>
            <w:r>
              <w:rPr>
                <w:sz w:val="17"/>
              </w:rPr>
            </w:r>
            <w:r>
              <w:rPr>
                <w:b w:val="0"/>
                <w:sz w:val="17"/>
              </w:rPr>
              <w:t>Secondary front</w:t>
            </w:r>
          </w:p>
        </w:tc>
        <w:tc>
          <w:tcPr>
            <w:tcW w:type="dxa" w:w="1680"/>
            <w:vAlign w:val="center"/>
          </w:tcPr>
          <w:p>
            <w:r>
              <w:rPr>
                <w:sz w:val="17"/>
              </w:rPr>
            </w:r>
            <w:r>
              <w:rPr>
                <w:b w:val="0"/>
                <w:sz w:val="17"/>
              </w:rPr>
              <w:t>99</w:t>
            </w:r>
          </w:p>
        </w:tc>
        <w:tc>
          <w:tcPr>
            <w:tcW w:type="dxa" w:w="1680"/>
            <w:vAlign w:val="center"/>
          </w:tcPr>
          <w:p>
            <w:r>
              <w:rPr>
                <w:sz w:val="17"/>
              </w:rPr>
            </w:r>
            <w:r>
              <w:rPr>
                <w:b w:val="0"/>
                <w:sz w:val="17"/>
              </w:rPr>
              <w:t>76.77%</w:t>
            </w:r>
          </w:p>
        </w:tc>
        <w:tc>
          <w:tcPr>
            <w:tcW w:type="dxa" w:w="1680"/>
            <w:vAlign w:val="center"/>
          </w:tcPr>
          <w:p>
            <w:r>
              <w:rPr>
                <w:sz w:val="17"/>
              </w:rPr>
            </w:r>
            <w:r>
              <w:rPr>
                <w:b w:val="0"/>
                <w:sz w:val="17"/>
              </w:rPr>
              <w:t>$328.23</w:t>
            </w:r>
          </w:p>
        </w:tc>
        <w:tc>
          <w:tcPr>
            <w:tcW w:type="dxa" w:w="1680"/>
            <w:vAlign w:val="center"/>
          </w:tcPr>
          <w:p>
            <w:r>
              <w:rPr>
                <w:sz w:val="17"/>
              </w:rPr>
            </w:r>
            <w:r>
              <w:rPr>
                <w:b w:val="0"/>
                <w:sz w:val="17"/>
              </w:rPr>
              <w:t>$350,887</w:t>
            </w:r>
          </w:p>
        </w:tc>
        <w:tc>
          <w:tcPr>
            <w:tcW w:type="dxa" w:w="1680"/>
            <w:vAlign w:val="center"/>
          </w:tcPr>
          <w:p>
            <w:r>
              <w:rPr>
                <w:sz w:val="17"/>
              </w:rPr>
            </w:r>
            <w:r>
              <w:rPr>
                <w:b w:val="0"/>
                <w:sz w:val="17"/>
              </w:rPr>
              <w:t>-$2,958.02</w:t>
            </w:r>
          </w:p>
        </w:tc>
      </w:tr>
    </w:tbl>
    <w:p/>
    <w:p>
      <w:pPr>
        <w:pStyle w:val="Heading1"/>
      </w:pPr>
      <w:r>
        <w:t>7. Per-trade sizing process</w:t>
      </w:r>
    </w:p>
    <w:p>
      <w:r>
        <w:t>Sizing was treated as a separate problem from signal selection. The objective was to assign a max-risk fraction to each layer x tenor group using average P&amp;L/day and left-tail behavior. The final sizing is not a portfolio exposure cap and does not attempt to solve overlapping trade concentration. Portfolio overlap and hedging are separate layers.</w:t>
      </w:r>
    </w:p>
    <w:p>
      <w:pPr>
        <w:pStyle w:val="ListBullet"/>
      </w:pPr>
      <w:r>
        <w:t>The early manual schedule grouped Secondary together and sized Core back higher than Core middle, with Core front and Secondary lower.</w:t>
      </w:r>
    </w:p>
    <w:p>
      <w:pPr>
        <w:pStyle w:val="ListBullet"/>
      </w:pPr>
      <w:r>
        <w:t>A constrained optimizer initially supported high Core back, high Core middle, a cut to Core front, and an increase in Secondary.</w:t>
      </w:r>
    </w:p>
    <w:p>
      <w:pPr>
        <w:pStyle w:val="ListBullet"/>
      </w:pPr>
      <w:r>
        <w:t>A per-trade validation pass then tested whether the optimized sizing remained near-optimal under multiple objective definitions and month/bootstrap perturbations.</w:t>
      </w:r>
    </w:p>
    <w:p>
      <w:pPr>
        <w:pStyle w:val="ListBullet"/>
      </w:pPr>
      <w:r>
        <w:t>Core sizing was locked first because the evidence was stable: Core back max size, Core middle near max, Core front heavily haircut for left-tail risk.</w:t>
      </w:r>
    </w:p>
    <w:p>
      <w:pPr>
        <w:pStyle w:val="ListBullet"/>
      </w:pPr>
      <w:r>
        <w:t>Secondary was then retested separately to determine whether it should stay flat or be split by tenor. The split was supported, but Secondary middle was not allowed to overfit because it only had 10 observations.</w:t>
      </w:r>
    </w:p>
    <w:p>
      <w:pPr>
        <w:pStyle w:val="Heading2"/>
      </w:pPr>
      <w:r>
        <w:t>7.1 Core sizing validation</w:t>
      </w:r>
    </w:p>
    <w:p>
      <w:r>
        <w:t>The validation grid compared 54,751 candidate schedules. The previously optimized schedule ranked 707th, far ahead of the manual baseline at 23,359th. The top schedules clustered around Core back at 5.00%, Core middle near 4.75%-4.95%, Core front around 1.3%-2.0%, and Secondary around 2.85%-3.50%. This supported locking Core at 5.00%, 4.85%, and 1.75%.</w:t>
      </w:r>
    </w:p>
    <w:p>
      <w:pPr>
        <w:pStyle w:val="Heading2"/>
      </w:pPr>
      <w:r>
        <w:t>7.2 Secondary tenor split validation</w:t>
      </w:r>
    </w:p>
    <w:p>
      <w:r>
        <w:t>After locking Core, Secondary was tested as either one flat size or three tenor-specific sizes. The best practical split ranked 13th out of 7,240 schedules, while the flat 3.25% Secondary schedule ranked 1,767th. The fully free split ranked first, but it adjusted Secondary middle using only 10 trades, so the practical split was preferred.</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sz w:val="17"/>
              </w:rPr>
            </w:r>
            <w:r>
              <w:rPr>
                <w:b/>
                <w:sz w:val="17"/>
              </w:rPr>
              <w:t>Secondary test</w:t>
            </w:r>
          </w:p>
        </w:tc>
        <w:tc>
          <w:tcPr>
            <w:tcW w:type="dxa" w:w="1680"/>
            <w:vAlign w:val="center"/>
            <w:shd w:fill="D9EAF7"/>
          </w:tcPr>
          <w:p>
            <w:r>
              <w:rPr>
                <w:sz w:val="17"/>
              </w:rPr>
            </w:r>
            <w:r>
              <w:rPr>
                <w:b/>
                <w:sz w:val="17"/>
              </w:rPr>
              <w:t>Rank</w:t>
            </w:r>
          </w:p>
        </w:tc>
        <w:tc>
          <w:tcPr>
            <w:tcW w:type="dxa" w:w="1680"/>
            <w:vAlign w:val="center"/>
            <w:shd w:fill="D9EAF7"/>
          </w:tcPr>
          <w:p>
            <w:r>
              <w:rPr>
                <w:sz w:val="17"/>
              </w:rPr>
            </w:r>
            <w:r>
              <w:rPr>
                <w:b/>
                <w:sz w:val="17"/>
              </w:rPr>
              <w:t>Sec front</w:t>
            </w:r>
          </w:p>
        </w:tc>
        <w:tc>
          <w:tcPr>
            <w:tcW w:type="dxa" w:w="1680"/>
            <w:vAlign w:val="center"/>
            <w:shd w:fill="D9EAF7"/>
          </w:tcPr>
          <w:p>
            <w:r>
              <w:rPr>
                <w:sz w:val="17"/>
              </w:rPr>
            </w:r>
            <w:r>
              <w:rPr>
                <w:b/>
                <w:sz w:val="17"/>
              </w:rPr>
              <w:t>Sec middle</w:t>
            </w:r>
          </w:p>
        </w:tc>
        <w:tc>
          <w:tcPr>
            <w:tcW w:type="dxa" w:w="1680"/>
            <w:vAlign w:val="center"/>
            <w:shd w:fill="D9EAF7"/>
          </w:tcPr>
          <w:p>
            <w:r>
              <w:rPr>
                <w:sz w:val="17"/>
              </w:rPr>
            </w:r>
            <w:r>
              <w:rPr>
                <w:b/>
                <w:sz w:val="17"/>
              </w:rPr>
              <w:t>Sec back</w:t>
            </w:r>
          </w:p>
        </w:tc>
        <w:tc>
          <w:tcPr>
            <w:tcW w:type="dxa" w:w="1680"/>
            <w:vAlign w:val="center"/>
            <w:shd w:fill="D9EAF7"/>
          </w:tcPr>
          <w:p>
            <w:r>
              <w:rPr>
                <w:sz w:val="17"/>
              </w:rPr>
            </w:r>
            <w:r>
              <w:rPr>
                <w:b/>
                <w:sz w:val="17"/>
              </w:rPr>
              <w:t>Interpretation</w:t>
            </w:r>
          </w:p>
        </w:tc>
      </w:tr>
      <w:tr>
        <w:tc>
          <w:tcPr>
            <w:tcW w:type="dxa" w:w="1680"/>
            <w:vAlign w:val="center"/>
          </w:tcPr>
          <w:p>
            <w:r>
              <w:rPr>
                <w:sz w:val="17"/>
              </w:rPr>
            </w:r>
            <w:r>
              <w:rPr>
                <w:b w:val="0"/>
                <w:sz w:val="17"/>
              </w:rPr>
              <w:t>Fully free split</w:t>
            </w:r>
          </w:p>
        </w:tc>
        <w:tc>
          <w:tcPr>
            <w:tcW w:type="dxa" w:w="1680"/>
            <w:vAlign w:val="center"/>
          </w:tcPr>
          <w:p>
            <w:r>
              <w:rPr>
                <w:sz w:val="17"/>
              </w:rPr>
            </w:r>
            <w:r>
              <w:rPr>
                <w:b w:val="0"/>
                <w:sz w:val="17"/>
              </w:rPr>
              <w:t>1 / 7,240</w:t>
            </w:r>
          </w:p>
        </w:tc>
        <w:tc>
          <w:tcPr>
            <w:tcW w:type="dxa" w:w="1680"/>
            <w:vAlign w:val="center"/>
          </w:tcPr>
          <w:p>
            <w:r>
              <w:rPr>
                <w:sz w:val="17"/>
              </w:rPr>
            </w:r>
            <w:r>
              <w:rPr>
                <w:b w:val="0"/>
                <w:sz w:val="17"/>
              </w:rPr>
              <w:t>1.75%</w:t>
            </w:r>
          </w:p>
        </w:tc>
        <w:tc>
          <w:tcPr>
            <w:tcW w:type="dxa" w:w="1680"/>
            <w:vAlign w:val="center"/>
          </w:tcPr>
          <w:p>
            <w:r>
              <w:rPr>
                <w:sz w:val="17"/>
              </w:rPr>
            </w:r>
            <w:r>
              <w:rPr>
                <w:b w:val="0"/>
                <w:sz w:val="17"/>
              </w:rPr>
              <w:t>2.75%</w:t>
            </w:r>
          </w:p>
        </w:tc>
        <w:tc>
          <w:tcPr>
            <w:tcW w:type="dxa" w:w="1680"/>
            <w:vAlign w:val="center"/>
          </w:tcPr>
          <w:p>
            <w:r>
              <w:rPr>
                <w:sz w:val="17"/>
              </w:rPr>
            </w:r>
            <w:r>
              <w:rPr>
                <w:b w:val="0"/>
                <w:sz w:val="17"/>
              </w:rPr>
              <w:t>4.50%</w:t>
            </w:r>
          </w:p>
        </w:tc>
        <w:tc>
          <w:tcPr>
            <w:tcW w:type="dxa" w:w="1680"/>
            <w:vAlign w:val="center"/>
          </w:tcPr>
          <w:p>
            <w:r>
              <w:rPr>
                <w:sz w:val="17"/>
              </w:rPr>
            </w:r>
            <w:r>
              <w:rPr>
                <w:b w:val="0"/>
                <w:sz w:val="17"/>
              </w:rPr>
              <w:t>Best numerical result, but too much reliance on tiny Secondary middle sample.</w:t>
            </w:r>
          </w:p>
        </w:tc>
      </w:tr>
      <w:tr>
        <w:tc>
          <w:tcPr>
            <w:tcW w:type="dxa" w:w="1680"/>
            <w:vAlign w:val="center"/>
          </w:tcPr>
          <w:p>
            <w:r>
              <w:rPr>
                <w:sz w:val="17"/>
              </w:rPr>
            </w:r>
            <w:r>
              <w:rPr>
                <w:b w:val="0"/>
                <w:sz w:val="17"/>
              </w:rPr>
              <w:t>Practical split</w:t>
            </w:r>
          </w:p>
        </w:tc>
        <w:tc>
          <w:tcPr>
            <w:tcW w:type="dxa" w:w="1680"/>
            <w:vAlign w:val="center"/>
          </w:tcPr>
          <w:p>
            <w:r>
              <w:rPr>
                <w:sz w:val="17"/>
              </w:rPr>
            </w:r>
            <w:r>
              <w:rPr>
                <w:b w:val="0"/>
                <w:sz w:val="17"/>
              </w:rPr>
              <w:t>13 / 7,240</w:t>
            </w:r>
          </w:p>
        </w:tc>
        <w:tc>
          <w:tcPr>
            <w:tcW w:type="dxa" w:w="1680"/>
            <w:vAlign w:val="center"/>
          </w:tcPr>
          <w:p>
            <w:r>
              <w:rPr>
                <w:sz w:val="17"/>
              </w:rPr>
            </w:r>
            <w:r>
              <w:rPr>
                <w:b w:val="0"/>
                <w:sz w:val="17"/>
              </w:rPr>
              <w:t>1.75%</w:t>
            </w:r>
          </w:p>
        </w:tc>
        <w:tc>
          <w:tcPr>
            <w:tcW w:type="dxa" w:w="1680"/>
            <w:vAlign w:val="center"/>
          </w:tcPr>
          <w:p>
            <w:r>
              <w:rPr>
                <w:sz w:val="17"/>
              </w:rPr>
            </w:r>
            <w:r>
              <w:rPr>
                <w:b w:val="0"/>
                <w:sz w:val="17"/>
              </w:rPr>
              <w:t>3.25%</w:t>
            </w:r>
          </w:p>
        </w:tc>
        <w:tc>
          <w:tcPr>
            <w:tcW w:type="dxa" w:w="1680"/>
            <w:vAlign w:val="center"/>
          </w:tcPr>
          <w:p>
            <w:r>
              <w:rPr>
                <w:sz w:val="17"/>
              </w:rPr>
            </w:r>
            <w:r>
              <w:rPr>
                <w:b w:val="0"/>
                <w:sz w:val="17"/>
              </w:rPr>
              <w:t>4.50%</w:t>
            </w:r>
          </w:p>
        </w:tc>
        <w:tc>
          <w:tcPr>
            <w:tcW w:type="dxa" w:w="1680"/>
            <w:vAlign w:val="center"/>
          </w:tcPr>
          <w:p>
            <w:r>
              <w:rPr>
                <w:sz w:val="17"/>
              </w:rPr>
            </w:r>
            <w:r>
              <w:rPr>
                <w:b w:val="0"/>
                <w:sz w:val="17"/>
              </w:rPr>
              <w:t>Preferred final result; keeps Secondary middle neutral.</w:t>
            </w:r>
          </w:p>
        </w:tc>
      </w:tr>
      <w:tr>
        <w:tc>
          <w:tcPr>
            <w:tcW w:type="dxa" w:w="1680"/>
            <w:vAlign w:val="center"/>
          </w:tcPr>
          <w:p>
            <w:r>
              <w:rPr>
                <w:sz w:val="17"/>
              </w:rPr>
            </w:r>
            <w:r>
              <w:rPr>
                <w:b w:val="0"/>
                <w:sz w:val="17"/>
              </w:rPr>
              <w:t>Flat Secondary 3.25%</w:t>
            </w:r>
          </w:p>
        </w:tc>
        <w:tc>
          <w:tcPr>
            <w:tcW w:type="dxa" w:w="1680"/>
            <w:vAlign w:val="center"/>
          </w:tcPr>
          <w:p>
            <w:r>
              <w:rPr>
                <w:sz w:val="17"/>
              </w:rPr>
            </w:r>
            <w:r>
              <w:rPr>
                <w:b w:val="0"/>
                <w:sz w:val="17"/>
              </w:rPr>
              <w:t>1,767 / 7,240</w:t>
            </w:r>
          </w:p>
        </w:tc>
        <w:tc>
          <w:tcPr>
            <w:tcW w:type="dxa" w:w="1680"/>
            <w:vAlign w:val="center"/>
          </w:tcPr>
          <w:p>
            <w:r>
              <w:rPr>
                <w:sz w:val="17"/>
              </w:rPr>
            </w:r>
            <w:r>
              <w:rPr>
                <w:b w:val="0"/>
                <w:sz w:val="17"/>
              </w:rPr>
              <w:t>3.25%</w:t>
            </w:r>
          </w:p>
        </w:tc>
        <w:tc>
          <w:tcPr>
            <w:tcW w:type="dxa" w:w="1680"/>
            <w:vAlign w:val="center"/>
          </w:tcPr>
          <w:p>
            <w:r>
              <w:rPr>
                <w:sz w:val="17"/>
              </w:rPr>
            </w:r>
            <w:r>
              <w:rPr>
                <w:b w:val="0"/>
                <w:sz w:val="17"/>
              </w:rPr>
              <w:t>3.25%</w:t>
            </w:r>
          </w:p>
        </w:tc>
        <w:tc>
          <w:tcPr>
            <w:tcW w:type="dxa" w:w="1680"/>
            <w:vAlign w:val="center"/>
          </w:tcPr>
          <w:p>
            <w:r>
              <w:rPr>
                <w:sz w:val="17"/>
              </w:rPr>
            </w:r>
            <w:r>
              <w:rPr>
                <w:b w:val="0"/>
                <w:sz w:val="17"/>
              </w:rPr>
              <w:t>3.25%</w:t>
            </w:r>
          </w:p>
        </w:tc>
        <w:tc>
          <w:tcPr>
            <w:tcW w:type="dxa" w:w="1680"/>
            <w:vAlign w:val="center"/>
          </w:tcPr>
          <w:p>
            <w:r>
              <w:rPr>
                <w:sz w:val="17"/>
              </w:rPr>
            </w:r>
            <w:r>
              <w:rPr>
                <w:b w:val="0"/>
                <w:sz w:val="17"/>
              </w:rPr>
              <w:t>Simple but inferior to tenor split.</w:t>
            </w:r>
          </w:p>
        </w:tc>
      </w:tr>
    </w:tbl>
    <w:p/>
    <w:p>
      <w:pPr>
        <w:pStyle w:val="Heading2"/>
      </w:pPr>
      <w:r>
        <w:t>7.3 Final locked per-trade sizing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sz w:val="17"/>
              </w:rPr>
            </w:r>
            <w:r>
              <w:rPr>
                <w:b/>
                <w:sz w:val="17"/>
              </w:rPr>
              <w:t>Group</w:t>
            </w:r>
          </w:p>
        </w:tc>
        <w:tc>
          <w:tcPr>
            <w:tcW w:type="dxa" w:w="3360"/>
            <w:vAlign w:val="center"/>
            <w:shd w:fill="D9EAF7"/>
          </w:tcPr>
          <w:p>
            <w:r>
              <w:rPr>
                <w:sz w:val="17"/>
              </w:rPr>
            </w:r>
            <w:r>
              <w:rPr>
                <w:b/>
                <w:sz w:val="17"/>
              </w:rPr>
              <w:t>Max-risk fraction</w:t>
            </w:r>
          </w:p>
        </w:tc>
        <w:tc>
          <w:tcPr>
            <w:tcW w:type="dxa" w:w="3360"/>
            <w:vAlign w:val="center"/>
            <w:shd w:fill="D9EAF7"/>
          </w:tcPr>
          <w:p>
            <w:r>
              <w:rPr>
                <w:sz w:val="17"/>
              </w:rPr>
            </w:r>
            <w:r>
              <w:rPr>
                <w:b/>
                <w:sz w:val="17"/>
              </w:rPr>
              <w:t>Max risk on $1mm NAV</w:t>
            </w:r>
          </w:p>
        </w:tc>
      </w:tr>
      <w:tr>
        <w:tc>
          <w:tcPr>
            <w:tcW w:type="dxa" w:w="3360"/>
            <w:vAlign w:val="center"/>
          </w:tcPr>
          <w:p>
            <w:r>
              <w:rPr>
                <w:sz w:val="17"/>
              </w:rPr>
            </w:r>
            <w:r>
              <w:rPr>
                <w:b w:val="0"/>
                <w:sz w:val="17"/>
              </w:rPr>
              <w:t>Core back</w:t>
            </w:r>
          </w:p>
        </w:tc>
        <w:tc>
          <w:tcPr>
            <w:tcW w:type="dxa" w:w="3360"/>
            <w:vAlign w:val="center"/>
          </w:tcPr>
          <w:p>
            <w:r>
              <w:rPr>
                <w:sz w:val="17"/>
              </w:rPr>
            </w:r>
            <w:r>
              <w:rPr>
                <w:b w:val="0"/>
                <w:sz w:val="17"/>
              </w:rPr>
              <w:t>5.00%</w:t>
            </w:r>
          </w:p>
        </w:tc>
        <w:tc>
          <w:tcPr>
            <w:tcW w:type="dxa" w:w="3360"/>
            <w:vAlign w:val="center"/>
          </w:tcPr>
          <w:p>
            <w:r>
              <w:rPr>
                <w:sz w:val="17"/>
              </w:rPr>
            </w:r>
            <w:r>
              <w:rPr>
                <w:b w:val="0"/>
                <w:sz w:val="17"/>
              </w:rPr>
              <w:t>$50,000</w:t>
            </w:r>
          </w:p>
        </w:tc>
      </w:tr>
      <w:tr>
        <w:tc>
          <w:tcPr>
            <w:tcW w:type="dxa" w:w="3360"/>
            <w:vAlign w:val="center"/>
          </w:tcPr>
          <w:p>
            <w:r>
              <w:rPr>
                <w:sz w:val="17"/>
              </w:rPr>
            </w:r>
            <w:r>
              <w:rPr>
                <w:b w:val="0"/>
                <w:sz w:val="17"/>
              </w:rPr>
              <w:t>Core middle</w:t>
            </w:r>
          </w:p>
        </w:tc>
        <w:tc>
          <w:tcPr>
            <w:tcW w:type="dxa" w:w="3360"/>
            <w:vAlign w:val="center"/>
          </w:tcPr>
          <w:p>
            <w:r>
              <w:rPr>
                <w:sz w:val="17"/>
              </w:rPr>
            </w:r>
            <w:r>
              <w:rPr>
                <w:b w:val="0"/>
                <w:sz w:val="17"/>
              </w:rPr>
              <w:t>4.85%</w:t>
            </w:r>
          </w:p>
        </w:tc>
        <w:tc>
          <w:tcPr>
            <w:tcW w:type="dxa" w:w="3360"/>
            <w:vAlign w:val="center"/>
          </w:tcPr>
          <w:p>
            <w:r>
              <w:rPr>
                <w:sz w:val="17"/>
              </w:rPr>
            </w:r>
            <w:r>
              <w:rPr>
                <w:b w:val="0"/>
                <w:sz w:val="17"/>
              </w:rPr>
              <w:t>$48,500</w:t>
            </w:r>
          </w:p>
        </w:tc>
      </w:tr>
      <w:tr>
        <w:tc>
          <w:tcPr>
            <w:tcW w:type="dxa" w:w="3360"/>
            <w:vAlign w:val="center"/>
          </w:tcPr>
          <w:p>
            <w:r>
              <w:rPr>
                <w:sz w:val="17"/>
              </w:rPr>
            </w:r>
            <w:r>
              <w:rPr>
                <w:b w:val="0"/>
                <w:sz w:val="17"/>
              </w:rPr>
              <w:t>Core front</w:t>
            </w:r>
          </w:p>
        </w:tc>
        <w:tc>
          <w:tcPr>
            <w:tcW w:type="dxa" w:w="3360"/>
            <w:vAlign w:val="center"/>
          </w:tcPr>
          <w:p>
            <w:r>
              <w:rPr>
                <w:sz w:val="17"/>
              </w:rPr>
            </w:r>
            <w:r>
              <w:rPr>
                <w:b w:val="0"/>
                <w:sz w:val="17"/>
              </w:rPr>
              <w:t>1.75%</w:t>
            </w:r>
          </w:p>
        </w:tc>
        <w:tc>
          <w:tcPr>
            <w:tcW w:type="dxa" w:w="3360"/>
            <w:vAlign w:val="center"/>
          </w:tcPr>
          <w:p>
            <w:r>
              <w:rPr>
                <w:sz w:val="17"/>
              </w:rPr>
            </w:r>
            <w:r>
              <w:rPr>
                <w:b w:val="0"/>
                <w:sz w:val="17"/>
              </w:rPr>
              <w:t>$17,500</w:t>
            </w:r>
          </w:p>
        </w:tc>
      </w:tr>
      <w:tr>
        <w:tc>
          <w:tcPr>
            <w:tcW w:type="dxa" w:w="3360"/>
            <w:vAlign w:val="center"/>
          </w:tcPr>
          <w:p>
            <w:r>
              <w:rPr>
                <w:sz w:val="17"/>
              </w:rPr>
            </w:r>
            <w:r>
              <w:rPr>
                <w:b w:val="0"/>
                <w:sz w:val="17"/>
              </w:rPr>
              <w:t>Secondary back</w:t>
            </w:r>
          </w:p>
        </w:tc>
        <w:tc>
          <w:tcPr>
            <w:tcW w:type="dxa" w:w="3360"/>
            <w:vAlign w:val="center"/>
          </w:tcPr>
          <w:p>
            <w:r>
              <w:rPr>
                <w:sz w:val="17"/>
              </w:rPr>
            </w:r>
            <w:r>
              <w:rPr>
                <w:b w:val="0"/>
                <w:sz w:val="17"/>
              </w:rPr>
              <w:t>4.50%</w:t>
            </w:r>
          </w:p>
        </w:tc>
        <w:tc>
          <w:tcPr>
            <w:tcW w:type="dxa" w:w="3360"/>
            <w:vAlign w:val="center"/>
          </w:tcPr>
          <w:p>
            <w:r>
              <w:rPr>
                <w:sz w:val="17"/>
              </w:rPr>
            </w:r>
            <w:r>
              <w:rPr>
                <w:b w:val="0"/>
                <w:sz w:val="17"/>
              </w:rPr>
              <w:t>$45,000</w:t>
            </w:r>
          </w:p>
        </w:tc>
      </w:tr>
      <w:tr>
        <w:tc>
          <w:tcPr>
            <w:tcW w:type="dxa" w:w="3360"/>
            <w:vAlign w:val="center"/>
          </w:tcPr>
          <w:p>
            <w:r>
              <w:rPr>
                <w:sz w:val="17"/>
              </w:rPr>
            </w:r>
            <w:r>
              <w:rPr>
                <w:b w:val="0"/>
                <w:sz w:val="17"/>
              </w:rPr>
              <w:t>Secondary middle</w:t>
            </w:r>
          </w:p>
        </w:tc>
        <w:tc>
          <w:tcPr>
            <w:tcW w:type="dxa" w:w="3360"/>
            <w:vAlign w:val="center"/>
          </w:tcPr>
          <w:p>
            <w:r>
              <w:rPr>
                <w:sz w:val="17"/>
              </w:rPr>
            </w:r>
            <w:r>
              <w:rPr>
                <w:b w:val="0"/>
                <w:sz w:val="17"/>
              </w:rPr>
              <w:t>3.25%</w:t>
            </w:r>
          </w:p>
        </w:tc>
        <w:tc>
          <w:tcPr>
            <w:tcW w:type="dxa" w:w="3360"/>
            <w:vAlign w:val="center"/>
          </w:tcPr>
          <w:p>
            <w:r>
              <w:rPr>
                <w:sz w:val="17"/>
              </w:rPr>
            </w:r>
            <w:r>
              <w:rPr>
                <w:b w:val="0"/>
                <w:sz w:val="17"/>
              </w:rPr>
              <w:t>$32,500</w:t>
            </w:r>
          </w:p>
        </w:tc>
      </w:tr>
      <w:tr>
        <w:tc>
          <w:tcPr>
            <w:tcW w:type="dxa" w:w="3360"/>
            <w:vAlign w:val="center"/>
          </w:tcPr>
          <w:p>
            <w:r>
              <w:rPr>
                <w:sz w:val="17"/>
              </w:rPr>
            </w:r>
            <w:r>
              <w:rPr>
                <w:b w:val="0"/>
                <w:sz w:val="17"/>
              </w:rPr>
              <w:t>Secondary front</w:t>
            </w:r>
          </w:p>
        </w:tc>
        <w:tc>
          <w:tcPr>
            <w:tcW w:type="dxa" w:w="3360"/>
            <w:vAlign w:val="center"/>
          </w:tcPr>
          <w:p>
            <w:r>
              <w:rPr>
                <w:sz w:val="17"/>
              </w:rPr>
            </w:r>
            <w:r>
              <w:rPr>
                <w:b w:val="0"/>
                <w:sz w:val="17"/>
              </w:rPr>
              <w:t>1.75%</w:t>
            </w:r>
          </w:p>
        </w:tc>
        <w:tc>
          <w:tcPr>
            <w:tcW w:type="dxa" w:w="3360"/>
            <w:vAlign w:val="center"/>
          </w:tcPr>
          <w:p>
            <w:r>
              <w:rPr>
                <w:sz w:val="17"/>
              </w:rPr>
            </w:r>
            <w:r>
              <w:rPr>
                <w:b w:val="0"/>
                <w:sz w:val="17"/>
              </w:rPr>
              <w:t>$17,500</w:t>
            </w:r>
          </w:p>
        </w:tc>
      </w:tr>
    </w:tbl>
    <w:p/>
    <w:p>
      <w:pPr>
        <w:pStyle w:val="Heading1"/>
      </w:pPr>
      <w:r>
        <w:t>8. Final constant $1mm NAV P&amp;L results</w:t>
      </w:r>
    </w:p>
    <w:p>
      <w:r>
        <w:t>The final notebook adds a constant-NAV reporting layer. Every trade is sized as if NAV is always $1,000,000. There is no compounding and no reduction after losses. This makes the final cumulative P&amp;L chart a fixed-risk historical 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sz w:val="17"/>
              </w:rPr>
            </w:r>
            <w:r>
              <w:rPr>
                <w:b/>
                <w:sz w:val="17"/>
              </w:rPr>
              <w:t>Metric</w:t>
            </w:r>
          </w:p>
        </w:tc>
        <w:tc>
          <w:tcPr>
            <w:tcW w:type="dxa" w:w="5040"/>
            <w:vAlign w:val="center"/>
            <w:shd w:fill="D9EAF7"/>
          </w:tcPr>
          <w:p>
            <w:r>
              <w:rPr>
                <w:sz w:val="17"/>
              </w:rPr>
            </w:r>
            <w:r>
              <w:rPr>
                <w:b/>
                <w:sz w:val="17"/>
              </w:rPr>
              <w:t>Value</w:t>
            </w:r>
          </w:p>
        </w:tc>
      </w:tr>
      <w:tr>
        <w:tc>
          <w:tcPr>
            <w:tcW w:type="dxa" w:w="5040"/>
            <w:vAlign w:val="center"/>
          </w:tcPr>
          <w:p>
            <w:r>
              <w:rPr>
                <w:sz w:val="17"/>
              </w:rPr>
            </w:r>
            <w:r>
              <w:rPr>
                <w:b w:val="0"/>
                <w:sz w:val="17"/>
              </w:rPr>
              <w:t>Trades</w:t>
            </w:r>
          </w:p>
        </w:tc>
        <w:tc>
          <w:tcPr>
            <w:tcW w:type="dxa" w:w="5040"/>
            <w:vAlign w:val="center"/>
          </w:tcPr>
          <w:p>
            <w:r>
              <w:rPr>
                <w:sz w:val="17"/>
              </w:rPr>
            </w:r>
            <w:r>
              <w:rPr>
                <w:b w:val="0"/>
                <w:sz w:val="17"/>
              </w:rPr>
              <w:t>577</w:t>
            </w:r>
          </w:p>
        </w:tc>
      </w:tr>
      <w:tr>
        <w:tc>
          <w:tcPr>
            <w:tcW w:type="dxa" w:w="5040"/>
            <w:vAlign w:val="center"/>
          </w:tcPr>
          <w:p>
            <w:r>
              <w:rPr>
                <w:sz w:val="17"/>
              </w:rPr>
            </w:r>
            <w:r>
              <w:rPr>
                <w:b w:val="0"/>
                <w:sz w:val="17"/>
              </w:rPr>
              <w:t>Entry date range</w:t>
            </w:r>
          </w:p>
        </w:tc>
        <w:tc>
          <w:tcPr>
            <w:tcW w:type="dxa" w:w="5040"/>
            <w:vAlign w:val="center"/>
          </w:tcPr>
          <w:p>
            <w:r>
              <w:rPr>
                <w:sz w:val="17"/>
              </w:rPr>
            </w:r>
            <w:r>
              <w:rPr>
                <w:b w:val="0"/>
                <w:sz w:val="17"/>
              </w:rPr>
              <w:t>2019-07-17 to 2026-03-30</w:t>
            </w:r>
          </w:p>
        </w:tc>
      </w:tr>
      <w:tr>
        <w:tc>
          <w:tcPr>
            <w:tcW w:type="dxa" w:w="5040"/>
            <w:vAlign w:val="center"/>
          </w:tcPr>
          <w:p>
            <w:r>
              <w:rPr>
                <w:sz w:val="17"/>
              </w:rPr>
            </w:r>
            <w:r>
              <w:rPr>
                <w:b w:val="0"/>
                <w:sz w:val="17"/>
              </w:rPr>
              <w:t>Exit date range</w:t>
            </w:r>
          </w:p>
        </w:tc>
        <w:tc>
          <w:tcPr>
            <w:tcW w:type="dxa" w:w="5040"/>
            <w:vAlign w:val="center"/>
          </w:tcPr>
          <w:p>
            <w:r>
              <w:rPr>
                <w:sz w:val="17"/>
              </w:rPr>
            </w:r>
            <w:r>
              <w:rPr>
                <w:b w:val="0"/>
                <w:sz w:val="17"/>
              </w:rPr>
              <w:t>2019-08-02 to 2026-04-24</w:t>
            </w:r>
          </w:p>
        </w:tc>
      </w:tr>
      <w:tr>
        <w:tc>
          <w:tcPr>
            <w:tcW w:type="dxa" w:w="5040"/>
            <w:vAlign w:val="center"/>
          </w:tcPr>
          <w:p>
            <w:r>
              <w:rPr>
                <w:sz w:val="17"/>
              </w:rPr>
            </w:r>
            <w:r>
              <w:rPr>
                <w:b w:val="0"/>
                <w:sz w:val="17"/>
              </w:rPr>
              <w:t>Constant sizing NAV</w:t>
            </w:r>
          </w:p>
        </w:tc>
        <w:tc>
          <w:tcPr>
            <w:tcW w:type="dxa" w:w="5040"/>
            <w:vAlign w:val="center"/>
          </w:tcPr>
          <w:p>
            <w:r>
              <w:rPr>
                <w:sz w:val="17"/>
              </w:rPr>
            </w:r>
            <w:r>
              <w:rPr>
                <w:b w:val="0"/>
                <w:sz w:val="17"/>
              </w:rPr>
              <w:t>$1,000,000</w:t>
            </w:r>
          </w:p>
        </w:tc>
      </w:tr>
      <w:tr>
        <w:tc>
          <w:tcPr>
            <w:tcW w:type="dxa" w:w="5040"/>
            <w:vAlign w:val="center"/>
          </w:tcPr>
          <w:p>
            <w:r>
              <w:rPr>
                <w:sz w:val="17"/>
              </w:rPr>
            </w:r>
            <w:r>
              <w:rPr>
                <w:b w:val="0"/>
                <w:sz w:val="17"/>
              </w:rPr>
              <w:t>Total sized P&amp;L</w:t>
            </w:r>
          </w:p>
        </w:tc>
        <w:tc>
          <w:tcPr>
            <w:tcW w:type="dxa" w:w="5040"/>
            <w:vAlign w:val="center"/>
          </w:tcPr>
          <w:p>
            <w:r>
              <w:rPr>
                <w:sz w:val="17"/>
              </w:rPr>
            </w:r>
            <w:r>
              <w:rPr>
                <w:b w:val="0"/>
                <w:sz w:val="17"/>
              </w:rPr>
              <w:t>$2,126,453</w:t>
            </w:r>
          </w:p>
        </w:tc>
      </w:tr>
      <w:tr>
        <w:tc>
          <w:tcPr>
            <w:tcW w:type="dxa" w:w="5040"/>
            <w:vAlign w:val="center"/>
          </w:tcPr>
          <w:p>
            <w:r>
              <w:rPr>
                <w:sz w:val="17"/>
              </w:rPr>
            </w:r>
            <w:r>
              <w:rPr>
                <w:b w:val="0"/>
                <w:sz w:val="17"/>
              </w:rPr>
              <w:t>Total return on constant NAV</w:t>
            </w:r>
          </w:p>
        </w:tc>
        <w:tc>
          <w:tcPr>
            <w:tcW w:type="dxa" w:w="5040"/>
            <w:vAlign w:val="center"/>
          </w:tcPr>
          <w:p>
            <w:r>
              <w:rPr>
                <w:sz w:val="17"/>
              </w:rPr>
            </w:r>
            <w:r>
              <w:rPr>
                <w:b w:val="0"/>
                <w:sz w:val="17"/>
              </w:rPr>
              <w:t>212.65%</w:t>
            </w:r>
          </w:p>
        </w:tc>
      </w:tr>
      <w:tr>
        <w:tc>
          <w:tcPr>
            <w:tcW w:type="dxa" w:w="5040"/>
            <w:vAlign w:val="center"/>
          </w:tcPr>
          <w:p>
            <w:r>
              <w:rPr>
                <w:sz w:val="17"/>
              </w:rPr>
            </w:r>
            <w:r>
              <w:rPr>
                <w:b w:val="0"/>
                <w:sz w:val="17"/>
              </w:rPr>
              <w:t>Win rate</w:t>
            </w:r>
          </w:p>
        </w:tc>
        <w:tc>
          <w:tcPr>
            <w:tcW w:type="dxa" w:w="5040"/>
            <w:vAlign w:val="center"/>
          </w:tcPr>
          <w:p>
            <w:r>
              <w:rPr>
                <w:sz w:val="17"/>
              </w:rPr>
            </w:r>
            <w:r>
              <w:rPr>
                <w:b w:val="0"/>
                <w:sz w:val="17"/>
              </w:rPr>
              <w:t>83.19%</w:t>
            </w:r>
          </w:p>
        </w:tc>
      </w:tr>
      <w:tr>
        <w:tc>
          <w:tcPr>
            <w:tcW w:type="dxa" w:w="5040"/>
            <w:vAlign w:val="center"/>
          </w:tcPr>
          <w:p>
            <w:r>
              <w:rPr>
                <w:sz w:val="17"/>
              </w:rPr>
            </w:r>
            <w:r>
              <w:rPr>
                <w:b w:val="0"/>
                <w:sz w:val="17"/>
              </w:rPr>
              <w:t>Average trade P&amp;L</w:t>
            </w:r>
          </w:p>
        </w:tc>
        <w:tc>
          <w:tcPr>
            <w:tcW w:type="dxa" w:w="5040"/>
            <w:vAlign w:val="center"/>
          </w:tcPr>
          <w:p>
            <w:r>
              <w:rPr>
                <w:sz w:val="17"/>
              </w:rPr>
            </w:r>
            <w:r>
              <w:rPr>
                <w:b w:val="0"/>
                <w:sz w:val="17"/>
              </w:rPr>
              <w:t>$3,685</w:t>
            </w:r>
          </w:p>
        </w:tc>
      </w:tr>
      <w:tr>
        <w:tc>
          <w:tcPr>
            <w:tcW w:type="dxa" w:w="5040"/>
            <w:vAlign w:val="center"/>
          </w:tcPr>
          <w:p>
            <w:r>
              <w:rPr>
                <w:sz w:val="17"/>
              </w:rPr>
            </w:r>
            <w:r>
              <w:rPr>
                <w:b w:val="0"/>
                <w:sz w:val="17"/>
              </w:rPr>
              <w:t>Median trade P&amp;L</w:t>
            </w:r>
          </w:p>
        </w:tc>
        <w:tc>
          <w:tcPr>
            <w:tcW w:type="dxa" w:w="5040"/>
            <w:vAlign w:val="center"/>
          </w:tcPr>
          <w:p>
            <w:r>
              <w:rPr>
                <w:sz w:val="17"/>
              </w:rPr>
            </w:r>
            <w:r>
              <w:rPr>
                <w:b w:val="0"/>
                <w:sz w:val="17"/>
              </w:rPr>
              <w:t>$4,592</w:t>
            </w:r>
          </w:p>
        </w:tc>
      </w:tr>
      <w:tr>
        <w:tc>
          <w:tcPr>
            <w:tcW w:type="dxa" w:w="5040"/>
            <w:vAlign w:val="center"/>
          </w:tcPr>
          <w:p>
            <w:r>
              <w:rPr>
                <w:sz w:val="17"/>
              </w:rPr>
            </w:r>
            <w:r>
              <w:rPr>
                <w:b w:val="0"/>
                <w:sz w:val="17"/>
              </w:rPr>
              <w:t>Worst trade P&amp;L</w:t>
            </w:r>
          </w:p>
        </w:tc>
        <w:tc>
          <w:tcPr>
            <w:tcW w:type="dxa" w:w="5040"/>
            <w:vAlign w:val="center"/>
          </w:tcPr>
          <w:p>
            <w:r>
              <w:rPr>
                <w:sz w:val="17"/>
              </w:rPr>
            </w:r>
            <w:r>
              <w:rPr>
                <w:b w:val="0"/>
                <w:sz w:val="17"/>
              </w:rPr>
              <w:t>-$39,570</w:t>
            </w:r>
          </w:p>
        </w:tc>
      </w:tr>
      <w:tr>
        <w:tc>
          <w:tcPr>
            <w:tcW w:type="dxa" w:w="5040"/>
            <w:vAlign w:val="center"/>
          </w:tcPr>
          <w:p>
            <w:r>
              <w:rPr>
                <w:sz w:val="17"/>
              </w:rPr>
            </w:r>
            <w:r>
              <w:rPr>
                <w:b w:val="0"/>
                <w:sz w:val="17"/>
              </w:rPr>
              <w:t>Best trade P&amp;L</w:t>
            </w:r>
          </w:p>
        </w:tc>
        <w:tc>
          <w:tcPr>
            <w:tcW w:type="dxa" w:w="5040"/>
            <w:vAlign w:val="center"/>
          </w:tcPr>
          <w:p>
            <w:r>
              <w:rPr>
                <w:sz w:val="17"/>
              </w:rPr>
            </w:r>
            <w:r>
              <w:rPr>
                <w:b w:val="0"/>
                <w:sz w:val="17"/>
              </w:rPr>
              <w:t>$21,494</w:t>
            </w:r>
          </w:p>
        </w:tc>
      </w:tr>
      <w:tr>
        <w:tc>
          <w:tcPr>
            <w:tcW w:type="dxa" w:w="5040"/>
            <w:vAlign w:val="center"/>
          </w:tcPr>
          <w:p>
            <w:r>
              <w:rPr>
                <w:sz w:val="17"/>
              </w:rPr>
            </w:r>
            <w:r>
              <w:rPr>
                <w:b w:val="0"/>
                <w:sz w:val="17"/>
              </w:rPr>
              <w:t>Max drawdown</w:t>
            </w:r>
          </w:p>
        </w:tc>
        <w:tc>
          <w:tcPr>
            <w:tcW w:type="dxa" w:w="5040"/>
            <w:vAlign w:val="center"/>
          </w:tcPr>
          <w:p>
            <w:r>
              <w:rPr>
                <w:sz w:val="17"/>
              </w:rPr>
            </w:r>
            <w:r>
              <w:rPr>
                <w:b w:val="0"/>
                <w:sz w:val="17"/>
              </w:rPr>
              <w:t>-$139,954</w:t>
            </w:r>
          </w:p>
        </w:tc>
      </w:tr>
      <w:tr>
        <w:tc>
          <w:tcPr>
            <w:tcW w:type="dxa" w:w="5040"/>
            <w:vAlign w:val="center"/>
          </w:tcPr>
          <w:p>
            <w:r>
              <w:rPr>
                <w:sz w:val="17"/>
              </w:rPr>
            </w:r>
            <w:r>
              <w:rPr>
                <w:b w:val="0"/>
                <w:sz w:val="17"/>
              </w:rPr>
              <w:t>Max drawdown as % of NAV</w:t>
            </w:r>
          </w:p>
        </w:tc>
        <w:tc>
          <w:tcPr>
            <w:tcW w:type="dxa" w:w="5040"/>
            <w:vAlign w:val="center"/>
          </w:tcPr>
          <w:p>
            <w:r>
              <w:rPr>
                <w:sz w:val="17"/>
              </w:rPr>
            </w:r>
            <w:r>
              <w:rPr>
                <w:b w:val="0"/>
                <w:sz w:val="17"/>
              </w:rPr>
              <w:t>-14.00%</w:t>
            </w:r>
          </w:p>
        </w:tc>
      </w:tr>
      <w:tr>
        <w:tc>
          <w:tcPr>
            <w:tcW w:type="dxa" w:w="5040"/>
            <w:vAlign w:val="center"/>
          </w:tcPr>
          <w:p>
            <w:r>
              <w:rPr>
                <w:sz w:val="17"/>
              </w:rPr>
            </w:r>
            <w:r>
              <w:rPr>
                <w:b w:val="0"/>
                <w:sz w:val="17"/>
              </w:rPr>
              <w:t>Worst 20-trade rolling sum</w:t>
            </w:r>
          </w:p>
        </w:tc>
        <w:tc>
          <w:tcPr>
            <w:tcW w:type="dxa" w:w="5040"/>
            <w:vAlign w:val="center"/>
          </w:tcPr>
          <w:p>
            <w:r>
              <w:rPr>
                <w:sz w:val="17"/>
              </w:rPr>
            </w:r>
            <w:r>
              <w:rPr>
                <w:b w:val="0"/>
                <w:sz w:val="17"/>
              </w:rPr>
              <w:t>-$128,471</w:t>
            </w:r>
          </w:p>
        </w:tc>
      </w:tr>
    </w:tbl>
    <w:p/>
    <w:p>
      <w:r>
        <w:t>Cumulative realized P&amp;L using locked sizing and constant $1mm NAV:</w:t>
      </w:r>
    </w:p>
    <w:p>
      <w:pPr>
        <w:jc w:val="center"/>
      </w:pPr>
      <w:r>
        <w:drawing>
          <wp:inline xmlns:a="http://schemas.openxmlformats.org/drawingml/2006/main" xmlns:pic="http://schemas.openxmlformats.org/drawingml/2006/picture">
            <wp:extent cx="6217920" cy="3088816"/>
            <wp:docPr id="1" name="Picture 1"/>
            <wp:cNvGraphicFramePr>
              <a:graphicFrameLocks noChangeAspect="1"/>
            </wp:cNvGraphicFramePr>
            <a:graphic>
              <a:graphicData uri="http://schemas.openxmlformats.org/drawingml/2006/picture">
                <pic:pic>
                  <pic:nvPicPr>
                    <pic:cNvPr id="0" name="locked_2621_constant_1mm_nav_cumulative_pnl_chart.png"/>
                    <pic:cNvPicPr/>
                  </pic:nvPicPr>
                  <pic:blipFill>
                    <a:blip r:embed="rId9"/>
                    <a:stretch>
                      <a:fillRect/>
                    </a:stretch>
                  </pic:blipFill>
                  <pic:spPr>
                    <a:xfrm>
                      <a:off x="0" y="0"/>
                      <a:ext cx="6217920" cy="3088816"/>
                    </a:xfrm>
                    <a:prstGeom prst="rect"/>
                  </pic:spPr>
                </pic:pic>
              </a:graphicData>
            </a:graphic>
          </wp:inline>
        </w:drawing>
      </w:r>
    </w:p>
    <w:p>
      <w:pPr>
        <w:pStyle w:val="Heading2"/>
      </w:pPr>
      <w:r>
        <w:t>8.1 Constant-NAV P&amp;L by sizing group</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Pr>
                <w:sz w:val="17"/>
              </w:rPr>
            </w:r>
            <w:r>
              <w:rPr>
                <w:b/>
                <w:sz w:val="17"/>
              </w:rPr>
              <w:t>Group</w:t>
            </w:r>
          </w:p>
        </w:tc>
        <w:tc>
          <w:tcPr>
            <w:tcW w:type="dxa" w:w="1440"/>
            <w:vAlign w:val="center"/>
            <w:shd w:fill="D9EAF7"/>
          </w:tcPr>
          <w:p>
            <w:r>
              <w:rPr>
                <w:sz w:val="17"/>
              </w:rPr>
            </w:r>
            <w:r>
              <w:rPr>
                <w:b/>
                <w:sz w:val="17"/>
              </w:rPr>
              <w:t>Trades</w:t>
            </w:r>
          </w:p>
        </w:tc>
        <w:tc>
          <w:tcPr>
            <w:tcW w:type="dxa" w:w="1440"/>
            <w:vAlign w:val="center"/>
            <w:shd w:fill="D9EAF7"/>
          </w:tcPr>
          <w:p>
            <w:r>
              <w:rPr>
                <w:sz w:val="17"/>
              </w:rPr>
            </w:r>
            <w:r>
              <w:rPr>
                <w:b/>
                <w:sz w:val="17"/>
              </w:rPr>
              <w:t>Risk size</w:t>
            </w:r>
          </w:p>
        </w:tc>
        <w:tc>
          <w:tcPr>
            <w:tcW w:type="dxa" w:w="1440"/>
            <w:vAlign w:val="center"/>
            <w:shd w:fill="D9EAF7"/>
          </w:tcPr>
          <w:p>
            <w:r>
              <w:rPr>
                <w:sz w:val="17"/>
              </w:rPr>
            </w:r>
            <w:r>
              <w:rPr>
                <w:b/>
                <w:sz w:val="17"/>
              </w:rPr>
              <w:t>Total P&amp;L</w:t>
            </w:r>
          </w:p>
        </w:tc>
        <w:tc>
          <w:tcPr>
            <w:tcW w:type="dxa" w:w="1440"/>
            <w:vAlign w:val="center"/>
            <w:shd w:fill="D9EAF7"/>
          </w:tcPr>
          <w:p>
            <w:r>
              <w:rPr>
                <w:sz w:val="17"/>
              </w:rPr>
            </w:r>
            <w:r>
              <w:rPr>
                <w:b/>
                <w:sz w:val="17"/>
              </w:rPr>
              <w:t>Avg trade P&amp;L</w:t>
            </w:r>
          </w:p>
        </w:tc>
        <w:tc>
          <w:tcPr>
            <w:tcW w:type="dxa" w:w="1440"/>
            <w:vAlign w:val="center"/>
            <w:shd w:fill="D9EAF7"/>
          </w:tcPr>
          <w:p>
            <w:r>
              <w:rPr>
                <w:sz w:val="17"/>
              </w:rPr>
            </w:r>
            <w:r>
              <w:rPr>
                <w:b/>
                <w:sz w:val="17"/>
              </w:rPr>
              <w:t>Win rate</w:t>
            </w:r>
          </w:p>
        </w:tc>
        <w:tc>
          <w:tcPr>
            <w:tcW w:type="dxa" w:w="1440"/>
            <w:vAlign w:val="center"/>
            <w:shd w:fill="D9EAF7"/>
          </w:tcPr>
          <w:p>
            <w:r>
              <w:rPr>
                <w:sz w:val="17"/>
              </w:rPr>
            </w:r>
            <w:r>
              <w:rPr>
                <w:b/>
                <w:sz w:val="17"/>
              </w:rPr>
              <w:t>Worst trade</w:t>
            </w:r>
          </w:p>
        </w:tc>
      </w:tr>
      <w:tr>
        <w:tc>
          <w:tcPr>
            <w:tcW w:type="dxa" w:w="1440"/>
            <w:vAlign w:val="center"/>
          </w:tcPr>
          <w:p>
            <w:r>
              <w:rPr>
                <w:sz w:val="17"/>
              </w:rPr>
            </w:r>
            <w:r>
              <w:rPr>
                <w:b w:val="0"/>
                <w:sz w:val="17"/>
              </w:rPr>
              <w:t>Core back</w:t>
            </w:r>
          </w:p>
        </w:tc>
        <w:tc>
          <w:tcPr>
            <w:tcW w:type="dxa" w:w="1440"/>
            <w:vAlign w:val="center"/>
          </w:tcPr>
          <w:p>
            <w:r>
              <w:rPr>
                <w:sz w:val="17"/>
              </w:rPr>
            </w:r>
            <w:r>
              <w:rPr>
                <w:b w:val="0"/>
                <w:sz w:val="17"/>
              </w:rPr>
              <w:t>224</w:t>
            </w:r>
          </w:p>
        </w:tc>
        <w:tc>
          <w:tcPr>
            <w:tcW w:type="dxa" w:w="1440"/>
            <w:vAlign w:val="center"/>
          </w:tcPr>
          <w:p>
            <w:r>
              <w:rPr>
                <w:sz w:val="17"/>
              </w:rPr>
            </w:r>
            <w:r>
              <w:rPr>
                <w:b w:val="0"/>
                <w:sz w:val="17"/>
              </w:rPr>
              <w:t>5.00%</w:t>
            </w:r>
          </w:p>
        </w:tc>
        <w:tc>
          <w:tcPr>
            <w:tcW w:type="dxa" w:w="1440"/>
            <w:vAlign w:val="center"/>
          </w:tcPr>
          <w:p>
            <w:r>
              <w:rPr>
                <w:sz w:val="17"/>
              </w:rPr>
            </w:r>
            <w:r>
              <w:rPr>
                <w:b w:val="0"/>
                <w:sz w:val="17"/>
              </w:rPr>
              <w:t>$1,427,988</w:t>
            </w:r>
          </w:p>
        </w:tc>
        <w:tc>
          <w:tcPr>
            <w:tcW w:type="dxa" w:w="1440"/>
            <w:vAlign w:val="center"/>
          </w:tcPr>
          <w:p>
            <w:r>
              <w:rPr>
                <w:sz w:val="17"/>
              </w:rPr>
            </w:r>
            <w:r>
              <w:rPr>
                <w:b w:val="0"/>
                <w:sz w:val="17"/>
              </w:rPr>
              <w:t>$6,375</w:t>
            </w:r>
          </w:p>
        </w:tc>
        <w:tc>
          <w:tcPr>
            <w:tcW w:type="dxa" w:w="1440"/>
            <w:vAlign w:val="center"/>
          </w:tcPr>
          <w:p>
            <w:r>
              <w:rPr>
                <w:sz w:val="17"/>
              </w:rPr>
            </w:r>
            <w:r>
              <w:rPr>
                <w:b w:val="0"/>
                <w:sz w:val="17"/>
              </w:rPr>
              <w:t>88.84%</w:t>
            </w:r>
          </w:p>
        </w:tc>
        <w:tc>
          <w:tcPr>
            <w:tcW w:type="dxa" w:w="1440"/>
            <w:vAlign w:val="center"/>
          </w:tcPr>
          <w:p>
            <w:r>
              <w:rPr>
                <w:sz w:val="17"/>
              </w:rPr>
            </w:r>
            <w:r>
              <w:rPr>
                <w:b w:val="0"/>
                <w:sz w:val="17"/>
              </w:rPr>
              <w:t>-$28,660</w:t>
            </w:r>
          </w:p>
        </w:tc>
      </w:tr>
      <w:tr>
        <w:tc>
          <w:tcPr>
            <w:tcW w:type="dxa" w:w="1440"/>
            <w:vAlign w:val="center"/>
          </w:tcPr>
          <w:p>
            <w:r>
              <w:rPr>
                <w:sz w:val="17"/>
              </w:rPr>
            </w:r>
            <w:r>
              <w:rPr>
                <w:b w:val="0"/>
                <w:sz w:val="17"/>
              </w:rPr>
              <w:t>Core middle</w:t>
            </w:r>
          </w:p>
        </w:tc>
        <w:tc>
          <w:tcPr>
            <w:tcW w:type="dxa" w:w="1440"/>
            <w:vAlign w:val="center"/>
          </w:tcPr>
          <w:p>
            <w:r>
              <w:rPr>
                <w:sz w:val="17"/>
              </w:rPr>
            </w:r>
            <w:r>
              <w:rPr>
                <w:b w:val="0"/>
                <w:sz w:val="17"/>
              </w:rPr>
              <w:t>65</w:t>
            </w:r>
          </w:p>
        </w:tc>
        <w:tc>
          <w:tcPr>
            <w:tcW w:type="dxa" w:w="1440"/>
            <w:vAlign w:val="center"/>
          </w:tcPr>
          <w:p>
            <w:r>
              <w:rPr>
                <w:sz w:val="17"/>
              </w:rPr>
            </w:r>
            <w:r>
              <w:rPr>
                <w:b w:val="0"/>
                <w:sz w:val="17"/>
              </w:rPr>
              <w:t>4.85%</w:t>
            </w:r>
          </w:p>
        </w:tc>
        <w:tc>
          <w:tcPr>
            <w:tcW w:type="dxa" w:w="1440"/>
            <w:vAlign w:val="center"/>
          </w:tcPr>
          <w:p>
            <w:r>
              <w:rPr>
                <w:sz w:val="17"/>
              </w:rPr>
            </w:r>
            <w:r>
              <w:rPr>
                <w:b w:val="0"/>
                <w:sz w:val="17"/>
              </w:rPr>
              <w:t>$299,049</w:t>
            </w:r>
          </w:p>
        </w:tc>
        <w:tc>
          <w:tcPr>
            <w:tcW w:type="dxa" w:w="1440"/>
            <w:vAlign w:val="center"/>
          </w:tcPr>
          <w:p>
            <w:r>
              <w:rPr>
                <w:sz w:val="17"/>
              </w:rPr>
            </w:r>
            <w:r>
              <w:rPr>
                <w:b w:val="0"/>
                <w:sz w:val="17"/>
              </w:rPr>
              <w:t>$4,601</w:t>
            </w:r>
          </w:p>
        </w:tc>
        <w:tc>
          <w:tcPr>
            <w:tcW w:type="dxa" w:w="1440"/>
            <w:vAlign w:val="center"/>
          </w:tcPr>
          <w:p>
            <w:r>
              <w:rPr>
                <w:sz w:val="17"/>
              </w:rPr>
            </w:r>
            <w:r>
              <w:rPr>
                <w:b w:val="0"/>
                <w:sz w:val="17"/>
              </w:rPr>
              <w:t>86.15%</w:t>
            </w:r>
          </w:p>
        </w:tc>
        <w:tc>
          <w:tcPr>
            <w:tcW w:type="dxa" w:w="1440"/>
            <w:vAlign w:val="center"/>
          </w:tcPr>
          <w:p>
            <w:r>
              <w:rPr>
                <w:sz w:val="17"/>
              </w:rPr>
            </w:r>
            <w:r>
              <w:rPr>
                <w:b w:val="0"/>
                <w:sz w:val="17"/>
              </w:rPr>
              <w:t>-$23,968</w:t>
            </w:r>
          </w:p>
        </w:tc>
      </w:tr>
      <w:tr>
        <w:tc>
          <w:tcPr>
            <w:tcW w:type="dxa" w:w="1440"/>
            <w:vAlign w:val="center"/>
          </w:tcPr>
          <w:p>
            <w:r>
              <w:rPr>
                <w:sz w:val="17"/>
              </w:rPr>
            </w:r>
            <w:r>
              <w:rPr>
                <w:b w:val="0"/>
                <w:sz w:val="17"/>
              </w:rPr>
              <w:t>Secondary back</w:t>
            </w:r>
          </w:p>
        </w:tc>
        <w:tc>
          <w:tcPr>
            <w:tcW w:type="dxa" w:w="1440"/>
            <w:vAlign w:val="center"/>
          </w:tcPr>
          <w:p>
            <w:r>
              <w:rPr>
                <w:sz w:val="17"/>
              </w:rPr>
            </w:r>
            <w:r>
              <w:rPr>
                <w:b w:val="0"/>
                <w:sz w:val="17"/>
              </w:rPr>
              <w:t>82</w:t>
            </w:r>
          </w:p>
        </w:tc>
        <w:tc>
          <w:tcPr>
            <w:tcW w:type="dxa" w:w="1440"/>
            <w:vAlign w:val="center"/>
          </w:tcPr>
          <w:p>
            <w:r>
              <w:rPr>
                <w:sz w:val="17"/>
              </w:rPr>
            </w:r>
            <w:r>
              <w:rPr>
                <w:b w:val="0"/>
                <w:sz w:val="17"/>
              </w:rPr>
              <w:t>4.50%</w:t>
            </w:r>
          </w:p>
        </w:tc>
        <w:tc>
          <w:tcPr>
            <w:tcW w:type="dxa" w:w="1440"/>
            <w:vAlign w:val="center"/>
          </w:tcPr>
          <w:p>
            <w:r>
              <w:rPr>
                <w:sz w:val="17"/>
              </w:rPr>
            </w:r>
            <w:r>
              <w:rPr>
                <w:b w:val="0"/>
                <w:sz w:val="17"/>
              </w:rPr>
              <w:t>$235,326</w:t>
            </w:r>
          </w:p>
        </w:tc>
        <w:tc>
          <w:tcPr>
            <w:tcW w:type="dxa" w:w="1440"/>
            <w:vAlign w:val="center"/>
          </w:tcPr>
          <w:p>
            <w:r>
              <w:rPr>
                <w:sz w:val="17"/>
              </w:rPr>
            </w:r>
            <w:r>
              <w:rPr>
                <w:b w:val="0"/>
                <w:sz w:val="17"/>
              </w:rPr>
              <w:t>$2,870</w:t>
            </w:r>
          </w:p>
        </w:tc>
        <w:tc>
          <w:tcPr>
            <w:tcW w:type="dxa" w:w="1440"/>
            <w:vAlign w:val="center"/>
          </w:tcPr>
          <w:p>
            <w:r>
              <w:rPr>
                <w:sz w:val="17"/>
              </w:rPr>
            </w:r>
            <w:r>
              <w:rPr>
                <w:b w:val="0"/>
                <w:sz w:val="17"/>
              </w:rPr>
              <w:t>78.05%</w:t>
            </w:r>
          </w:p>
        </w:tc>
        <w:tc>
          <w:tcPr>
            <w:tcW w:type="dxa" w:w="1440"/>
            <w:vAlign w:val="center"/>
          </w:tcPr>
          <w:p>
            <w:r>
              <w:rPr>
                <w:sz w:val="17"/>
              </w:rPr>
            </w:r>
            <w:r>
              <w:rPr>
                <w:b w:val="0"/>
                <w:sz w:val="17"/>
              </w:rPr>
              <w:t>-$39,570</w:t>
            </w:r>
          </w:p>
        </w:tc>
      </w:tr>
      <w:tr>
        <w:tc>
          <w:tcPr>
            <w:tcW w:type="dxa" w:w="1440"/>
            <w:vAlign w:val="center"/>
          </w:tcPr>
          <w:p>
            <w:r>
              <w:rPr>
                <w:sz w:val="17"/>
              </w:rPr>
            </w:r>
            <w:r>
              <w:rPr>
                <w:b w:val="0"/>
                <w:sz w:val="17"/>
              </w:rPr>
              <w:t>Core front</w:t>
            </w:r>
          </w:p>
        </w:tc>
        <w:tc>
          <w:tcPr>
            <w:tcW w:type="dxa" w:w="1440"/>
            <w:vAlign w:val="center"/>
          </w:tcPr>
          <w:p>
            <w:r>
              <w:rPr>
                <w:sz w:val="17"/>
              </w:rPr>
            </w:r>
            <w:r>
              <w:rPr>
                <w:b w:val="0"/>
                <w:sz w:val="17"/>
              </w:rPr>
              <w:t>97</w:t>
            </w:r>
          </w:p>
        </w:tc>
        <w:tc>
          <w:tcPr>
            <w:tcW w:type="dxa" w:w="1440"/>
            <w:vAlign w:val="center"/>
          </w:tcPr>
          <w:p>
            <w:r>
              <w:rPr>
                <w:sz w:val="17"/>
              </w:rPr>
            </w:r>
            <w:r>
              <w:rPr>
                <w:b w:val="0"/>
                <w:sz w:val="17"/>
              </w:rPr>
              <w:t>1.75%</w:t>
            </w:r>
          </w:p>
        </w:tc>
        <w:tc>
          <w:tcPr>
            <w:tcW w:type="dxa" w:w="1440"/>
            <w:vAlign w:val="center"/>
          </w:tcPr>
          <w:p>
            <w:r>
              <w:rPr>
                <w:sz w:val="17"/>
              </w:rPr>
            </w:r>
            <w:r>
              <w:rPr>
                <w:b w:val="0"/>
                <w:sz w:val="17"/>
              </w:rPr>
              <w:t>$86,959</w:t>
            </w:r>
          </w:p>
        </w:tc>
        <w:tc>
          <w:tcPr>
            <w:tcW w:type="dxa" w:w="1440"/>
            <w:vAlign w:val="center"/>
          </w:tcPr>
          <w:p>
            <w:r>
              <w:rPr>
                <w:sz w:val="17"/>
              </w:rPr>
            </w:r>
            <w:r>
              <w:rPr>
                <w:b w:val="0"/>
                <w:sz w:val="17"/>
              </w:rPr>
              <w:t>$896</w:t>
            </w:r>
          </w:p>
        </w:tc>
        <w:tc>
          <w:tcPr>
            <w:tcW w:type="dxa" w:w="1440"/>
            <w:vAlign w:val="center"/>
          </w:tcPr>
          <w:p>
            <w:r>
              <w:rPr>
                <w:sz w:val="17"/>
              </w:rPr>
            </w:r>
            <w:r>
              <w:rPr>
                <w:b w:val="0"/>
                <w:sz w:val="17"/>
              </w:rPr>
              <w:t>79.38%</w:t>
            </w:r>
          </w:p>
        </w:tc>
        <w:tc>
          <w:tcPr>
            <w:tcW w:type="dxa" w:w="1440"/>
            <w:vAlign w:val="center"/>
          </w:tcPr>
          <w:p>
            <w:r>
              <w:rPr>
                <w:sz w:val="17"/>
              </w:rPr>
            </w:r>
            <w:r>
              <w:rPr>
                <w:b w:val="0"/>
                <w:sz w:val="17"/>
              </w:rPr>
              <w:t>-$10,656</w:t>
            </w:r>
          </w:p>
        </w:tc>
      </w:tr>
      <w:tr>
        <w:tc>
          <w:tcPr>
            <w:tcW w:type="dxa" w:w="1440"/>
            <w:vAlign w:val="center"/>
          </w:tcPr>
          <w:p>
            <w:r>
              <w:rPr>
                <w:sz w:val="17"/>
              </w:rPr>
            </w:r>
            <w:r>
              <w:rPr>
                <w:b w:val="0"/>
                <w:sz w:val="17"/>
              </w:rPr>
              <w:t>Secondary front</w:t>
            </w:r>
          </w:p>
        </w:tc>
        <w:tc>
          <w:tcPr>
            <w:tcW w:type="dxa" w:w="1440"/>
            <w:vAlign w:val="center"/>
          </w:tcPr>
          <w:p>
            <w:r>
              <w:rPr>
                <w:sz w:val="17"/>
              </w:rPr>
            </w:r>
            <w:r>
              <w:rPr>
                <w:b w:val="0"/>
                <w:sz w:val="17"/>
              </w:rPr>
              <w:t>99</w:t>
            </w:r>
          </w:p>
        </w:tc>
        <w:tc>
          <w:tcPr>
            <w:tcW w:type="dxa" w:w="1440"/>
            <w:vAlign w:val="center"/>
          </w:tcPr>
          <w:p>
            <w:r>
              <w:rPr>
                <w:sz w:val="17"/>
              </w:rPr>
            </w:r>
            <w:r>
              <w:rPr>
                <w:b w:val="0"/>
                <w:sz w:val="17"/>
              </w:rPr>
              <w:t>1.75%</w:t>
            </w:r>
          </w:p>
        </w:tc>
        <w:tc>
          <w:tcPr>
            <w:tcW w:type="dxa" w:w="1440"/>
            <w:vAlign w:val="center"/>
          </w:tcPr>
          <w:p>
            <w:r>
              <w:rPr>
                <w:sz w:val="17"/>
              </w:rPr>
            </w:r>
            <w:r>
              <w:rPr>
                <w:b w:val="0"/>
                <w:sz w:val="17"/>
              </w:rPr>
              <w:t>$61,405</w:t>
            </w:r>
          </w:p>
        </w:tc>
        <w:tc>
          <w:tcPr>
            <w:tcW w:type="dxa" w:w="1440"/>
            <w:vAlign w:val="center"/>
          </w:tcPr>
          <w:p>
            <w:r>
              <w:rPr>
                <w:sz w:val="17"/>
              </w:rPr>
            </w:r>
            <w:r>
              <w:rPr>
                <w:b w:val="0"/>
                <w:sz w:val="17"/>
              </w:rPr>
              <w:t>$620</w:t>
            </w:r>
          </w:p>
        </w:tc>
        <w:tc>
          <w:tcPr>
            <w:tcW w:type="dxa" w:w="1440"/>
            <w:vAlign w:val="center"/>
          </w:tcPr>
          <w:p>
            <w:r>
              <w:rPr>
                <w:sz w:val="17"/>
              </w:rPr>
            </w:r>
            <w:r>
              <w:rPr>
                <w:b w:val="0"/>
                <w:sz w:val="17"/>
              </w:rPr>
              <w:t>76.77%</w:t>
            </w:r>
          </w:p>
        </w:tc>
        <w:tc>
          <w:tcPr>
            <w:tcW w:type="dxa" w:w="1440"/>
            <w:vAlign w:val="center"/>
          </w:tcPr>
          <w:p>
            <w:r>
              <w:rPr>
                <w:sz w:val="17"/>
              </w:rPr>
            </w:r>
            <w:r>
              <w:rPr>
                <w:b w:val="0"/>
                <w:sz w:val="17"/>
              </w:rPr>
              <w:t>-$7,513</w:t>
            </w:r>
          </w:p>
        </w:tc>
      </w:tr>
      <w:tr>
        <w:tc>
          <w:tcPr>
            <w:tcW w:type="dxa" w:w="1440"/>
            <w:vAlign w:val="center"/>
          </w:tcPr>
          <w:p>
            <w:r>
              <w:rPr>
                <w:sz w:val="17"/>
              </w:rPr>
            </w:r>
            <w:r>
              <w:rPr>
                <w:b w:val="0"/>
                <w:sz w:val="17"/>
              </w:rPr>
              <w:t>Secondary middle</w:t>
            </w:r>
          </w:p>
        </w:tc>
        <w:tc>
          <w:tcPr>
            <w:tcW w:type="dxa" w:w="1440"/>
            <w:vAlign w:val="center"/>
          </w:tcPr>
          <w:p>
            <w:r>
              <w:rPr>
                <w:sz w:val="17"/>
              </w:rPr>
            </w:r>
            <w:r>
              <w:rPr>
                <w:b w:val="0"/>
                <w:sz w:val="17"/>
              </w:rPr>
              <w:t>10</w:t>
            </w:r>
          </w:p>
        </w:tc>
        <w:tc>
          <w:tcPr>
            <w:tcW w:type="dxa" w:w="1440"/>
            <w:vAlign w:val="center"/>
          </w:tcPr>
          <w:p>
            <w:r>
              <w:rPr>
                <w:sz w:val="17"/>
              </w:rPr>
            </w:r>
            <w:r>
              <w:rPr>
                <w:b w:val="0"/>
                <w:sz w:val="17"/>
              </w:rPr>
              <w:t>3.25%</w:t>
            </w:r>
          </w:p>
        </w:tc>
        <w:tc>
          <w:tcPr>
            <w:tcW w:type="dxa" w:w="1440"/>
            <w:vAlign w:val="center"/>
          </w:tcPr>
          <w:p>
            <w:r>
              <w:rPr>
                <w:sz w:val="17"/>
              </w:rPr>
            </w:r>
            <w:r>
              <w:rPr>
                <w:b w:val="0"/>
                <w:sz w:val="17"/>
              </w:rPr>
              <w:t>$15,725</w:t>
            </w:r>
          </w:p>
        </w:tc>
        <w:tc>
          <w:tcPr>
            <w:tcW w:type="dxa" w:w="1440"/>
            <w:vAlign w:val="center"/>
          </w:tcPr>
          <w:p>
            <w:r>
              <w:rPr>
                <w:sz w:val="17"/>
              </w:rPr>
            </w:r>
            <w:r>
              <w:rPr>
                <w:b w:val="0"/>
                <w:sz w:val="17"/>
              </w:rPr>
              <w:t>$1,572</w:t>
            </w:r>
          </w:p>
        </w:tc>
        <w:tc>
          <w:tcPr>
            <w:tcW w:type="dxa" w:w="1440"/>
            <w:vAlign w:val="center"/>
          </w:tcPr>
          <w:p>
            <w:r>
              <w:rPr>
                <w:sz w:val="17"/>
              </w:rPr>
            </w:r>
            <w:r>
              <w:rPr>
                <w:b w:val="0"/>
                <w:sz w:val="17"/>
              </w:rPr>
              <w:t>80.00%</w:t>
            </w:r>
          </w:p>
        </w:tc>
        <w:tc>
          <w:tcPr>
            <w:tcW w:type="dxa" w:w="1440"/>
            <w:vAlign w:val="center"/>
          </w:tcPr>
          <w:p>
            <w:r>
              <w:rPr>
                <w:sz w:val="17"/>
              </w:rPr>
            </w:r>
            <w:r>
              <w:rPr>
                <w:b w:val="0"/>
                <w:sz w:val="17"/>
              </w:rPr>
              <w:t>-$5,571</w:t>
            </w:r>
          </w:p>
        </w:tc>
      </w:tr>
    </w:tbl>
    <w:p/>
    <w:p>
      <w:pPr>
        <w:pStyle w:val="Heading2"/>
      </w:pPr>
      <w:r>
        <w:t>8.2 Constant-NAV P&amp;L by year</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Pr>
                <w:sz w:val="17"/>
              </w:rPr>
            </w:r>
            <w:r>
              <w:rPr>
                <w:b/>
                <w:sz w:val="17"/>
              </w:rPr>
              <w:t>Year</w:t>
            </w:r>
          </w:p>
        </w:tc>
        <w:tc>
          <w:tcPr>
            <w:tcW w:type="dxa" w:w="1680"/>
            <w:vAlign w:val="center"/>
            <w:shd w:fill="D9EAF7"/>
          </w:tcPr>
          <w:p>
            <w:r>
              <w:rPr>
                <w:sz w:val="17"/>
              </w:rPr>
            </w:r>
            <w:r>
              <w:rPr>
                <w:b/>
                <w:sz w:val="17"/>
              </w:rPr>
              <w:t>Trades</w:t>
            </w:r>
          </w:p>
        </w:tc>
        <w:tc>
          <w:tcPr>
            <w:tcW w:type="dxa" w:w="1680"/>
            <w:vAlign w:val="center"/>
            <w:shd w:fill="D9EAF7"/>
          </w:tcPr>
          <w:p>
            <w:r>
              <w:rPr>
                <w:sz w:val="17"/>
              </w:rPr>
            </w:r>
            <w:r>
              <w:rPr>
                <w:b/>
                <w:sz w:val="17"/>
              </w:rPr>
              <w:t>Total P&amp;L</w:t>
            </w:r>
          </w:p>
        </w:tc>
        <w:tc>
          <w:tcPr>
            <w:tcW w:type="dxa" w:w="1680"/>
            <w:vAlign w:val="center"/>
            <w:shd w:fill="D9EAF7"/>
          </w:tcPr>
          <w:p>
            <w:r>
              <w:rPr>
                <w:sz w:val="17"/>
              </w:rPr>
            </w:r>
            <w:r>
              <w:rPr>
                <w:b/>
                <w:sz w:val="17"/>
              </w:rPr>
              <w:t>Avg trade P&amp;L</w:t>
            </w:r>
          </w:p>
        </w:tc>
        <w:tc>
          <w:tcPr>
            <w:tcW w:type="dxa" w:w="1680"/>
            <w:vAlign w:val="center"/>
            <w:shd w:fill="D9EAF7"/>
          </w:tcPr>
          <w:p>
            <w:r>
              <w:rPr>
                <w:sz w:val="17"/>
              </w:rPr>
            </w:r>
            <w:r>
              <w:rPr>
                <w:b/>
                <w:sz w:val="17"/>
              </w:rPr>
              <w:t>Win rate</w:t>
            </w:r>
          </w:p>
        </w:tc>
        <w:tc>
          <w:tcPr>
            <w:tcW w:type="dxa" w:w="1680"/>
            <w:vAlign w:val="center"/>
            <w:shd w:fill="D9EAF7"/>
          </w:tcPr>
          <w:p>
            <w:r>
              <w:rPr>
                <w:sz w:val="17"/>
              </w:rPr>
            </w:r>
            <w:r>
              <w:rPr>
                <w:b/>
                <w:sz w:val="17"/>
              </w:rPr>
              <w:t>Worst trade</w:t>
            </w:r>
          </w:p>
        </w:tc>
      </w:tr>
      <w:tr>
        <w:tc>
          <w:tcPr>
            <w:tcW w:type="dxa" w:w="1680"/>
            <w:vAlign w:val="center"/>
          </w:tcPr>
          <w:p>
            <w:r>
              <w:rPr>
                <w:sz w:val="17"/>
              </w:rPr>
            </w:r>
            <w:r>
              <w:rPr>
                <w:b w:val="0"/>
                <w:sz w:val="17"/>
              </w:rPr>
              <w:t>2019</w:t>
            </w:r>
          </w:p>
        </w:tc>
        <w:tc>
          <w:tcPr>
            <w:tcW w:type="dxa" w:w="1680"/>
            <w:vAlign w:val="center"/>
          </w:tcPr>
          <w:p>
            <w:r>
              <w:rPr>
                <w:sz w:val="17"/>
              </w:rPr>
            </w:r>
            <w:r>
              <w:rPr>
                <w:b w:val="0"/>
                <w:sz w:val="17"/>
              </w:rPr>
              <w:t>44</w:t>
            </w:r>
          </w:p>
        </w:tc>
        <w:tc>
          <w:tcPr>
            <w:tcW w:type="dxa" w:w="1680"/>
            <w:vAlign w:val="center"/>
          </w:tcPr>
          <w:p>
            <w:r>
              <w:rPr>
                <w:sz w:val="17"/>
              </w:rPr>
            </w:r>
            <w:r>
              <w:rPr>
                <w:b w:val="0"/>
                <w:sz w:val="17"/>
              </w:rPr>
              <w:t>$54,320</w:t>
            </w:r>
          </w:p>
        </w:tc>
        <w:tc>
          <w:tcPr>
            <w:tcW w:type="dxa" w:w="1680"/>
            <w:vAlign w:val="center"/>
          </w:tcPr>
          <w:p>
            <w:r>
              <w:rPr>
                <w:sz w:val="17"/>
              </w:rPr>
            </w:r>
            <w:r>
              <w:rPr>
                <w:b w:val="0"/>
                <w:sz w:val="17"/>
              </w:rPr>
              <w:t>$1,235</w:t>
            </w:r>
          </w:p>
        </w:tc>
        <w:tc>
          <w:tcPr>
            <w:tcW w:type="dxa" w:w="1680"/>
            <w:vAlign w:val="center"/>
          </w:tcPr>
          <w:p>
            <w:r>
              <w:rPr>
                <w:sz w:val="17"/>
              </w:rPr>
            </w:r>
            <w:r>
              <w:rPr>
                <w:b w:val="0"/>
                <w:sz w:val="17"/>
              </w:rPr>
              <w:t>72.73%</w:t>
            </w:r>
          </w:p>
        </w:tc>
        <w:tc>
          <w:tcPr>
            <w:tcW w:type="dxa" w:w="1680"/>
            <w:vAlign w:val="center"/>
          </w:tcPr>
          <w:p>
            <w:r>
              <w:rPr>
                <w:sz w:val="17"/>
              </w:rPr>
            </w:r>
            <w:r>
              <w:rPr>
                <w:b w:val="0"/>
                <w:sz w:val="17"/>
              </w:rPr>
              <w:t>-$16,661</w:t>
            </w:r>
          </w:p>
        </w:tc>
      </w:tr>
      <w:tr>
        <w:tc>
          <w:tcPr>
            <w:tcW w:type="dxa" w:w="1680"/>
            <w:vAlign w:val="center"/>
          </w:tcPr>
          <w:p>
            <w:r>
              <w:rPr>
                <w:sz w:val="17"/>
              </w:rPr>
            </w:r>
            <w:r>
              <w:rPr>
                <w:b w:val="0"/>
                <w:sz w:val="17"/>
              </w:rPr>
              <w:t>2020</w:t>
            </w:r>
          </w:p>
        </w:tc>
        <w:tc>
          <w:tcPr>
            <w:tcW w:type="dxa" w:w="1680"/>
            <w:vAlign w:val="center"/>
          </w:tcPr>
          <w:p>
            <w:r>
              <w:rPr>
                <w:sz w:val="17"/>
              </w:rPr>
            </w:r>
            <w:r>
              <w:rPr>
                <w:b w:val="0"/>
                <w:sz w:val="17"/>
              </w:rPr>
              <w:t>80</w:t>
            </w:r>
          </w:p>
        </w:tc>
        <w:tc>
          <w:tcPr>
            <w:tcW w:type="dxa" w:w="1680"/>
            <w:vAlign w:val="center"/>
          </w:tcPr>
          <w:p>
            <w:r>
              <w:rPr>
                <w:sz w:val="17"/>
              </w:rPr>
            </w:r>
            <w:r>
              <w:rPr>
                <w:b w:val="0"/>
                <w:sz w:val="17"/>
              </w:rPr>
              <w:t>$420,145</w:t>
            </w:r>
          </w:p>
        </w:tc>
        <w:tc>
          <w:tcPr>
            <w:tcW w:type="dxa" w:w="1680"/>
            <w:vAlign w:val="center"/>
          </w:tcPr>
          <w:p>
            <w:r>
              <w:rPr>
                <w:sz w:val="17"/>
              </w:rPr>
            </w:r>
            <w:r>
              <w:rPr>
                <w:b w:val="0"/>
                <w:sz w:val="17"/>
              </w:rPr>
              <w:t>$5,252</w:t>
            </w:r>
          </w:p>
        </w:tc>
        <w:tc>
          <w:tcPr>
            <w:tcW w:type="dxa" w:w="1680"/>
            <w:vAlign w:val="center"/>
          </w:tcPr>
          <w:p>
            <w:r>
              <w:rPr>
                <w:sz w:val="17"/>
              </w:rPr>
            </w:r>
            <w:r>
              <w:rPr>
                <w:b w:val="0"/>
                <w:sz w:val="17"/>
              </w:rPr>
              <w:t>92.50%</w:t>
            </w:r>
          </w:p>
        </w:tc>
        <w:tc>
          <w:tcPr>
            <w:tcW w:type="dxa" w:w="1680"/>
            <w:vAlign w:val="center"/>
          </w:tcPr>
          <w:p>
            <w:r>
              <w:rPr>
                <w:sz w:val="17"/>
              </w:rPr>
            </w:r>
            <w:r>
              <w:rPr>
                <w:b w:val="0"/>
                <w:sz w:val="17"/>
              </w:rPr>
              <w:t>-$39,570</w:t>
            </w:r>
          </w:p>
        </w:tc>
      </w:tr>
      <w:tr>
        <w:tc>
          <w:tcPr>
            <w:tcW w:type="dxa" w:w="1680"/>
            <w:vAlign w:val="center"/>
          </w:tcPr>
          <w:p>
            <w:r>
              <w:rPr>
                <w:sz w:val="17"/>
              </w:rPr>
            </w:r>
            <w:r>
              <w:rPr>
                <w:b w:val="0"/>
                <w:sz w:val="17"/>
              </w:rPr>
              <w:t>2021</w:t>
            </w:r>
          </w:p>
        </w:tc>
        <w:tc>
          <w:tcPr>
            <w:tcW w:type="dxa" w:w="1680"/>
            <w:vAlign w:val="center"/>
          </w:tcPr>
          <w:p>
            <w:r>
              <w:rPr>
                <w:sz w:val="17"/>
              </w:rPr>
            </w:r>
            <w:r>
              <w:rPr>
                <w:b w:val="0"/>
                <w:sz w:val="17"/>
              </w:rPr>
              <w:t>102</w:t>
            </w:r>
          </w:p>
        </w:tc>
        <w:tc>
          <w:tcPr>
            <w:tcW w:type="dxa" w:w="1680"/>
            <w:vAlign w:val="center"/>
          </w:tcPr>
          <w:p>
            <w:r>
              <w:rPr>
                <w:sz w:val="17"/>
              </w:rPr>
            </w:r>
            <w:r>
              <w:rPr>
                <w:b w:val="0"/>
                <w:sz w:val="17"/>
              </w:rPr>
              <w:t>$568,579</w:t>
            </w:r>
          </w:p>
        </w:tc>
        <w:tc>
          <w:tcPr>
            <w:tcW w:type="dxa" w:w="1680"/>
            <w:vAlign w:val="center"/>
          </w:tcPr>
          <w:p>
            <w:r>
              <w:rPr>
                <w:sz w:val="17"/>
              </w:rPr>
            </w:r>
            <w:r>
              <w:rPr>
                <w:b w:val="0"/>
                <w:sz w:val="17"/>
              </w:rPr>
              <w:t>$5,574</w:t>
            </w:r>
          </w:p>
        </w:tc>
        <w:tc>
          <w:tcPr>
            <w:tcW w:type="dxa" w:w="1680"/>
            <w:vAlign w:val="center"/>
          </w:tcPr>
          <w:p>
            <w:r>
              <w:rPr>
                <w:sz w:val="17"/>
              </w:rPr>
            </w:r>
            <w:r>
              <w:rPr>
                <w:b w:val="0"/>
                <w:sz w:val="17"/>
              </w:rPr>
              <w:t>90.20%</w:t>
            </w:r>
          </w:p>
        </w:tc>
        <w:tc>
          <w:tcPr>
            <w:tcW w:type="dxa" w:w="1680"/>
            <w:vAlign w:val="center"/>
          </w:tcPr>
          <w:p>
            <w:r>
              <w:rPr>
                <w:sz w:val="17"/>
              </w:rPr>
            </w:r>
            <w:r>
              <w:rPr>
                <w:b w:val="0"/>
                <w:sz w:val="17"/>
              </w:rPr>
              <w:t>-$10,818</w:t>
            </w:r>
          </w:p>
        </w:tc>
      </w:tr>
      <w:tr>
        <w:tc>
          <w:tcPr>
            <w:tcW w:type="dxa" w:w="1680"/>
            <w:vAlign w:val="center"/>
          </w:tcPr>
          <w:p>
            <w:r>
              <w:rPr>
                <w:sz w:val="17"/>
              </w:rPr>
            </w:r>
            <w:r>
              <w:rPr>
                <w:b w:val="0"/>
                <w:sz w:val="17"/>
              </w:rPr>
              <w:t>2022</w:t>
            </w:r>
          </w:p>
        </w:tc>
        <w:tc>
          <w:tcPr>
            <w:tcW w:type="dxa" w:w="1680"/>
            <w:vAlign w:val="center"/>
          </w:tcPr>
          <w:p>
            <w:r>
              <w:rPr>
                <w:sz w:val="17"/>
              </w:rPr>
            </w:r>
            <w:r>
              <w:rPr>
                <w:b w:val="0"/>
                <w:sz w:val="17"/>
              </w:rPr>
              <w:t>25</w:t>
            </w:r>
          </w:p>
        </w:tc>
        <w:tc>
          <w:tcPr>
            <w:tcW w:type="dxa" w:w="1680"/>
            <w:vAlign w:val="center"/>
          </w:tcPr>
          <w:p>
            <w:r>
              <w:rPr>
                <w:sz w:val="17"/>
              </w:rPr>
            </w:r>
            <w:r>
              <w:rPr>
                <w:b w:val="0"/>
                <w:sz w:val="17"/>
              </w:rPr>
              <w:t>$89,419</w:t>
            </w:r>
          </w:p>
        </w:tc>
        <w:tc>
          <w:tcPr>
            <w:tcW w:type="dxa" w:w="1680"/>
            <w:vAlign w:val="center"/>
          </w:tcPr>
          <w:p>
            <w:r>
              <w:rPr>
                <w:sz w:val="17"/>
              </w:rPr>
            </w:r>
            <w:r>
              <w:rPr>
                <w:b w:val="0"/>
                <w:sz w:val="17"/>
              </w:rPr>
              <w:t>$3,577</w:t>
            </w:r>
          </w:p>
        </w:tc>
        <w:tc>
          <w:tcPr>
            <w:tcW w:type="dxa" w:w="1680"/>
            <w:vAlign w:val="center"/>
          </w:tcPr>
          <w:p>
            <w:r>
              <w:rPr>
                <w:sz w:val="17"/>
              </w:rPr>
            </w:r>
            <w:r>
              <w:rPr>
                <w:b w:val="0"/>
                <w:sz w:val="17"/>
              </w:rPr>
              <w:t>76.00%</w:t>
            </w:r>
          </w:p>
        </w:tc>
        <w:tc>
          <w:tcPr>
            <w:tcW w:type="dxa" w:w="1680"/>
            <w:vAlign w:val="center"/>
          </w:tcPr>
          <w:p>
            <w:r>
              <w:rPr>
                <w:sz w:val="17"/>
              </w:rPr>
            </w:r>
            <w:r>
              <w:rPr>
                <w:b w:val="0"/>
                <w:sz w:val="17"/>
              </w:rPr>
              <w:t>-$3,239</w:t>
            </w:r>
          </w:p>
        </w:tc>
      </w:tr>
      <w:tr>
        <w:tc>
          <w:tcPr>
            <w:tcW w:type="dxa" w:w="1680"/>
            <w:vAlign w:val="center"/>
          </w:tcPr>
          <w:p>
            <w:r>
              <w:rPr>
                <w:sz w:val="17"/>
              </w:rPr>
            </w:r>
            <w:r>
              <w:rPr>
                <w:b w:val="0"/>
                <w:sz w:val="17"/>
              </w:rPr>
              <w:t>2023</w:t>
            </w:r>
          </w:p>
        </w:tc>
        <w:tc>
          <w:tcPr>
            <w:tcW w:type="dxa" w:w="1680"/>
            <w:vAlign w:val="center"/>
          </w:tcPr>
          <w:p>
            <w:r>
              <w:rPr>
                <w:sz w:val="17"/>
              </w:rPr>
            </w:r>
            <w:r>
              <w:rPr>
                <w:b w:val="0"/>
                <w:sz w:val="17"/>
              </w:rPr>
              <w:t>107</w:t>
            </w:r>
          </w:p>
        </w:tc>
        <w:tc>
          <w:tcPr>
            <w:tcW w:type="dxa" w:w="1680"/>
            <w:vAlign w:val="center"/>
          </w:tcPr>
          <w:p>
            <w:r>
              <w:rPr>
                <w:sz w:val="17"/>
              </w:rPr>
            </w:r>
            <w:r>
              <w:rPr>
                <w:b w:val="0"/>
                <w:sz w:val="17"/>
              </w:rPr>
              <w:t>$391,634</w:t>
            </w:r>
          </w:p>
        </w:tc>
        <w:tc>
          <w:tcPr>
            <w:tcW w:type="dxa" w:w="1680"/>
            <w:vAlign w:val="center"/>
          </w:tcPr>
          <w:p>
            <w:r>
              <w:rPr>
                <w:sz w:val="17"/>
              </w:rPr>
            </w:r>
            <w:r>
              <w:rPr>
                <w:b w:val="0"/>
                <w:sz w:val="17"/>
              </w:rPr>
              <w:t>$3,660</w:t>
            </w:r>
          </w:p>
        </w:tc>
        <w:tc>
          <w:tcPr>
            <w:tcW w:type="dxa" w:w="1680"/>
            <w:vAlign w:val="center"/>
          </w:tcPr>
          <w:p>
            <w:r>
              <w:rPr>
                <w:sz w:val="17"/>
              </w:rPr>
            </w:r>
            <w:r>
              <w:rPr>
                <w:b w:val="0"/>
                <w:sz w:val="17"/>
              </w:rPr>
              <w:t>80.37%</w:t>
            </w:r>
          </w:p>
        </w:tc>
        <w:tc>
          <w:tcPr>
            <w:tcW w:type="dxa" w:w="1680"/>
            <w:vAlign w:val="center"/>
          </w:tcPr>
          <w:p>
            <w:r>
              <w:rPr>
                <w:sz w:val="17"/>
              </w:rPr>
            </w:r>
            <w:r>
              <w:rPr>
                <w:b w:val="0"/>
                <w:sz w:val="17"/>
              </w:rPr>
              <w:t>-$8,751</w:t>
            </w:r>
          </w:p>
        </w:tc>
      </w:tr>
      <w:tr>
        <w:tc>
          <w:tcPr>
            <w:tcW w:type="dxa" w:w="1680"/>
            <w:vAlign w:val="center"/>
          </w:tcPr>
          <w:p>
            <w:r>
              <w:rPr>
                <w:sz w:val="17"/>
              </w:rPr>
            </w:r>
            <w:r>
              <w:rPr>
                <w:b w:val="0"/>
                <w:sz w:val="17"/>
              </w:rPr>
              <w:t>2024</w:t>
            </w:r>
          </w:p>
        </w:tc>
        <w:tc>
          <w:tcPr>
            <w:tcW w:type="dxa" w:w="1680"/>
            <w:vAlign w:val="center"/>
          </w:tcPr>
          <w:p>
            <w:r>
              <w:rPr>
                <w:sz w:val="17"/>
              </w:rPr>
            </w:r>
            <w:r>
              <w:rPr>
                <w:b w:val="0"/>
                <w:sz w:val="17"/>
              </w:rPr>
              <w:t>97</w:t>
            </w:r>
          </w:p>
        </w:tc>
        <w:tc>
          <w:tcPr>
            <w:tcW w:type="dxa" w:w="1680"/>
            <w:vAlign w:val="center"/>
          </w:tcPr>
          <w:p>
            <w:r>
              <w:rPr>
                <w:sz w:val="17"/>
              </w:rPr>
            </w:r>
            <w:r>
              <w:rPr>
                <w:b w:val="0"/>
                <w:sz w:val="17"/>
              </w:rPr>
              <w:t>$339,357</w:t>
            </w:r>
          </w:p>
        </w:tc>
        <w:tc>
          <w:tcPr>
            <w:tcW w:type="dxa" w:w="1680"/>
            <w:vAlign w:val="center"/>
          </w:tcPr>
          <w:p>
            <w:r>
              <w:rPr>
                <w:sz w:val="17"/>
              </w:rPr>
            </w:r>
            <w:r>
              <w:rPr>
                <w:b w:val="0"/>
                <w:sz w:val="17"/>
              </w:rPr>
              <w:t>$3,499</w:t>
            </w:r>
          </w:p>
        </w:tc>
        <w:tc>
          <w:tcPr>
            <w:tcW w:type="dxa" w:w="1680"/>
            <w:vAlign w:val="center"/>
          </w:tcPr>
          <w:p>
            <w:r>
              <w:rPr>
                <w:sz w:val="17"/>
              </w:rPr>
            </w:r>
            <w:r>
              <w:rPr>
                <w:b w:val="0"/>
                <w:sz w:val="17"/>
              </w:rPr>
              <w:t>85.57%</w:t>
            </w:r>
          </w:p>
        </w:tc>
        <w:tc>
          <w:tcPr>
            <w:tcW w:type="dxa" w:w="1680"/>
            <w:vAlign w:val="center"/>
          </w:tcPr>
          <w:p>
            <w:r>
              <w:rPr>
                <w:sz w:val="17"/>
              </w:rPr>
            </w:r>
            <w:r>
              <w:rPr>
                <w:b w:val="0"/>
                <w:sz w:val="17"/>
              </w:rPr>
              <w:t>-$10,854</w:t>
            </w:r>
          </w:p>
        </w:tc>
      </w:tr>
      <w:tr>
        <w:tc>
          <w:tcPr>
            <w:tcW w:type="dxa" w:w="1680"/>
            <w:vAlign w:val="center"/>
          </w:tcPr>
          <w:p>
            <w:r>
              <w:rPr>
                <w:sz w:val="17"/>
              </w:rPr>
            </w:r>
            <w:r>
              <w:rPr>
                <w:b w:val="0"/>
                <w:sz w:val="17"/>
              </w:rPr>
              <w:t>2025</w:t>
            </w:r>
          </w:p>
        </w:tc>
        <w:tc>
          <w:tcPr>
            <w:tcW w:type="dxa" w:w="1680"/>
            <w:vAlign w:val="center"/>
          </w:tcPr>
          <w:p>
            <w:r>
              <w:rPr>
                <w:sz w:val="17"/>
              </w:rPr>
            </w:r>
            <w:r>
              <w:rPr>
                <w:b w:val="0"/>
                <w:sz w:val="17"/>
              </w:rPr>
              <w:t>77</w:t>
            </w:r>
          </w:p>
        </w:tc>
        <w:tc>
          <w:tcPr>
            <w:tcW w:type="dxa" w:w="1680"/>
            <w:vAlign w:val="center"/>
          </w:tcPr>
          <w:p>
            <w:r>
              <w:rPr>
                <w:sz w:val="17"/>
              </w:rPr>
            </w:r>
            <w:r>
              <w:rPr>
                <w:b w:val="0"/>
                <w:sz w:val="17"/>
              </w:rPr>
              <w:t>$190,667</w:t>
            </w:r>
          </w:p>
        </w:tc>
        <w:tc>
          <w:tcPr>
            <w:tcW w:type="dxa" w:w="1680"/>
            <w:vAlign w:val="center"/>
          </w:tcPr>
          <w:p>
            <w:r>
              <w:rPr>
                <w:sz w:val="17"/>
              </w:rPr>
            </w:r>
            <w:r>
              <w:rPr>
                <w:b w:val="0"/>
                <w:sz w:val="17"/>
              </w:rPr>
              <w:t>$2,476</w:t>
            </w:r>
          </w:p>
        </w:tc>
        <w:tc>
          <w:tcPr>
            <w:tcW w:type="dxa" w:w="1680"/>
            <w:vAlign w:val="center"/>
          </w:tcPr>
          <w:p>
            <w:r>
              <w:rPr>
                <w:sz w:val="17"/>
              </w:rPr>
            </w:r>
            <w:r>
              <w:rPr>
                <w:b w:val="0"/>
                <w:sz w:val="17"/>
              </w:rPr>
              <w:t>84.42%</w:t>
            </w:r>
          </w:p>
        </w:tc>
        <w:tc>
          <w:tcPr>
            <w:tcW w:type="dxa" w:w="1680"/>
            <w:vAlign w:val="center"/>
          </w:tcPr>
          <w:p>
            <w:r>
              <w:rPr>
                <w:sz w:val="17"/>
              </w:rPr>
            </w:r>
            <w:r>
              <w:rPr>
                <w:b w:val="0"/>
                <w:sz w:val="17"/>
              </w:rPr>
              <w:t>-$23,968</w:t>
            </w:r>
          </w:p>
        </w:tc>
      </w:tr>
      <w:tr>
        <w:tc>
          <w:tcPr>
            <w:tcW w:type="dxa" w:w="1680"/>
            <w:vAlign w:val="center"/>
          </w:tcPr>
          <w:p>
            <w:r>
              <w:rPr>
                <w:sz w:val="17"/>
              </w:rPr>
            </w:r>
            <w:r>
              <w:rPr>
                <w:b w:val="0"/>
                <w:sz w:val="17"/>
              </w:rPr>
              <w:t>2026</w:t>
            </w:r>
          </w:p>
        </w:tc>
        <w:tc>
          <w:tcPr>
            <w:tcW w:type="dxa" w:w="1680"/>
            <w:vAlign w:val="center"/>
          </w:tcPr>
          <w:p>
            <w:r>
              <w:rPr>
                <w:sz w:val="17"/>
              </w:rPr>
            </w:r>
            <w:r>
              <w:rPr>
                <w:b w:val="0"/>
                <w:sz w:val="17"/>
              </w:rPr>
              <w:t>45</w:t>
            </w:r>
          </w:p>
        </w:tc>
        <w:tc>
          <w:tcPr>
            <w:tcW w:type="dxa" w:w="1680"/>
            <w:vAlign w:val="center"/>
          </w:tcPr>
          <w:p>
            <w:r>
              <w:rPr>
                <w:sz w:val="17"/>
              </w:rPr>
            </w:r>
            <w:r>
              <w:rPr>
                <w:b w:val="0"/>
                <w:sz w:val="17"/>
              </w:rPr>
              <w:t>$72,332</w:t>
            </w:r>
          </w:p>
        </w:tc>
        <w:tc>
          <w:tcPr>
            <w:tcW w:type="dxa" w:w="1680"/>
            <w:vAlign w:val="center"/>
          </w:tcPr>
          <w:p>
            <w:r>
              <w:rPr>
                <w:sz w:val="17"/>
              </w:rPr>
            </w:r>
            <w:r>
              <w:rPr>
                <w:b w:val="0"/>
                <w:sz w:val="17"/>
              </w:rPr>
              <w:t>$1,607</w:t>
            </w:r>
          </w:p>
        </w:tc>
        <w:tc>
          <w:tcPr>
            <w:tcW w:type="dxa" w:w="1680"/>
            <w:vAlign w:val="center"/>
          </w:tcPr>
          <w:p>
            <w:r>
              <w:rPr>
                <w:sz w:val="17"/>
              </w:rPr>
            </w:r>
            <w:r>
              <w:rPr>
                <w:b w:val="0"/>
                <w:sz w:val="17"/>
              </w:rPr>
              <w:t>64.44%</w:t>
            </w:r>
          </w:p>
        </w:tc>
        <w:tc>
          <w:tcPr>
            <w:tcW w:type="dxa" w:w="1680"/>
            <w:vAlign w:val="center"/>
          </w:tcPr>
          <w:p>
            <w:r>
              <w:rPr>
                <w:sz w:val="17"/>
              </w:rPr>
            </w:r>
            <w:r>
              <w:rPr>
                <w:b w:val="0"/>
                <w:sz w:val="17"/>
              </w:rPr>
              <w:t>-$28,660</w:t>
            </w:r>
          </w:p>
        </w:tc>
      </w:tr>
    </w:tbl>
    <w:p/>
    <w:p>
      <w:pPr>
        <w:pStyle w:val="Heading1"/>
      </w:pPr>
      <w:r>
        <w:t>9. Interpretation</w:t>
      </w:r>
    </w:p>
    <w:p>
      <w:pPr>
        <w:pStyle w:val="ListBullet"/>
      </w:pPr>
      <w:r>
        <w:t>The final signal is not merely a 30 DTE VRP trade. It is a conditional tenor-selection framework across the 9-33 DTE term structure.</w:t>
      </w:r>
    </w:p>
    <w:p>
      <w:pPr>
        <w:pStyle w:val="ListBullet"/>
      </w:pPr>
      <w:r>
        <w:t>The Core layer drives most of the result and has the better win rate. Secondary contributes additional trades but is deliberately subordinated to Core.</w:t>
      </w:r>
    </w:p>
    <w:p>
      <w:pPr>
        <w:pStyle w:val="ListBullet"/>
      </w:pPr>
      <w:r>
        <w:t>Back-tenor trades deserve the most size in both Core and Secondary. Front-tenor trades can have attractive average P&amp;L/day, but their left-tail behavior justifies the haircut.</w:t>
      </w:r>
    </w:p>
    <w:p>
      <w:pPr>
        <w:pStyle w:val="ListBullet"/>
      </w:pPr>
      <w:r>
        <w:t>The final constant-NAV curve is the best summary for a fixed-risk view because it removes account-growth effects from the backtest.</w:t>
      </w:r>
    </w:p>
    <w:p>
      <w:pPr>
        <w:pStyle w:val="ListBullet"/>
      </w:pPr>
      <w:r>
        <w:t>The final notebook is a clean implementation artifact. The optimization and validation process is documented here, but the exploratory code has been removed from the final notebook.</w:t>
      </w:r>
    </w:p>
    <w:p>
      <w:pPr>
        <w:pStyle w:val="Heading1"/>
      </w:pPr>
      <w:r>
        <w:t>10. Important limitations</w:t>
      </w:r>
    </w:p>
    <w:p>
      <w:pPr>
        <w:pStyle w:val="ListBullet"/>
      </w:pPr>
      <w:r>
        <w:t>The outcome panel is based on naked ATM puts. If the production implementation uses spreads, contract sizing and max-loss definitions must be mapped carefully.</w:t>
      </w:r>
    </w:p>
    <w:p>
      <w:pPr>
        <w:pStyle w:val="ListBullet"/>
      </w:pPr>
      <w:r>
        <w:t>The max-risk percentages are per-trade inception limits. They are not portfolio-level caps and do not prevent overlapping exposure from accumulating.</w:t>
      </w:r>
    </w:p>
    <w:p>
      <w:pPr>
        <w:pStyle w:val="ListBullet"/>
      </w:pPr>
      <w:r>
        <w:t>Portfolio hedging, rolling exposure controls, and stress caps are intentionally separate from this notebook.</w:t>
      </w:r>
    </w:p>
    <w:p>
      <w:pPr>
        <w:pStyle w:val="ListBullet"/>
      </w:pPr>
      <w:r>
        <w:t>Secondary middle has only 10 selected trades. Its final size is intentionally neutral rather than aggressively optimized.</w:t>
      </w:r>
    </w:p>
    <w:p>
      <w:pPr>
        <w:pStyle w:val="ListBullet"/>
      </w:pPr>
      <w:r>
        <w:t>If explicit expiry dates are unavailable, the final plot approximates exit date using actual DTE added to trade date. The P&amp;L amount is unaffected; only the x-axis placement of realized P&amp;L can be approximate.</w:t>
      </w:r>
    </w:p>
    <w:p>
      <w:pPr>
        <w:pStyle w:val="ListBullet"/>
      </w:pPr>
      <w:r>
        <w:t>The research period includes 2019-07-17 through 2026-03-30 selected entry dates. Results outside this period require future data and should be audited as out-of-sample observations.</w:t>
      </w:r>
    </w:p>
    <w:p>
      <w:pPr>
        <w:pStyle w:val="Heading1"/>
      </w:pPr>
      <w:r>
        <w:t>11. Locked final specification</w:t>
      </w:r>
    </w:p>
    <w:p>
      <w:pPr>
        <w:spacing w:before="120" w:after="120"/>
      </w:pPr>
      <w:r>
        <w:rPr>
          <w:b/>
          <w:color w:val="1F4E79"/>
        </w:rPr>
        <w:t>Final signal: locked_2621_win_band_25bps_conditional</w:t>
      </w:r>
    </w:p>
    <w:p>
      <w:pPr>
        <w:spacing w:before="120" w:after="120"/>
      </w:pPr>
      <w:r>
        <w:rPr>
          <w:b/>
          <w:color w:val="1F4E79"/>
        </w:rPr>
        <w:t>Final sizing: Core back 5.00%, Core middle 4.85%, Core front 1.75%, Secondary back 4.50%, Secondary middle 3.25%, Secondary front 1.75%.</w:t>
      </w:r>
    </w:p>
    <w:p>
      <w:r>
        <w:t>A 5.00% trade means the trade is allowed to carry theoretical max loss / max risk at inception equal to 5.00% of the sizing NAV. On $1,000,000 NAV, that is $50,000 of max risk. It does not mean premium received is 5%, broker margin is 5%, expected loss is 5%, or that stress loss is capped at 5% after trade entry.</w:t>
      </w:r>
    </w:p>
    <w:p/>
    <w:p>
      <w:pPr>
        <w:jc w:val="center"/>
      </w:pPr>
      <w:r>
        <w:rPr>
          <w:i/>
          <w:color w:val="787878"/>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