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VRP Production Rebuild - High-Level Project Definition</w:t>
      </w:r>
    </w:p>
    <w:p>
      <w:pPr>
        <w:jc w:val="center"/>
      </w:pPr>
      <w:r>
        <w:rPr>
          <w:i/>
          <w:sz w:val="18"/>
        </w:rPr>
        <w:t>Purpose: define the simplified path from research backtest to a daily/intraday production trading decision process.</w:t>
      </w:r>
    </w:p>
    <w:p>
      <w:pPr>
        <w:pStyle w:val="Heading1"/>
      </w:pPr>
      <w:r>
        <w:t>1. Executive Objective</w:t>
      </w:r>
    </w:p>
    <w:p>
      <w:r>
        <w:rPr>
          <w:b/>
        </w:rPr>
        <w:t xml:space="preserve">The goal is to rebuild the VRP put-selling system into a simple, auditable production process. </w:t>
      </w:r>
      <w:r>
        <w:t>The system should maintain a historical time series that updates with each new trading day and later supports intraday refreshes during the trading day. The production output should answer one question: should we sell a naked SPX put today, and if yes, at what tenor and size?</w:t>
      </w:r>
    </w:p>
    <w:p>
      <w:pPr>
        <w:pStyle w:val="Heading1"/>
      </w:pPr>
      <w:r>
        <w:t>2. Scope of the First Production Version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rial" w:hAnsi="Arial"/>
                <w:b/>
                <w:sz w:val="18"/>
              </w:rPr>
              <w:t>In scope now</w:t>
            </w:r>
          </w:p>
        </w:tc>
        <w:tc>
          <w:tcPr>
            <w:tcW w:type="dxa" w:w="5040"/>
            <w:vAlign w:val="top"/>
            <w:shd w:fill="F2F2F2"/>
          </w:tcPr>
          <w:p>
            <w:r/>
            <w:r>
              <w:rPr>
                <w:rFonts w:ascii="Arial" w:hAnsi="Arial"/>
                <w:b/>
                <w:sz w:val="18"/>
              </w:rPr>
              <w:t>Out of scope for now</w:t>
            </w:r>
          </w:p>
        </w:tc>
      </w:tr>
      <w:tr>
        <w:tc>
          <w:tcPr>
            <w:tcW w:type="dxa" w:w="5040"/>
            <w:vAlign w:val="top"/>
          </w:tcPr>
          <w:p>
            <w:r/>
            <w:r>
              <w:rPr>
                <w:rFonts w:ascii="Arial" w:hAnsi="Arial"/>
                <w:b w:val="0"/>
                <w:sz w:val="18"/>
              </w:rPr>
              <w:t>Naked short ATM puts only</w:t>
            </w:r>
          </w:p>
        </w:tc>
        <w:tc>
          <w:tcPr>
            <w:tcW w:type="dxa" w:w="5040"/>
            <w:vAlign w:val="top"/>
          </w:tcPr>
          <w:p>
            <w:r/>
            <w:r>
              <w:rPr>
                <w:rFonts w:ascii="Arial" w:hAnsi="Arial"/>
                <w:b w:val="0"/>
                <w:sz w:val="18"/>
              </w:rPr>
              <w:t>Put spreads, call spreads, hedges, and multi-leg construction</w:t>
            </w:r>
          </w:p>
        </w:tc>
      </w:tr>
      <w:tr>
        <w:tc>
          <w:tcPr>
            <w:tcW w:type="dxa" w:w="5040"/>
            <w:vAlign w:val="top"/>
          </w:tcPr>
          <w:p>
            <w:r/>
            <w:r>
              <w:rPr>
                <w:rFonts w:ascii="Arial" w:hAnsi="Arial"/>
                <w:b w:val="0"/>
                <w:sz w:val="18"/>
              </w:rPr>
              <w:t>One production VRP measure: log(implied variance / forecast variance)</w:t>
            </w:r>
          </w:p>
        </w:tc>
        <w:tc>
          <w:tcPr>
            <w:tcW w:type="dxa" w:w="5040"/>
            <w:vAlign w:val="top"/>
          </w:tcPr>
          <w:p>
            <w:r/>
            <w:r>
              <w:rPr>
                <w:rFonts w:ascii="Arial" w:hAnsi="Arial"/>
                <w:b w:val="0"/>
                <w:sz w:val="18"/>
              </w:rPr>
              <w:t>Old-vs-forecast signal families such as old_only, forecast_only, either_signal, either_signal_not_hostile, both_confirm</w:t>
            </w:r>
          </w:p>
        </w:tc>
      </w:tr>
      <w:tr>
        <w:tc>
          <w:tcPr>
            <w:tcW w:type="dxa" w:w="5040"/>
            <w:vAlign w:val="top"/>
          </w:tcPr>
          <w:p>
            <w:r/>
            <w:r>
              <w:rPr>
                <w:rFonts w:ascii="Arial" w:hAnsi="Arial"/>
                <w:b w:val="0"/>
                <w:sz w:val="18"/>
              </w:rPr>
              <w:t>Tenor qualification using VRP, z-scores, 21d realized vol, and RSI</w:t>
            </w:r>
          </w:p>
        </w:tc>
        <w:tc>
          <w:tcPr>
            <w:tcW w:type="dxa" w:w="5040"/>
            <w:vAlign w:val="top"/>
          </w:tcPr>
          <w:p>
            <w:r/>
            <w:r>
              <w:rPr>
                <w:rFonts w:ascii="Arial" w:hAnsi="Arial"/>
                <w:b w:val="0"/>
                <w:sz w:val="18"/>
              </w:rPr>
              <w:t>Portfolio risk caps, stress sizing, tail-risk filters, drawdown governors</w:t>
            </w:r>
          </w:p>
        </w:tc>
      </w:tr>
      <w:tr>
        <w:tc>
          <w:tcPr>
            <w:tcW w:type="dxa" w:w="5040"/>
            <w:vAlign w:val="top"/>
          </w:tcPr>
          <w:p>
            <w:r/>
            <w:r>
              <w:rPr>
                <w:rFonts w:ascii="Arial" w:hAnsi="Arial"/>
                <w:b w:val="0"/>
                <w:sz w:val="18"/>
              </w:rPr>
              <w:t>Tenor selection by highest historical win probability among qualifying tenors</w:t>
            </w:r>
          </w:p>
        </w:tc>
        <w:tc>
          <w:tcPr>
            <w:tcW w:type="dxa" w:w="5040"/>
            <w:vAlign w:val="top"/>
          </w:tcPr>
          <w:p>
            <w:r/>
            <w:r>
              <w:rPr>
                <w:rFonts w:ascii="Arial" w:hAnsi="Arial"/>
                <w:b w:val="0"/>
                <w:sz w:val="18"/>
              </w:rPr>
              <w:t>Expected P&amp;L optimization, expected shortfall, or tail-loss optimization</w:t>
            </w:r>
          </w:p>
        </w:tc>
      </w:tr>
      <w:tr>
        <w:tc>
          <w:tcPr>
            <w:tcW w:type="dxa" w:w="5040"/>
            <w:vAlign w:val="top"/>
          </w:tcPr>
          <w:p>
            <w:r/>
            <w:r>
              <w:rPr>
                <w:rFonts w:ascii="Arial" w:hAnsi="Arial"/>
                <w:b w:val="0"/>
                <w:sz w:val="18"/>
              </w:rPr>
              <w:t>Core/Secondary tiering by historical win probability only</w:t>
            </w:r>
          </w:p>
        </w:tc>
        <w:tc>
          <w:tcPr>
            <w:tcW w:type="dxa" w:w="5040"/>
            <w:vAlign w:val="top"/>
          </w:tcPr>
          <w:p>
            <w:r/>
            <w:r>
              <w:rPr>
                <w:rFonts w:ascii="Arial" w:hAnsi="Arial"/>
                <w:b w:val="0"/>
                <w:sz w:val="18"/>
              </w:rPr>
              <w:t>Vol-of-vol regime overlays and discretionary overrides</w:t>
            </w:r>
          </w:p>
        </w:tc>
      </w:tr>
    </w:tbl>
    <w:p>
      <w:pPr>
        <w:pStyle w:val="Heading1"/>
      </w:pPr>
      <w:r>
        <w:t>3. Production Signal Definition</w:t>
      </w:r>
    </w:p>
    <w:p>
      <w:r>
        <w:t>For each date/time snapshot and tenor, calculate:</w:t>
      </w:r>
    </w:p>
    <w:p>
      <w:pPr>
        <w:pStyle w:val="ListBullet"/>
      </w:pPr>
      <w:r>
        <w:t>implied_variance_T: synthetic VIX-style implied variance for tenor T</w:t>
      </w:r>
    </w:p>
    <w:p>
      <w:pPr>
        <w:pStyle w:val="ListBullet"/>
      </w:pPr>
      <w:r>
        <w:t>forecast_variance_T: forecast realized variance for the same tenor T</w:t>
      </w:r>
    </w:p>
    <w:p>
      <w:pPr>
        <w:pStyle w:val="ListBullet"/>
      </w:pPr>
      <w:r>
        <w:t>VRP_T = log(implied_variance_T / forecast_variance_T)</w:t>
      </w:r>
    </w:p>
    <w:p>
      <w:pPr>
        <w:pStyle w:val="ListBullet"/>
      </w:pPr>
      <w:r>
        <w:t>z3m_T: 63-trading-day rolling z-score of VRP_T</w:t>
      </w:r>
    </w:p>
    <w:p>
      <w:pPr>
        <w:pStyle w:val="ListBullet"/>
      </w:pPr>
      <w:r>
        <w:t>z1y_T: 252-trading-day rolling z-score of VRP_T</w:t>
      </w:r>
    </w:p>
    <w:p>
      <w:pPr>
        <w:pStyle w:val="ListBullet"/>
      </w:pPr>
      <w:r>
        <w:t>rv21d: 21-trading-day annualized realized volatility on SPX closes, applied globally regardless of tenor</w:t>
      </w:r>
    </w:p>
    <w:p>
      <w:pPr>
        <w:pStyle w:val="ListBullet"/>
      </w:pPr>
      <w:r>
        <w:t>RSI14: 14-period Wilder RSI on SPX, using the current signal-time price as the latest observation</w:t>
      </w:r>
    </w:p>
    <w:p>
      <w:r>
        <w:rPr>
          <w:b/>
        </w:rPr>
        <w:t>A tenor qualifies if all of the following are true:</w:t>
      </w:r>
    </w:p>
    <w:p>
      <w:pPr>
        <w:pStyle w:val="ListBullet"/>
      </w:pPr>
      <w:r>
        <w:t>VRP_T is greater than or equal to that tenor group threshold.</w:t>
      </w:r>
    </w:p>
    <w:p>
      <w:pPr>
        <w:pStyle w:val="ListBullet"/>
      </w:pPr>
      <w:r>
        <w:t>z3m_T is greater than or equal to that tenor group z3m threshold.</w:t>
      </w:r>
    </w:p>
    <w:p>
      <w:pPr>
        <w:pStyle w:val="ListBullet"/>
      </w:pPr>
      <w:r>
        <w:t>z1y_T is greater than or equal to that tenor group z1y threshold.</w:t>
      </w:r>
    </w:p>
    <w:p>
      <w:pPr>
        <w:pStyle w:val="ListBullet"/>
      </w:pPr>
      <w:r>
        <w:t>rv21d is greater than or equal to the global realized-volatility floor.</w:t>
      </w:r>
    </w:p>
    <w:p>
      <w:pPr>
        <w:pStyle w:val="ListBullet"/>
      </w:pPr>
      <w:r>
        <w:t>RSI14 is less than or equal to that tenor group RSI cap.</w:t>
      </w:r>
    </w:p>
    <w:p>
      <w:pPr>
        <w:pStyle w:val="Heading1"/>
      </w:pPr>
      <w:r>
        <w:t>4. RSI Timing Convention</w:t>
      </w:r>
    </w:p>
    <w:p>
      <w:r>
        <w:rPr>
          <w:b/>
        </w:rPr>
        <w:t xml:space="preserve">Use the current signal-time RSI, not the prior business day RSI. </w:t>
      </w:r>
      <w:r>
        <w:t>If today's RSI is 71 at the time the signal is run, then 71 is the value used against the RSI parameter. For an end-of-day run, use same-day close RSI if the trade decision is made after/at the close. For an intraday run, compute RSI using the latest available SPX price at that intraday timestamp as the current observation. Do not silently lag RSI to yesterday unless the production run is explicitly designed to trade only using yesterday's completed data.</w:t>
      </w:r>
    </w:p>
    <w:p>
      <w:pPr>
        <w:pStyle w:val="Heading1"/>
      </w:pPr>
      <w:r>
        <w:t>5. First-Pass Recalibration Grid</w:t>
      </w:r>
    </w:p>
    <w:p>
      <w:r>
        <w:rPr>
          <w:b/>
        </w:rPr>
        <w:t xml:space="preserve">This is a controlled first pass. </w:t>
      </w:r>
      <w:r>
        <w:t>The purpose is not to search an unconstrained parameter universe. The second and possible third passes should narrow around stable areas from this first pass.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r/>
            <w:r>
              <w:rPr>
                <w:rFonts w:ascii="Arial" w:hAnsi="Arial"/>
                <w:b/>
                <w:sz w:val="18"/>
              </w:rPr>
              <w:t>Tenor group</w:t>
            </w:r>
          </w:p>
        </w:tc>
        <w:tc>
          <w:tcPr>
            <w:tcW w:type="dxa" w:w="2016"/>
            <w:vAlign w:val="top"/>
            <w:shd w:fill="D9EAF7"/>
          </w:tcPr>
          <w:p>
            <w:r/>
            <w:r>
              <w:rPr>
                <w:rFonts w:ascii="Arial" w:hAnsi="Arial"/>
                <w:b/>
                <w:sz w:val="18"/>
              </w:rPr>
              <w:t>VRP threshold</w:t>
            </w:r>
          </w:p>
        </w:tc>
        <w:tc>
          <w:tcPr>
            <w:tcW w:type="dxa" w:w="2016"/>
            <w:vAlign w:val="top"/>
            <w:shd w:fill="D9EAF7"/>
          </w:tcPr>
          <w:p>
            <w:r/>
            <w:r>
              <w:rPr>
                <w:rFonts w:ascii="Arial" w:hAnsi="Arial"/>
                <w:b/>
                <w:sz w:val="18"/>
              </w:rPr>
              <w:t>z3m threshold</w:t>
            </w:r>
          </w:p>
        </w:tc>
        <w:tc>
          <w:tcPr>
            <w:tcW w:type="dxa" w:w="2016"/>
            <w:vAlign w:val="top"/>
            <w:shd w:fill="D9EAF7"/>
          </w:tcPr>
          <w:p>
            <w:r/>
            <w:r>
              <w:rPr>
                <w:rFonts w:ascii="Arial" w:hAnsi="Arial"/>
                <w:b/>
                <w:sz w:val="18"/>
              </w:rPr>
              <w:t>z1y threshold</w:t>
            </w:r>
          </w:p>
        </w:tc>
        <w:tc>
          <w:tcPr>
            <w:tcW w:type="dxa" w:w="2016"/>
            <w:vAlign w:val="top"/>
            <w:shd w:fill="D9EAF7"/>
          </w:tcPr>
          <w:p>
            <w:r/>
            <w:r>
              <w:rPr>
                <w:rFonts w:ascii="Arial" w:hAnsi="Arial"/>
                <w:b/>
                <w:sz w:val="18"/>
              </w:rPr>
              <w:t>RSI cap</w:t>
            </w:r>
          </w:p>
        </w:tc>
      </w:tr>
      <w:tr>
        <w:tc>
          <w:tcPr>
            <w:tcW w:type="dxa" w:w="2016"/>
            <w:vAlign w:val="top"/>
          </w:tcPr>
          <w:p>
            <w:r/>
            <w:r>
              <w:rPr>
                <w:rFonts w:ascii="Arial" w:hAnsi="Arial"/>
                <w:b w:val="0"/>
                <w:sz w:val="18"/>
              </w:rPr>
              <w:t>Front</w:t>
            </w:r>
          </w:p>
        </w:tc>
        <w:tc>
          <w:tcPr>
            <w:tcW w:type="dxa" w:w="2016"/>
            <w:vAlign w:val="top"/>
          </w:tcPr>
          <w:p>
            <w:r/>
            <w:r>
              <w:rPr>
                <w:rFonts w:ascii="Arial" w:hAnsi="Arial"/>
                <w:b w:val="0"/>
                <w:sz w:val="18"/>
              </w:rPr>
              <w:t>[0.5, 0.6, 0.7]</w:t>
            </w:r>
          </w:p>
        </w:tc>
        <w:tc>
          <w:tcPr>
            <w:tcW w:type="dxa" w:w="2016"/>
            <w:vAlign w:val="top"/>
          </w:tcPr>
          <w:p>
            <w:r/>
            <w:r>
              <w:rPr>
                <w:rFonts w:ascii="Arial" w:hAnsi="Arial"/>
                <w:b w:val="0"/>
                <w:sz w:val="18"/>
              </w:rPr>
              <w:t>[0.5, 0.6, 0.7]</w:t>
            </w:r>
          </w:p>
        </w:tc>
        <w:tc>
          <w:tcPr>
            <w:tcW w:type="dxa" w:w="2016"/>
            <w:vAlign w:val="top"/>
          </w:tcPr>
          <w:p>
            <w:r/>
            <w:r>
              <w:rPr>
                <w:rFonts w:ascii="Arial" w:hAnsi="Arial"/>
                <w:b w:val="0"/>
                <w:sz w:val="18"/>
              </w:rPr>
              <w:t>[0.5, 0.6, 0.7]</w:t>
            </w:r>
          </w:p>
        </w:tc>
        <w:tc>
          <w:tcPr>
            <w:tcW w:type="dxa" w:w="2016"/>
            <w:vAlign w:val="top"/>
          </w:tcPr>
          <w:p>
            <w:r/>
            <w:r>
              <w:rPr>
                <w:rFonts w:ascii="Arial" w:hAnsi="Arial"/>
                <w:b w:val="0"/>
                <w:sz w:val="18"/>
              </w:rPr>
              <w:t>[64, 68, 72]</w:t>
            </w:r>
          </w:p>
        </w:tc>
      </w:tr>
      <w:tr>
        <w:tc>
          <w:tcPr>
            <w:tcW w:type="dxa" w:w="2016"/>
            <w:vAlign w:val="top"/>
          </w:tcPr>
          <w:p>
            <w:r/>
            <w:r>
              <w:rPr>
                <w:rFonts w:ascii="Arial" w:hAnsi="Arial"/>
                <w:b w:val="0"/>
                <w:sz w:val="18"/>
              </w:rPr>
              <w:t>Middle</w:t>
            </w:r>
          </w:p>
        </w:tc>
        <w:tc>
          <w:tcPr>
            <w:tcW w:type="dxa" w:w="2016"/>
            <w:vAlign w:val="top"/>
          </w:tcPr>
          <w:p>
            <w:r/>
            <w:r>
              <w:rPr>
                <w:rFonts w:ascii="Arial" w:hAnsi="Arial"/>
                <w:b w:val="0"/>
                <w:sz w:val="18"/>
              </w:rPr>
              <w:t>[0.6, 0.7]</w:t>
            </w:r>
          </w:p>
        </w:tc>
        <w:tc>
          <w:tcPr>
            <w:tcW w:type="dxa" w:w="2016"/>
            <w:vAlign w:val="top"/>
          </w:tcPr>
          <w:p>
            <w:r/>
            <w:r>
              <w:rPr>
                <w:rFonts w:ascii="Arial" w:hAnsi="Arial"/>
                <w:b w:val="0"/>
                <w:sz w:val="18"/>
              </w:rPr>
              <w:t>[0.5, 0.6, 0.7]</w:t>
            </w:r>
          </w:p>
        </w:tc>
        <w:tc>
          <w:tcPr>
            <w:tcW w:type="dxa" w:w="2016"/>
            <w:vAlign w:val="top"/>
          </w:tcPr>
          <w:p>
            <w:r/>
            <w:r>
              <w:rPr>
                <w:rFonts w:ascii="Arial" w:hAnsi="Arial"/>
                <w:b w:val="0"/>
                <w:sz w:val="18"/>
              </w:rPr>
              <w:t>[0.5, 0.6, 0.7]</w:t>
            </w:r>
          </w:p>
        </w:tc>
        <w:tc>
          <w:tcPr>
            <w:tcW w:type="dxa" w:w="2016"/>
            <w:vAlign w:val="top"/>
          </w:tcPr>
          <w:p>
            <w:r/>
            <w:r>
              <w:rPr>
                <w:rFonts w:ascii="Arial" w:hAnsi="Arial"/>
                <w:b w:val="0"/>
                <w:sz w:val="18"/>
              </w:rPr>
              <w:t>[64, 68, 72]</w:t>
            </w:r>
          </w:p>
        </w:tc>
      </w:tr>
      <w:tr>
        <w:tc>
          <w:tcPr>
            <w:tcW w:type="dxa" w:w="2016"/>
            <w:vAlign w:val="top"/>
          </w:tcPr>
          <w:p>
            <w:r/>
            <w:r>
              <w:rPr>
                <w:rFonts w:ascii="Arial" w:hAnsi="Arial"/>
                <w:b w:val="0"/>
                <w:sz w:val="18"/>
              </w:rPr>
              <w:t>Back</w:t>
            </w:r>
          </w:p>
        </w:tc>
        <w:tc>
          <w:tcPr>
            <w:tcW w:type="dxa" w:w="2016"/>
            <w:vAlign w:val="top"/>
          </w:tcPr>
          <w:p>
            <w:r/>
            <w:r>
              <w:rPr>
                <w:rFonts w:ascii="Arial" w:hAnsi="Arial"/>
                <w:b w:val="0"/>
                <w:sz w:val="18"/>
              </w:rPr>
              <w:t>[0.7]</w:t>
            </w:r>
          </w:p>
        </w:tc>
        <w:tc>
          <w:tcPr>
            <w:tcW w:type="dxa" w:w="2016"/>
            <w:vAlign w:val="top"/>
          </w:tcPr>
          <w:p>
            <w:r/>
            <w:r>
              <w:rPr>
                <w:rFonts w:ascii="Arial" w:hAnsi="Arial"/>
                <w:b w:val="0"/>
                <w:sz w:val="18"/>
              </w:rPr>
              <w:t>[0.5, 0.6, 0.7]</w:t>
            </w:r>
          </w:p>
        </w:tc>
        <w:tc>
          <w:tcPr>
            <w:tcW w:type="dxa" w:w="2016"/>
            <w:vAlign w:val="top"/>
          </w:tcPr>
          <w:p>
            <w:r/>
            <w:r>
              <w:rPr>
                <w:rFonts w:ascii="Arial" w:hAnsi="Arial"/>
                <w:b w:val="0"/>
                <w:sz w:val="18"/>
              </w:rPr>
              <w:t>[0.5, 0.6, 0.7]</w:t>
            </w:r>
          </w:p>
        </w:tc>
        <w:tc>
          <w:tcPr>
            <w:tcW w:type="dxa" w:w="2016"/>
            <w:vAlign w:val="top"/>
          </w:tcPr>
          <w:p>
            <w:r/>
            <w:r>
              <w:rPr>
                <w:rFonts w:ascii="Arial" w:hAnsi="Arial"/>
                <w:b w:val="0"/>
                <w:sz w:val="18"/>
              </w:rPr>
              <w:t>[58, 62, 68]</w:t>
            </w:r>
          </w:p>
        </w:tc>
      </w:tr>
    </w:tbl>
    <w:p>
      <w:r>
        <w:rPr>
          <w:b/>
        </w:rPr>
        <w:t xml:space="preserve">Global realized-volatility floor: </w:t>
      </w:r>
      <w:r>
        <w:t>rv21d_floor = [7.0, 7.5, 8.5]. This filter is market-level and does not vary by selected tenor.</w:t>
      </w:r>
    </w:p>
    <w:p>
      <w:pPr>
        <w:pStyle w:val="Heading1"/>
      </w:pPr>
      <w:r>
        <w:t>6. Tenor Selection and Tiering</w:t>
      </w:r>
    </w:p>
    <w:p>
      <w:pPr>
        <w:pStyle w:val="ListBullet"/>
      </w:pPr>
      <w:r>
        <w:t>Run the qualification rules independently across all target tenors.</w:t>
      </w:r>
    </w:p>
    <w:p>
      <w:pPr>
        <w:pStyle w:val="ListBullet"/>
      </w:pPr>
      <w:r>
        <w:t>If no tenor qualifies, there is no trade.</w:t>
      </w:r>
    </w:p>
    <w:p>
      <w:pPr>
        <w:pStyle w:val="ListBullet"/>
      </w:pPr>
      <w:r>
        <w:t>If one or more tenors qualify, select the qualifying tenor with the highest historical probability of winning based on the recalibrated backtest output.</w:t>
      </w:r>
    </w:p>
    <w:p>
      <w:pPr>
        <w:pStyle w:val="ListBullet"/>
      </w:pPr>
      <w:r>
        <w:t>Core = selected tenor win probability &gt;= 80%.</w:t>
      </w:r>
    </w:p>
    <w:p>
      <w:pPr>
        <w:pStyle w:val="ListBullet"/>
      </w:pPr>
      <w:r>
        <w:t>Secondary = selected tenor win probability &gt;= 75%. The cutoff may later be tested down to 70% only if required to reach the minimum frequency target.</w:t>
      </w:r>
    </w:p>
    <w:p>
      <w:pPr>
        <w:pStyle w:val="ListBullet"/>
      </w:pPr>
      <w:r>
        <w:t>Sizing is based only on Core/Secondary for now: Core = 1.00x, Secondary = 0.50x.</w:t>
      </w:r>
    </w:p>
    <w:p>
      <w:pPr>
        <w:pStyle w:val="Heading1"/>
      </w:pPr>
      <w:r>
        <w:t>7. Backtest Objective</w:t>
      </w:r>
    </w:p>
    <w:p>
      <w:r>
        <w:rPr>
          <w:b/>
        </w:rPr>
        <w:t xml:space="preserve">Primary objective: </w:t>
      </w:r>
      <w:r>
        <w:t>maximize selected-trade win probability subject to achieving sufficient signal frequency.</w:t>
      </w:r>
    </w:p>
    <w:p>
      <w:pPr>
        <w:pStyle w:val="ListBullet"/>
      </w:pPr>
      <w:r>
        <w:t>Target minimum frequency: approximately one trade out of every three trading days on average.</w:t>
      </w:r>
    </w:p>
    <w:p>
      <w:pPr>
        <w:pStyle w:val="ListBullet"/>
      </w:pPr>
      <w:r>
        <w:t>Rank first-pass parameter sets by whether they meet the frequency target, then by selected-trade win rate.</w:t>
      </w:r>
    </w:p>
    <w:p>
      <w:pPr>
        <w:pStyle w:val="ListBullet"/>
      </w:pPr>
      <w:r>
        <w:t>Do not rank by expected P&amp;L, tail risk, max drawdown, stress loss, or risk-adjusted return in this version.</w:t>
      </w:r>
    </w:p>
    <w:p>
      <w:pPr>
        <w:pStyle w:val="ListBullet"/>
      </w:pPr>
      <w:r>
        <w:t>Use P&amp;L fields only to define whether a trade won or lost, not as an optimization objective.</w:t>
      </w:r>
    </w:p>
    <w:p>
      <w:pPr>
        <w:pStyle w:val="Heading1"/>
      </w:pPr>
      <w:r>
        <w:t>8. Notebook Workflow</w:t>
      </w:r>
    </w:p>
    <w:p>
      <w:r>
        <w:rPr>
          <w:b/>
        </w:rPr>
        <w:t xml:space="preserve">Do not restart by creating a brand-new Notebook 1. </w:t>
      </w:r>
      <w:r>
        <w:t>The current feature-building notebook remains the base. The next research step should build on the existing production folder and use its feature panel outputs. The recalibration notebook should be a subsequent notebook, not a replacement Notebook 1.</w:t>
      </w:r>
    </w:p>
    <w:p>
      <w:pPr>
        <w:pStyle w:val="ListBullet"/>
      </w:pPr>
      <w:r>
        <w:t>Notebook 1: build/maintain the feature panel: implied variance, forecast variance, VRP, z3m, z1y, rv21d, RSI14.</w:t>
      </w:r>
    </w:p>
    <w:p>
      <w:pPr>
        <w:pStyle w:val="ListBullet"/>
      </w:pPr>
      <w:r>
        <w:t>Notebook 2: config/recovery documentation can remain, but it is not the main recalibration engine.</w:t>
      </w:r>
    </w:p>
    <w:p>
      <w:pPr>
        <w:pStyle w:val="ListBullet"/>
      </w:pPr>
      <w:r>
        <w:t>Next research notebook: run the simplified parameter grid and produce the recalibration summary plus daily audit outputs.</w:t>
      </w:r>
    </w:p>
    <w:p>
      <w:pPr>
        <w:pStyle w:val="ListBullet"/>
      </w:pPr>
      <w:r>
        <w:t>Later production script/app: refresh the time series daily and eventually intraday, then produce trade/no-trade, selected tenor, tier, and size.</w:t>
      </w:r>
    </w:p>
    <w:p>
      <w:pPr>
        <w:pStyle w:val="Heading1"/>
      </w:pPr>
      <w:r>
        <w:t>9. Approval Gates Before Coding</w:t>
      </w:r>
    </w:p>
    <w:p>
      <w:pPr>
        <w:pStyle w:val="ListBullet"/>
      </w:pPr>
      <w:r>
        <w:t>Confirm the first-pass grid above.</w:t>
      </w:r>
    </w:p>
    <w:p>
      <w:pPr>
        <w:pStyle w:val="ListBullet"/>
      </w:pPr>
      <w:r>
        <w:t>Confirm current-day/signal-time RSI convention.</w:t>
      </w:r>
    </w:p>
    <w:p>
      <w:pPr>
        <w:pStyle w:val="ListBullet"/>
      </w:pPr>
      <w:r>
        <w:t>Confirm no signal_family field in the simplified framework.</w:t>
      </w:r>
    </w:p>
    <w:p>
      <w:pPr>
        <w:pStyle w:val="ListBullet"/>
      </w:pPr>
      <w:r>
        <w:t>Confirm the next notebook should be a recalibration notebook that builds on existing Notebook 1 outputs.</w:t>
      </w:r>
    </w:p>
    <w:p>
      <w:pPr>
        <w:pStyle w:val="ListBullet"/>
      </w:pPr>
      <w:r>
        <w:t>Only after approval, write the next notebook cells.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VRP Production Rebuild - high-level project definition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