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VRP Production Rebuild - Locked v0.1 Project Charter</w:t>
      </w:r>
    </w:p>
    <w:p>
      <w:pPr>
        <w:jc w:val="center"/>
      </w:pPr>
      <w:r>
        <w:rPr>
          <w:i/>
          <w:sz w:val="20"/>
        </w:rPr>
        <w:t>Updated charter replacing first-pass grid placeholders with the locked signal, selection, and per-trade sizing framework.</w:t>
      </w:r>
    </w:p>
    <w:p>
      <w:pPr>
        <w:jc w:val="center"/>
      </w:pPr>
      <w:r>
        <w:rPr>
          <w:sz w:val="18"/>
        </w:rPr>
        <w:t>Updated: 2026-07-03</w:t>
      </w:r>
    </w:p>
    <w:p/>
    <w:tbl>
      <w:tblPr>
        <w:tblStyle w:val="TableGrid"/>
        <w:tblW w:type="auto" w:w="0"/>
        <w:jc w:val="center"/>
        <w:tblLook w:firstColumn="1" w:firstRow="1" w:lastColumn="0" w:lastRow="0" w:noHBand="0" w:noVBand="1" w:val="04A0"/>
      </w:tblPr>
      <w:tblGrid>
        <w:gridCol w:w="10656"/>
      </w:tblGrid>
      <w:tr>
        <w:tc>
          <w:tcPr>
            <w:tcW w:type="dxa" w:w="10656"/>
            <w:shd w:fill="EAF2F8"/>
          </w:tcPr>
          <w:p>
            <w:pPr>
              <w:spacing w:after="0" w:before="0" w:line="240" w:lineRule="auto"/>
            </w:pPr>
            <w:r>
              <w:rPr>
                <w:b/>
                <w:sz w:val="20"/>
              </w:rPr>
              <w:t>Status</w:t>
            </w:r>
          </w:p>
          <w:p>
            <w:pPr>
              <w:spacing w:after="0" w:before="0" w:line="240" w:lineRule="auto"/>
            </w:pPr>
            <w:r>
              <w:rPr>
                <w:sz w:val="18"/>
              </w:rPr>
              <w:t>The research parameter set and per-trade sizing layer are now locked for production v0.1. Portfolio overlap, stress caps, drawdown governors, and hedging remain separate risk-management layers and are not part of this sizing lock.</w:t>
            </w:r>
          </w:p>
        </w:tc>
      </w:tr>
    </w:tbl>
    <w:p/>
    <w:p>
      <w:pPr>
        <w:pStyle w:val="Heading1"/>
      </w:pPr>
      <w:r>
        <w:t>1. Executive objective</w:t>
      </w:r>
    </w:p>
    <w:p>
      <w:r>
        <w:rPr>
          <w:b/>
        </w:rPr>
        <w:t xml:space="preserve">The objective is to rebuild the VRP put-selling system into a simple, auditable production process. </w:t>
      </w:r>
      <w:r>
        <w:t>The production process should maintain a historical time series that updates each trading day and later supports intraday refreshes. The daily/intraday output should answer one core question: should we sell a naked SPX put now, and if yes, at what tenor and at what per-trade max-loss size?</w:t>
      </w:r>
    </w:p>
    <w:p>
      <w:r>
        <w:rPr>
          <w:b/>
        </w:rPr>
        <w:t xml:space="preserve">Production v0.1 is deliberately narrow: </w:t>
      </w:r>
      <w:r>
        <w:t>it converts the locked research signal into a deterministic trade/no-trade decision process. It does not attempt to solve final portfolio hedging, portfolio-wide caps, or spread construction. Those are downstream risk-management layers.</w:t>
      </w:r>
    </w:p>
    <w:p>
      <w:pPr>
        <w:pStyle w:val="Heading1"/>
      </w:pPr>
      <w:r>
        <w:t>2. Scope of locked production v0.1</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center"/>
          </w:tcPr>
          <w:p>
            <w:pPr>
              <w:spacing w:after="0" w:before="0" w:line="240" w:lineRule="auto"/>
            </w:pPr>
            <w:r/>
            <w:r>
              <w:rPr>
                <w:b/>
                <w:color w:val="FFFFFF"/>
                <w:sz w:val="16"/>
              </w:rPr>
              <w:t>In scope now</w:t>
            </w:r>
          </w:p>
        </w:tc>
        <w:tc>
          <w:tcPr>
            <w:tcW w:type="dxa" w:w="5328"/>
            <w:shd w:fill="1F4E79"/>
            <w:vAlign w:val="center"/>
          </w:tcPr>
          <w:p>
            <w:pPr>
              <w:spacing w:after="0" w:before="0" w:line="240" w:lineRule="auto"/>
            </w:pPr>
            <w:r/>
            <w:r>
              <w:rPr>
                <w:b/>
                <w:color w:val="FFFFFF"/>
                <w:sz w:val="16"/>
              </w:rPr>
              <w:t>Out of scope for this layer</w:t>
            </w:r>
          </w:p>
        </w:tc>
      </w:tr>
      <w:tr>
        <w:tc>
          <w:tcPr>
            <w:tcW w:type="dxa" w:w="5328"/>
            <w:vAlign w:val="top"/>
          </w:tcPr>
          <w:p>
            <w:pPr>
              <w:spacing w:after="0" w:before="0" w:line="240" w:lineRule="auto"/>
            </w:pPr>
            <w:r/>
            <w:r>
              <w:rPr>
                <w:b w:val="0"/>
                <w:sz w:val="16"/>
              </w:rPr>
              <w:t>Naked short ATM SPX puts as the research/trading unit</w:t>
            </w:r>
          </w:p>
        </w:tc>
        <w:tc>
          <w:tcPr>
            <w:tcW w:type="dxa" w:w="5328"/>
            <w:vAlign w:val="top"/>
          </w:tcPr>
          <w:p>
            <w:pPr>
              <w:spacing w:after="0" w:before="0" w:line="240" w:lineRule="auto"/>
            </w:pPr>
            <w:r/>
            <w:r>
              <w:rPr>
                <w:b w:val="0"/>
                <w:sz w:val="16"/>
              </w:rPr>
              <w:t>Put spreads, call spreads, collars, or multi-leg construction</w:t>
            </w:r>
          </w:p>
        </w:tc>
      </w:tr>
      <w:tr>
        <w:tc>
          <w:tcPr>
            <w:tcW w:type="dxa" w:w="5328"/>
            <w:vAlign w:val="top"/>
          </w:tcPr>
          <w:p>
            <w:pPr>
              <w:spacing w:after="0" w:before="0" w:line="240" w:lineRule="auto"/>
            </w:pPr>
            <w:r/>
            <w:r>
              <w:rPr>
                <w:b w:val="0"/>
                <w:sz w:val="16"/>
              </w:rPr>
              <w:t>One production VRP measure: log(implied variance / forecast variance)</w:t>
            </w:r>
          </w:p>
        </w:tc>
        <w:tc>
          <w:tcPr>
            <w:tcW w:type="dxa" w:w="5328"/>
            <w:vAlign w:val="top"/>
          </w:tcPr>
          <w:p>
            <w:pPr>
              <w:spacing w:after="0" w:before="0" w:line="240" w:lineRule="auto"/>
            </w:pPr>
            <w:r/>
            <w:r>
              <w:rPr>
                <w:b w:val="0"/>
                <w:sz w:val="16"/>
              </w:rPr>
              <w:t>Legacy signal families such as old_only, forecast_only, either_signal, both_confirm</w:t>
            </w:r>
          </w:p>
        </w:tc>
      </w:tr>
      <w:tr>
        <w:tc>
          <w:tcPr>
            <w:tcW w:type="dxa" w:w="5328"/>
            <w:vAlign w:val="top"/>
          </w:tcPr>
          <w:p>
            <w:pPr>
              <w:spacing w:after="0" w:before="0" w:line="240" w:lineRule="auto"/>
            </w:pPr>
            <w:r/>
            <w:r>
              <w:rPr>
                <w:b w:val="0"/>
                <w:sz w:val="16"/>
              </w:rPr>
              <w:t>Tenor qualification using VRP, 3m z-score, 1y z-score, 21d realized vol, and RSI</w:t>
            </w:r>
          </w:p>
        </w:tc>
        <w:tc>
          <w:tcPr>
            <w:tcW w:type="dxa" w:w="5328"/>
            <w:vAlign w:val="top"/>
          </w:tcPr>
          <w:p>
            <w:pPr>
              <w:spacing w:after="0" w:before="0" w:line="240" w:lineRule="auto"/>
            </w:pPr>
            <w:r/>
            <w:r>
              <w:rPr>
                <w:b w:val="0"/>
                <w:sz w:val="16"/>
              </w:rPr>
              <w:t>Vol-of-vol regime overlays and discretionary overrides</w:t>
            </w:r>
          </w:p>
        </w:tc>
      </w:tr>
      <w:tr>
        <w:tc>
          <w:tcPr>
            <w:tcW w:type="dxa" w:w="5328"/>
            <w:vAlign w:val="top"/>
          </w:tcPr>
          <w:p>
            <w:pPr>
              <w:spacing w:after="0" w:before="0" w:line="240" w:lineRule="auto"/>
            </w:pPr>
            <w:r/>
            <w:r>
              <w:rPr>
                <w:b w:val="0"/>
                <w:sz w:val="16"/>
              </w:rPr>
              <w:t>Core-first / Secondary-second tiering and one selected tenor per date</w:t>
            </w:r>
          </w:p>
        </w:tc>
        <w:tc>
          <w:tcPr>
            <w:tcW w:type="dxa" w:w="5328"/>
            <w:vAlign w:val="top"/>
          </w:tcPr>
          <w:p>
            <w:pPr>
              <w:spacing w:after="0" w:before="0" w:line="240" w:lineRule="auto"/>
            </w:pPr>
            <w:r/>
            <w:r>
              <w:rPr>
                <w:b w:val="0"/>
                <w:sz w:val="16"/>
              </w:rPr>
              <w:t>Multiple same-day trades from multiple qualifying buckets</w:t>
            </w:r>
          </w:p>
        </w:tc>
      </w:tr>
      <w:tr>
        <w:tc>
          <w:tcPr>
            <w:tcW w:type="dxa" w:w="5328"/>
            <w:vAlign w:val="top"/>
          </w:tcPr>
          <w:p>
            <w:pPr>
              <w:spacing w:after="0" w:before="0" w:line="240" w:lineRule="auto"/>
            </w:pPr>
            <w:r/>
            <w:r>
              <w:rPr>
                <w:b w:val="0"/>
                <w:sz w:val="16"/>
              </w:rPr>
              <w:t>Tenor choice using conditional win probability first and P&amp;L/day only inside a 25 bps win-rate band</w:t>
            </w:r>
          </w:p>
        </w:tc>
        <w:tc>
          <w:tcPr>
            <w:tcW w:type="dxa" w:w="5328"/>
            <w:vAlign w:val="top"/>
          </w:tcPr>
          <w:p>
            <w:pPr>
              <w:spacing w:after="0" w:before="0" w:line="240" w:lineRule="auto"/>
            </w:pPr>
            <w:r/>
            <w:r>
              <w:rPr>
                <w:b w:val="0"/>
                <w:sz w:val="16"/>
              </w:rPr>
              <w:t>Pure expected-P&amp;L optimization as the primary selection objective</w:t>
            </w:r>
          </w:p>
        </w:tc>
      </w:tr>
      <w:tr>
        <w:tc>
          <w:tcPr>
            <w:tcW w:type="dxa" w:w="5328"/>
            <w:vAlign w:val="top"/>
          </w:tcPr>
          <w:p>
            <w:pPr>
              <w:spacing w:after="0" w:before="0" w:line="240" w:lineRule="auto"/>
            </w:pPr>
            <w:r/>
            <w:r>
              <w:rPr>
                <w:b w:val="0"/>
                <w:sz w:val="16"/>
              </w:rPr>
              <w:t>Locked per-trade max-loss sizing by layer and tenor bucket</w:t>
            </w:r>
          </w:p>
        </w:tc>
        <w:tc>
          <w:tcPr>
            <w:tcW w:type="dxa" w:w="5328"/>
            <w:vAlign w:val="top"/>
          </w:tcPr>
          <w:p>
            <w:pPr>
              <w:spacing w:after="0" w:before="0" w:line="240" w:lineRule="auto"/>
            </w:pPr>
            <w:r/>
            <w:r>
              <w:rPr>
                <w:b w:val="0"/>
                <w:sz w:val="16"/>
              </w:rPr>
              <w:t>Portfolio exposure caps, stress sizing, drawdown governors, and hedging policy</w:t>
            </w:r>
          </w:p>
        </w:tc>
      </w:tr>
    </w:tbl>
    <w:p/>
    <w:p>
      <w:pPr>
        <w:pStyle w:val="Heading1"/>
      </w:pPr>
      <w:r>
        <w:t>3. Required inputs and source locations</w:t>
      </w:r>
    </w:p>
    <w:p>
      <w:r>
        <w:t>The production system depends on the existing feature-building workflow plus the outcome panel used for signal calibration and audit. The sources below should be treated as required dependencies for the locked production rebuild.</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1F4E79"/>
            <w:vAlign w:val="center"/>
          </w:tcPr>
          <w:p>
            <w:pPr>
              <w:spacing w:after="0" w:before="0" w:line="240" w:lineRule="auto"/>
            </w:pPr>
            <w:r/>
            <w:r>
              <w:rPr>
                <w:b/>
                <w:color w:val="FFFFFF"/>
                <w:sz w:val="16"/>
              </w:rPr>
              <w:t>Source</w:t>
            </w:r>
          </w:p>
        </w:tc>
        <w:tc>
          <w:tcPr>
            <w:tcW w:type="dxa" w:w="2592"/>
            <w:shd w:fill="1F4E79"/>
            <w:vAlign w:val="center"/>
          </w:tcPr>
          <w:p>
            <w:pPr>
              <w:spacing w:after="0" w:before="0" w:line="240" w:lineRule="auto"/>
            </w:pPr>
            <w:r/>
            <w:r>
              <w:rPr>
                <w:b/>
                <w:color w:val="FFFFFF"/>
                <w:sz w:val="16"/>
              </w:rPr>
              <w:t>Where it comes from</w:t>
            </w:r>
          </w:p>
        </w:tc>
        <w:tc>
          <w:tcPr>
            <w:tcW w:type="dxa" w:w="5616"/>
            <w:shd w:fill="1F4E79"/>
            <w:vAlign w:val="center"/>
          </w:tcPr>
          <w:p>
            <w:pPr>
              <w:spacing w:after="0" w:before="0" w:line="240" w:lineRule="auto"/>
            </w:pPr>
            <w:r/>
            <w:r>
              <w:rPr>
                <w:b/>
                <w:color w:val="FFFFFF"/>
                <w:sz w:val="16"/>
              </w:rPr>
              <w:t>Production role</w:t>
            </w:r>
          </w:p>
        </w:tc>
      </w:tr>
      <w:tr>
        <w:tc>
          <w:tcPr>
            <w:tcW w:type="dxa" w:w="2448"/>
            <w:vAlign w:val="top"/>
          </w:tcPr>
          <w:p>
            <w:pPr>
              <w:spacing w:after="0" w:before="0" w:line="240" w:lineRule="auto"/>
            </w:pPr>
            <w:r/>
            <w:r>
              <w:rPr>
                <w:b w:val="0"/>
                <w:sz w:val="16"/>
              </w:rPr>
              <w:t>SPX option surface / ThetaData</w:t>
            </w:r>
          </w:p>
        </w:tc>
        <w:tc>
          <w:tcPr>
            <w:tcW w:type="dxa" w:w="2592"/>
            <w:vAlign w:val="top"/>
          </w:tcPr>
          <w:p>
            <w:pPr>
              <w:spacing w:after="0" w:before="0" w:line="240" w:lineRule="auto"/>
            </w:pPr>
            <w:r/>
            <w:r>
              <w:rPr>
                <w:b w:val="0"/>
                <w:sz w:val="16"/>
              </w:rPr>
              <w:t>Raw market data provider</w:t>
            </w:r>
          </w:p>
        </w:tc>
        <w:tc>
          <w:tcPr>
            <w:tcW w:type="dxa" w:w="5616"/>
            <w:vAlign w:val="top"/>
          </w:tcPr>
          <w:p>
            <w:pPr>
              <w:spacing w:after="0" w:before="0" w:line="240" w:lineRule="auto"/>
            </w:pPr>
            <w:r/>
            <w:r>
              <w:rPr>
                <w:b w:val="0"/>
                <w:sz w:val="16"/>
              </w:rPr>
              <w:t>SPX option chains used to build synthetic VIX-style implied variance for each target tenor. Required for daily and future intraday refresh.</w:t>
            </w:r>
          </w:p>
        </w:tc>
      </w:tr>
      <w:tr>
        <w:tc>
          <w:tcPr>
            <w:tcW w:type="dxa" w:w="2448"/>
            <w:vAlign w:val="top"/>
          </w:tcPr>
          <w:p>
            <w:pPr>
              <w:spacing w:after="0" w:before="0" w:line="240" w:lineRule="auto"/>
            </w:pPr>
            <w:r/>
            <w:r>
              <w:rPr>
                <w:b w:val="0"/>
                <w:sz w:val="16"/>
              </w:rPr>
              <w:t>SPX close and latest SPX price</w:t>
            </w:r>
          </w:p>
        </w:tc>
        <w:tc>
          <w:tcPr>
            <w:tcW w:type="dxa" w:w="2592"/>
            <w:vAlign w:val="top"/>
          </w:tcPr>
          <w:p>
            <w:pPr>
              <w:spacing w:after="0" w:before="0" w:line="240" w:lineRule="auto"/>
            </w:pPr>
            <w:r/>
            <w:r>
              <w:rPr>
                <w:b w:val="0"/>
                <w:sz w:val="16"/>
              </w:rPr>
              <w:t>Market data / feature notebook</w:t>
            </w:r>
          </w:p>
        </w:tc>
        <w:tc>
          <w:tcPr>
            <w:tcW w:type="dxa" w:w="5616"/>
            <w:vAlign w:val="top"/>
          </w:tcPr>
          <w:p>
            <w:pPr>
              <w:spacing w:after="0" w:before="0" w:line="240" w:lineRule="auto"/>
            </w:pPr>
            <w:r/>
            <w:r>
              <w:rPr>
                <w:b w:val="0"/>
                <w:sz w:val="16"/>
              </w:rPr>
              <w:t>Used for realized variance, 21d realized volatility, RSI14, and current signal-time RSI for intraday snapshots.</w:t>
            </w:r>
          </w:p>
        </w:tc>
      </w:tr>
      <w:tr>
        <w:tc>
          <w:tcPr>
            <w:tcW w:type="dxa" w:w="2448"/>
            <w:vAlign w:val="top"/>
          </w:tcPr>
          <w:p>
            <w:pPr>
              <w:spacing w:after="0" w:before="0" w:line="240" w:lineRule="auto"/>
            </w:pPr>
            <w:r/>
            <w:r>
              <w:rPr>
                <w:b w:val="0"/>
                <w:sz w:val="16"/>
              </w:rPr>
              <w:t>Forecast variance term structure</w:t>
            </w:r>
          </w:p>
        </w:tc>
        <w:tc>
          <w:tcPr>
            <w:tcW w:type="dxa" w:w="2592"/>
            <w:vAlign w:val="top"/>
          </w:tcPr>
          <w:p>
            <w:pPr>
              <w:spacing w:after="0" w:before="0" w:line="240" w:lineRule="auto"/>
            </w:pPr>
            <w:r/>
            <w:r>
              <w:rPr>
                <w:b w:val="0"/>
                <w:sz w:val="16"/>
              </w:rPr>
              <w:t>Feature-building notebook output</w:t>
            </w:r>
          </w:p>
        </w:tc>
        <w:tc>
          <w:tcPr>
            <w:tcW w:type="dxa" w:w="5616"/>
            <w:vAlign w:val="top"/>
          </w:tcPr>
          <w:p>
            <w:pPr>
              <w:spacing w:after="0" w:before="0" w:line="240" w:lineRule="auto"/>
            </w:pPr>
            <w:r/>
            <w:r>
              <w:rPr>
                <w:b w:val="0"/>
                <w:sz w:val="16"/>
              </w:rPr>
              <w:t>Forecast realized variance for the same horizon as each option-implied variance tenor.</w:t>
            </w:r>
          </w:p>
        </w:tc>
      </w:tr>
      <w:tr>
        <w:tc>
          <w:tcPr>
            <w:tcW w:type="dxa" w:w="2448"/>
            <w:vAlign w:val="top"/>
          </w:tcPr>
          <w:p>
            <w:pPr>
              <w:spacing w:after="0" w:before="0" w:line="240" w:lineRule="auto"/>
            </w:pPr>
            <w:r/>
            <w:r>
              <w:rPr>
                <w:b w:val="0"/>
                <w:sz w:val="16"/>
              </w:rPr>
              <w:t>production_feature_panel_v0_1.parquet</w:t>
            </w:r>
          </w:p>
        </w:tc>
        <w:tc>
          <w:tcPr>
            <w:tcW w:type="dxa" w:w="2592"/>
            <w:vAlign w:val="top"/>
          </w:tcPr>
          <w:p>
            <w:pPr>
              <w:spacing w:after="0" w:before="0" w:line="240" w:lineRule="auto"/>
            </w:pPr>
            <w:r/>
            <w:r>
              <w:rPr>
                <w:b w:val="0"/>
                <w:sz w:val="16"/>
              </w:rPr>
              <w:t>data/processed</w:t>
            </w:r>
          </w:p>
        </w:tc>
        <w:tc>
          <w:tcPr>
            <w:tcW w:type="dxa" w:w="5616"/>
            <w:vAlign w:val="top"/>
          </w:tcPr>
          <w:p>
            <w:pPr>
              <w:spacing w:after="0" w:before="0" w:line="240" w:lineRule="auto"/>
            </w:pPr>
            <w:r/>
            <w:r>
              <w:rPr>
                <w:b w:val="0"/>
                <w:sz w:val="16"/>
              </w:rPr>
              <w:t>Main feature panel containing date, tenor, implied variance, forecast variance, VRP, z3m, z1y, rv21d, and RSI14.</w:t>
            </w:r>
          </w:p>
        </w:tc>
      </w:tr>
      <w:tr>
        <w:tc>
          <w:tcPr>
            <w:tcW w:type="dxa" w:w="2448"/>
            <w:vAlign w:val="top"/>
          </w:tcPr>
          <w:p>
            <w:pPr>
              <w:spacing w:after="0" w:before="0" w:line="240" w:lineRule="auto"/>
            </w:pPr>
            <w:r/>
            <w:r>
              <w:rPr>
                <w:b w:val="0"/>
                <w:sz w:val="16"/>
              </w:rPr>
              <w:t>naked_atm_put_eod_panel_v0_1.parquet</w:t>
            </w:r>
          </w:p>
        </w:tc>
        <w:tc>
          <w:tcPr>
            <w:tcW w:type="dxa" w:w="2592"/>
            <w:vAlign w:val="top"/>
          </w:tcPr>
          <w:p>
            <w:pPr>
              <w:spacing w:after="0" w:before="0" w:line="240" w:lineRule="auto"/>
            </w:pPr>
            <w:r/>
            <w:r>
              <w:rPr>
                <w:b w:val="0"/>
                <w:sz w:val="16"/>
              </w:rPr>
              <w:t>data/processed</w:t>
            </w:r>
          </w:p>
        </w:tc>
        <w:tc>
          <w:tcPr>
            <w:tcW w:type="dxa" w:w="5616"/>
            <w:vAlign w:val="top"/>
          </w:tcPr>
          <w:p>
            <w:pPr>
              <w:spacing w:after="0" w:before="0" w:line="240" w:lineRule="auto"/>
            </w:pPr>
            <w:r/>
            <w:r>
              <w:rPr>
                <w:b w:val="0"/>
                <w:sz w:val="16"/>
              </w:rPr>
              <w:t>Outcome panel for naked ATM SPX put trades; used to determine win/loss, P&amp;L/day, and distribution diagnostics.</w:t>
            </w:r>
          </w:p>
        </w:tc>
      </w:tr>
      <w:tr>
        <w:tc>
          <w:tcPr>
            <w:tcW w:type="dxa" w:w="2448"/>
            <w:vAlign w:val="top"/>
          </w:tcPr>
          <w:p>
            <w:pPr>
              <w:spacing w:after="0" w:before="0" w:line="240" w:lineRule="auto"/>
            </w:pPr>
            <w:r/>
            <w:r>
              <w:rPr>
                <w:b w:val="0"/>
                <w:sz w:val="16"/>
              </w:rPr>
              <w:t>locked 2621 selected-trade outputs</w:t>
            </w:r>
          </w:p>
        </w:tc>
        <w:tc>
          <w:tcPr>
            <w:tcW w:type="dxa" w:w="2592"/>
            <w:vAlign w:val="top"/>
          </w:tcPr>
          <w:p>
            <w:pPr>
              <w:spacing w:after="0" w:before="0" w:line="240" w:lineRule="auto"/>
            </w:pPr>
            <w:r/>
            <w:r>
              <w:rPr>
                <w:b w:val="0"/>
                <w:sz w:val="16"/>
              </w:rPr>
              <w:t>Research notebook / audit outputs</w:t>
            </w:r>
          </w:p>
        </w:tc>
        <w:tc>
          <w:tcPr>
            <w:tcW w:type="dxa" w:w="5616"/>
            <w:vAlign w:val="top"/>
          </w:tcPr>
          <w:p>
            <w:pPr>
              <w:spacing w:after="0" w:before="0" w:line="240" w:lineRule="auto"/>
            </w:pPr>
            <w:r/>
            <w:r>
              <w:rPr>
                <w:b w:val="0"/>
                <w:sz w:val="16"/>
              </w:rPr>
              <w:t>Final selected-trade history for the locked signal and selection rules.</w:t>
            </w:r>
          </w:p>
        </w:tc>
      </w:tr>
      <w:tr>
        <w:tc>
          <w:tcPr>
            <w:tcW w:type="dxa" w:w="2448"/>
            <w:vAlign w:val="top"/>
          </w:tcPr>
          <w:p>
            <w:pPr>
              <w:spacing w:after="0" w:before="0" w:line="240" w:lineRule="auto"/>
            </w:pPr>
            <w:r/>
            <w:r>
              <w:rPr>
                <w:b w:val="0"/>
                <w:sz w:val="16"/>
              </w:rPr>
              <w:t>sizing validation outputs</w:t>
            </w:r>
          </w:p>
        </w:tc>
        <w:tc>
          <w:tcPr>
            <w:tcW w:type="dxa" w:w="2592"/>
            <w:vAlign w:val="top"/>
          </w:tcPr>
          <w:p>
            <w:pPr>
              <w:spacing w:after="0" w:before="0" w:line="240" w:lineRule="auto"/>
            </w:pPr>
            <w:r/>
            <w:r>
              <w:rPr>
                <w:b w:val="0"/>
                <w:sz w:val="16"/>
              </w:rPr>
              <w:t>Research notebook / audit outputs</w:t>
            </w:r>
          </w:p>
        </w:tc>
        <w:tc>
          <w:tcPr>
            <w:tcW w:type="dxa" w:w="5616"/>
            <w:vAlign w:val="top"/>
          </w:tcPr>
          <w:p>
            <w:pPr>
              <w:spacing w:after="0" w:before="0" w:line="240" w:lineRule="auto"/>
            </w:pPr>
            <w:r/>
            <w:r>
              <w:rPr>
                <w:b w:val="0"/>
                <w:sz w:val="16"/>
              </w:rPr>
              <w:t>Per-trade sizing validation, including Core sizing validation and Secondary tenor-split validation.</w:t>
            </w:r>
          </w:p>
        </w:tc>
      </w:tr>
    </w:tbl>
    <w:p/>
    <w:p>
      <w:pPr>
        <w:pStyle w:val="Heading1"/>
      </w:pPr>
      <w:r>
        <w:t>4. Production signal definition</w:t>
      </w:r>
    </w:p>
    <w:p>
      <w:r>
        <w:t>For each date/time snapshot and tenor T, calculate the following features:</w:t>
      </w:r>
    </w:p>
    <w:p>
      <w:pPr>
        <w:pStyle w:val="ListBullet"/>
        <w:spacing w:after="40"/>
      </w:pPr>
      <w:r>
        <w:t>implied_variance_T: synthetic VIX-style implied variance for tenor T.</w:t>
      </w:r>
    </w:p>
    <w:p>
      <w:pPr>
        <w:pStyle w:val="ListBullet"/>
        <w:spacing w:after="40"/>
      </w:pPr>
      <w:r>
        <w:t>forecast_variance_T: forecast realized variance for the same tenor T.</w:t>
      </w:r>
    </w:p>
    <w:p>
      <w:pPr>
        <w:pStyle w:val="ListBullet"/>
        <w:spacing w:after="40"/>
      </w:pPr>
      <w:r>
        <w:t>VRP_T = log(implied_variance_T / forecast_variance_T).</w:t>
      </w:r>
    </w:p>
    <w:p>
      <w:pPr>
        <w:pStyle w:val="ListBullet"/>
        <w:spacing w:after="40"/>
      </w:pPr>
      <w:r>
        <w:t>z3m_T: 63-trading-day rolling z-score of VRP_T.</w:t>
      </w:r>
    </w:p>
    <w:p>
      <w:pPr>
        <w:pStyle w:val="ListBullet"/>
        <w:spacing w:after="40"/>
      </w:pPr>
      <w:r>
        <w:t>z1y_T: 252-trading-day rolling z-score of VRP_T.</w:t>
      </w:r>
    </w:p>
    <w:p>
      <w:pPr>
        <w:pStyle w:val="ListBullet"/>
        <w:spacing w:after="40"/>
      </w:pPr>
      <w:r>
        <w:t>rv21d: 21-trading-day annualized realized volatility on SPX closes, applied globally or by layer as specified below.</w:t>
      </w:r>
    </w:p>
    <w:p>
      <w:pPr>
        <w:pStyle w:val="ListBullet"/>
        <w:spacing w:after="40"/>
      </w:pPr>
      <w:r>
        <w:t>RSI14: 14-period Wilder RSI on SPX, using the current signal-time price as the latest observation.</w:t>
      </w:r>
    </w:p>
    <w:p>
      <w:r>
        <w:t>A tenor qualifies when all locked threshold tests for its layer and tenor bucket are satisfied. The system first evaluates Core. Secondary is evaluated only if no Core tenor qualifies.</w:t>
      </w:r>
    </w:p>
    <w:p>
      <w:pPr>
        <w:pStyle w:val="Heading1"/>
      </w:pPr>
      <w:r>
        <w:t>5. RSI and signal-time convention</w:t>
      </w:r>
    </w:p>
    <w:p>
      <w:r>
        <w:rPr>
          <w:b/>
        </w:rPr>
        <w:t xml:space="preserve">Use current signal-time RSI, not prior-day RSI. </w:t>
      </w:r>
      <w:r>
        <w:t>If today's RSI is 71 when the signal runs, then 71 is compared against the RSI cap. For an end-of-day run, use same-day close RSI if the trade decision is made at or after the close. For an intraday run, compute RSI using the latest available SPX price at that timestamp as the current observation. Do not silently lag RSI to yesterday unless the production run is explicitly designed to trade only on yesterday's completed data.</w:t>
      </w:r>
    </w:p>
    <w:p>
      <w:pPr>
        <w:pStyle w:val="Heading1"/>
      </w:pPr>
      <w:r>
        <w:t>6. Tenor universe and buckets</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spacing w:after="0" w:before="0" w:line="240" w:lineRule="auto"/>
            </w:pPr>
            <w:r/>
            <w:r>
              <w:rPr>
                <w:b/>
                <w:color w:val="FFFFFF"/>
                <w:sz w:val="18"/>
              </w:rPr>
              <w:t>Bucket</w:t>
            </w:r>
          </w:p>
        </w:tc>
        <w:tc>
          <w:tcPr>
            <w:tcW w:type="dxa" w:w="7776"/>
            <w:shd w:fill="1F4E79"/>
            <w:vAlign w:val="center"/>
          </w:tcPr>
          <w:p>
            <w:pPr>
              <w:spacing w:after="0" w:before="0" w:line="240" w:lineRule="auto"/>
            </w:pPr>
            <w:r/>
            <w:r>
              <w:rPr>
                <w:b/>
                <w:color w:val="FFFFFF"/>
                <w:sz w:val="18"/>
              </w:rPr>
              <w:t>Target tenors</w:t>
            </w:r>
          </w:p>
        </w:tc>
      </w:tr>
      <w:tr>
        <w:tc>
          <w:tcPr>
            <w:tcW w:type="dxa" w:w="2880"/>
            <w:vAlign w:val="top"/>
          </w:tcPr>
          <w:p>
            <w:pPr>
              <w:spacing w:after="0" w:before="0" w:line="240" w:lineRule="auto"/>
            </w:pPr>
            <w:r/>
            <w:r>
              <w:rPr>
                <w:b w:val="0"/>
                <w:sz w:val="18"/>
              </w:rPr>
              <w:t>Front</w:t>
            </w:r>
          </w:p>
        </w:tc>
        <w:tc>
          <w:tcPr>
            <w:tcW w:type="dxa" w:w="7776"/>
            <w:vAlign w:val="top"/>
          </w:tcPr>
          <w:p>
            <w:pPr>
              <w:spacing w:after="0" w:before="0" w:line="240" w:lineRule="auto"/>
            </w:pPr>
            <w:r/>
            <w:r>
              <w:rPr>
                <w:b w:val="0"/>
                <w:sz w:val="18"/>
              </w:rPr>
              <w:t>9D, 12D, 15D</w:t>
            </w:r>
          </w:p>
        </w:tc>
      </w:tr>
      <w:tr>
        <w:tc>
          <w:tcPr>
            <w:tcW w:type="dxa" w:w="2880"/>
            <w:vAlign w:val="top"/>
          </w:tcPr>
          <w:p>
            <w:pPr>
              <w:spacing w:after="0" w:before="0" w:line="240" w:lineRule="auto"/>
            </w:pPr>
            <w:r/>
            <w:r>
              <w:rPr>
                <w:b w:val="0"/>
                <w:sz w:val="18"/>
              </w:rPr>
              <w:t>Middle</w:t>
            </w:r>
          </w:p>
        </w:tc>
        <w:tc>
          <w:tcPr>
            <w:tcW w:type="dxa" w:w="7776"/>
            <w:vAlign w:val="top"/>
          </w:tcPr>
          <w:p>
            <w:pPr>
              <w:spacing w:after="0" w:before="0" w:line="240" w:lineRule="auto"/>
            </w:pPr>
            <w:r/>
            <w:r>
              <w:rPr>
                <w:b w:val="0"/>
                <w:sz w:val="18"/>
              </w:rPr>
              <w:t>18D, 21D, 24D</w:t>
            </w:r>
          </w:p>
        </w:tc>
      </w:tr>
      <w:tr>
        <w:tc>
          <w:tcPr>
            <w:tcW w:type="dxa" w:w="2880"/>
            <w:vAlign w:val="top"/>
          </w:tcPr>
          <w:p>
            <w:pPr>
              <w:spacing w:after="0" w:before="0" w:line="240" w:lineRule="auto"/>
            </w:pPr>
            <w:r/>
            <w:r>
              <w:rPr>
                <w:b w:val="0"/>
                <w:sz w:val="18"/>
              </w:rPr>
              <w:t>Back</w:t>
            </w:r>
          </w:p>
        </w:tc>
        <w:tc>
          <w:tcPr>
            <w:tcW w:type="dxa" w:w="7776"/>
            <w:vAlign w:val="top"/>
          </w:tcPr>
          <w:p>
            <w:pPr>
              <w:spacing w:after="0" w:before="0" w:line="240" w:lineRule="auto"/>
            </w:pPr>
            <w:r/>
            <w:r>
              <w:rPr>
                <w:b w:val="0"/>
                <w:sz w:val="18"/>
              </w:rPr>
              <w:t>27D, 30D, 33D</w:t>
            </w:r>
          </w:p>
        </w:tc>
      </w:tr>
    </w:tbl>
    <w:p/>
    <w:p>
      <w:pPr>
        <w:pStyle w:val="Heading1"/>
      </w:pPr>
      <w:r>
        <w:t>7. Locked qualification parameters</w:t>
      </w:r>
    </w:p>
    <w:p>
      <w:r>
        <w:t>The first-pass grid is now archived. Production v0.1 uses the locked parameter set below. Thresholds are applied by layer and tenor bucket.</w:t>
      </w:r>
    </w:p>
    <w:p>
      <w:pPr>
        <w:pStyle w:val="Heading2"/>
      </w:pPr>
      <w:r>
        <w:t>7.1 Core parameters</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656"/>
            <w:shd w:fill="1F4E79"/>
            <w:vAlign w:val="center"/>
          </w:tcPr>
          <w:p>
            <w:pPr>
              <w:spacing w:after="0" w:before="0" w:line="240" w:lineRule="auto"/>
            </w:pPr>
            <w:r/>
            <w:r>
              <w:rPr>
                <w:b/>
                <w:color w:val="FFFFFF"/>
                <w:sz w:val="15"/>
              </w:rPr>
              <w:t>Bucket</w:t>
            </w:r>
          </w:p>
        </w:tc>
        <w:tc>
          <w:tcPr>
            <w:tcW w:type="dxa" w:w="1944"/>
            <w:shd w:fill="1F4E79"/>
            <w:vAlign w:val="center"/>
          </w:tcPr>
          <w:p>
            <w:pPr>
              <w:spacing w:after="0" w:before="0" w:line="240" w:lineRule="auto"/>
            </w:pPr>
            <w:r/>
            <w:r>
              <w:rPr>
                <w:b/>
                <w:color w:val="FFFFFF"/>
                <w:sz w:val="15"/>
              </w:rPr>
              <w:t>Tenors</w:t>
            </w:r>
          </w:p>
        </w:tc>
        <w:tc>
          <w:tcPr>
            <w:tcW w:type="dxa" w:w="936"/>
            <w:shd w:fill="1F4E79"/>
            <w:vAlign w:val="center"/>
          </w:tcPr>
          <w:p>
            <w:pPr>
              <w:spacing w:after="0" w:before="0" w:line="240" w:lineRule="auto"/>
            </w:pPr>
            <w:r/>
            <w:r>
              <w:rPr>
                <w:b/>
                <w:color w:val="FFFFFF"/>
                <w:sz w:val="15"/>
              </w:rPr>
              <w:t>VRP &gt;=</w:t>
            </w:r>
          </w:p>
        </w:tc>
        <w:tc>
          <w:tcPr>
            <w:tcW w:type="dxa" w:w="936"/>
            <w:shd w:fill="1F4E79"/>
            <w:vAlign w:val="center"/>
          </w:tcPr>
          <w:p>
            <w:pPr>
              <w:spacing w:after="0" w:before="0" w:line="240" w:lineRule="auto"/>
            </w:pPr>
            <w:r/>
            <w:r>
              <w:rPr>
                <w:b/>
                <w:color w:val="FFFFFF"/>
                <w:sz w:val="15"/>
              </w:rPr>
              <w:t>z3m &gt;=</w:t>
            </w:r>
          </w:p>
        </w:tc>
        <w:tc>
          <w:tcPr>
            <w:tcW w:type="dxa" w:w="936"/>
            <w:shd w:fill="1F4E79"/>
            <w:vAlign w:val="center"/>
          </w:tcPr>
          <w:p>
            <w:pPr>
              <w:spacing w:after="0" w:before="0" w:line="240" w:lineRule="auto"/>
            </w:pPr>
            <w:r/>
            <w:r>
              <w:rPr>
                <w:b/>
                <w:color w:val="FFFFFF"/>
                <w:sz w:val="15"/>
              </w:rPr>
              <w:t>z1y &gt;=</w:t>
            </w:r>
          </w:p>
        </w:tc>
        <w:tc>
          <w:tcPr>
            <w:tcW w:type="dxa" w:w="936"/>
            <w:shd w:fill="1F4E79"/>
            <w:vAlign w:val="center"/>
          </w:tcPr>
          <w:p>
            <w:pPr>
              <w:spacing w:after="0" w:before="0" w:line="240" w:lineRule="auto"/>
            </w:pPr>
            <w:r/>
            <w:r>
              <w:rPr>
                <w:b/>
                <w:color w:val="FFFFFF"/>
                <w:sz w:val="15"/>
              </w:rPr>
              <w:t>RSI &lt;=</w:t>
            </w:r>
          </w:p>
        </w:tc>
        <w:tc>
          <w:tcPr>
            <w:tcW w:type="dxa" w:w="1080"/>
            <w:shd w:fill="1F4E79"/>
            <w:vAlign w:val="center"/>
          </w:tcPr>
          <w:p>
            <w:pPr>
              <w:spacing w:after="0" w:before="0" w:line="240" w:lineRule="auto"/>
            </w:pPr>
            <w:r/>
            <w:r>
              <w:rPr>
                <w:b/>
                <w:color w:val="FFFFFF"/>
                <w:sz w:val="15"/>
              </w:rPr>
              <w:t>rv21d &gt;=</w:t>
            </w:r>
          </w:p>
        </w:tc>
        <w:tc>
          <w:tcPr>
            <w:tcW w:type="dxa" w:w="1080"/>
            <w:shd w:fill="1F4E79"/>
            <w:vAlign w:val="center"/>
          </w:tcPr>
          <w:p>
            <w:pPr>
              <w:spacing w:after="0" w:before="0" w:line="240" w:lineRule="auto"/>
            </w:pPr>
            <w:r/>
            <w:r>
              <w:rPr>
                <w:b/>
                <w:color w:val="FFFFFF"/>
                <w:sz w:val="15"/>
              </w:rPr>
              <w:t>Risk size</w:t>
            </w:r>
          </w:p>
        </w:tc>
      </w:tr>
      <w:tr>
        <w:tc>
          <w:tcPr>
            <w:tcW w:type="dxa" w:w="1656"/>
            <w:vAlign w:val="top"/>
          </w:tcPr>
          <w:p>
            <w:pPr>
              <w:spacing w:after="0" w:before="0" w:line="240" w:lineRule="auto"/>
            </w:pPr>
            <w:r/>
            <w:r>
              <w:rPr>
                <w:b w:val="0"/>
                <w:sz w:val="15"/>
              </w:rPr>
              <w:t>Core_front</w:t>
            </w:r>
          </w:p>
        </w:tc>
        <w:tc>
          <w:tcPr>
            <w:tcW w:type="dxa" w:w="1944"/>
            <w:vAlign w:val="top"/>
          </w:tcPr>
          <w:p>
            <w:pPr>
              <w:spacing w:after="0" w:before="0" w:line="240" w:lineRule="auto"/>
            </w:pPr>
            <w:r/>
            <w:r>
              <w:rPr>
                <w:b w:val="0"/>
                <w:sz w:val="15"/>
              </w:rPr>
              <w:t>9D, 12D, 15D</w:t>
            </w:r>
          </w:p>
        </w:tc>
        <w:tc>
          <w:tcPr>
            <w:tcW w:type="dxa" w:w="936"/>
            <w:vAlign w:val="top"/>
          </w:tcPr>
          <w:p>
            <w:pPr>
              <w:spacing w:after="0" w:before="0" w:line="240" w:lineRule="auto"/>
            </w:pPr>
            <w:r/>
            <w:r>
              <w:rPr>
                <w:b w:val="0"/>
                <w:sz w:val="15"/>
              </w:rPr>
              <w:t>0.60</w:t>
            </w:r>
          </w:p>
        </w:tc>
        <w:tc>
          <w:tcPr>
            <w:tcW w:type="dxa" w:w="936"/>
            <w:vAlign w:val="top"/>
          </w:tcPr>
          <w:p>
            <w:pPr>
              <w:spacing w:after="0" w:before="0" w:line="240" w:lineRule="auto"/>
            </w:pPr>
            <w:r/>
            <w:r>
              <w:rPr>
                <w:b w:val="0"/>
                <w:sz w:val="15"/>
              </w:rPr>
              <w:t>0.55</w:t>
            </w:r>
          </w:p>
        </w:tc>
        <w:tc>
          <w:tcPr>
            <w:tcW w:type="dxa" w:w="936"/>
            <w:vAlign w:val="top"/>
          </w:tcPr>
          <w:p>
            <w:pPr>
              <w:spacing w:after="0" w:before="0" w:line="240" w:lineRule="auto"/>
            </w:pPr>
            <w:r/>
            <w:r>
              <w:rPr>
                <w:b w:val="0"/>
                <w:sz w:val="15"/>
              </w:rPr>
              <w:t>0.65</w:t>
            </w:r>
          </w:p>
        </w:tc>
        <w:tc>
          <w:tcPr>
            <w:tcW w:type="dxa" w:w="936"/>
            <w:vAlign w:val="top"/>
          </w:tcPr>
          <w:p>
            <w:pPr>
              <w:spacing w:after="0" w:before="0" w:line="240" w:lineRule="auto"/>
            </w:pPr>
            <w:r/>
            <w:r>
              <w:rPr>
                <w:b w:val="0"/>
                <w:sz w:val="15"/>
              </w:rPr>
              <w:t>70</w:t>
            </w:r>
          </w:p>
        </w:tc>
        <w:tc>
          <w:tcPr>
            <w:tcW w:type="dxa" w:w="1080"/>
            <w:vAlign w:val="top"/>
          </w:tcPr>
          <w:p>
            <w:pPr>
              <w:spacing w:after="0" w:before="0" w:line="240" w:lineRule="auto"/>
            </w:pPr>
            <w:r/>
            <w:r>
              <w:rPr>
                <w:b w:val="0"/>
                <w:sz w:val="15"/>
              </w:rPr>
              <w:t>8.5</w:t>
            </w:r>
          </w:p>
        </w:tc>
        <w:tc>
          <w:tcPr>
            <w:tcW w:type="dxa" w:w="1080"/>
            <w:vAlign w:val="top"/>
          </w:tcPr>
          <w:p>
            <w:pPr>
              <w:spacing w:after="0" w:before="0" w:line="240" w:lineRule="auto"/>
            </w:pPr>
            <w:r/>
            <w:r>
              <w:rPr>
                <w:b w:val="0"/>
                <w:sz w:val="15"/>
              </w:rPr>
              <w:t>1.75%</w:t>
            </w:r>
          </w:p>
        </w:tc>
      </w:tr>
      <w:tr>
        <w:tc>
          <w:tcPr>
            <w:tcW w:type="dxa" w:w="1656"/>
            <w:vAlign w:val="top"/>
          </w:tcPr>
          <w:p>
            <w:pPr>
              <w:spacing w:after="0" w:before="0" w:line="240" w:lineRule="auto"/>
            </w:pPr>
            <w:r/>
            <w:r>
              <w:rPr>
                <w:b w:val="0"/>
                <w:sz w:val="15"/>
              </w:rPr>
              <w:t>Core_middle</w:t>
            </w:r>
          </w:p>
        </w:tc>
        <w:tc>
          <w:tcPr>
            <w:tcW w:type="dxa" w:w="1944"/>
            <w:vAlign w:val="top"/>
          </w:tcPr>
          <w:p>
            <w:pPr>
              <w:spacing w:after="0" w:before="0" w:line="240" w:lineRule="auto"/>
            </w:pPr>
            <w:r/>
            <w:r>
              <w:rPr>
                <w:b w:val="0"/>
                <w:sz w:val="15"/>
              </w:rPr>
              <w:t>18D, 21D, 24D</w:t>
            </w:r>
          </w:p>
        </w:tc>
        <w:tc>
          <w:tcPr>
            <w:tcW w:type="dxa" w:w="936"/>
            <w:vAlign w:val="top"/>
          </w:tcPr>
          <w:p>
            <w:pPr>
              <w:spacing w:after="0" w:before="0" w:line="240" w:lineRule="auto"/>
            </w:pPr>
            <w:r/>
            <w:r>
              <w:rPr>
                <w:b w:val="0"/>
                <w:sz w:val="15"/>
              </w:rPr>
              <w:t>0.65</w:t>
            </w:r>
          </w:p>
        </w:tc>
        <w:tc>
          <w:tcPr>
            <w:tcW w:type="dxa" w:w="936"/>
            <w:vAlign w:val="top"/>
          </w:tcPr>
          <w:p>
            <w:pPr>
              <w:spacing w:after="0" w:before="0" w:line="240" w:lineRule="auto"/>
            </w:pPr>
            <w:r/>
            <w:r>
              <w:rPr>
                <w:b w:val="0"/>
                <w:sz w:val="15"/>
              </w:rPr>
              <w:t>0.75</w:t>
            </w:r>
          </w:p>
        </w:tc>
        <w:tc>
          <w:tcPr>
            <w:tcW w:type="dxa" w:w="936"/>
            <w:vAlign w:val="top"/>
          </w:tcPr>
          <w:p>
            <w:pPr>
              <w:spacing w:after="0" w:before="0" w:line="240" w:lineRule="auto"/>
            </w:pPr>
            <w:r/>
            <w:r>
              <w:rPr>
                <w:b w:val="0"/>
                <w:sz w:val="15"/>
              </w:rPr>
              <w:t>0.65</w:t>
            </w:r>
          </w:p>
        </w:tc>
        <w:tc>
          <w:tcPr>
            <w:tcW w:type="dxa" w:w="936"/>
            <w:vAlign w:val="top"/>
          </w:tcPr>
          <w:p>
            <w:pPr>
              <w:spacing w:after="0" w:before="0" w:line="240" w:lineRule="auto"/>
            </w:pPr>
            <w:r/>
            <w:r>
              <w:rPr>
                <w:b w:val="0"/>
                <w:sz w:val="15"/>
              </w:rPr>
              <w:t>68</w:t>
            </w:r>
          </w:p>
        </w:tc>
        <w:tc>
          <w:tcPr>
            <w:tcW w:type="dxa" w:w="1080"/>
            <w:vAlign w:val="top"/>
          </w:tcPr>
          <w:p>
            <w:pPr>
              <w:spacing w:after="0" w:before="0" w:line="240" w:lineRule="auto"/>
            </w:pPr>
            <w:r/>
            <w:r>
              <w:rPr>
                <w:b w:val="0"/>
                <w:sz w:val="15"/>
              </w:rPr>
              <w:t>8.5</w:t>
            </w:r>
          </w:p>
        </w:tc>
        <w:tc>
          <w:tcPr>
            <w:tcW w:type="dxa" w:w="1080"/>
            <w:vAlign w:val="top"/>
          </w:tcPr>
          <w:p>
            <w:pPr>
              <w:spacing w:after="0" w:before="0" w:line="240" w:lineRule="auto"/>
            </w:pPr>
            <w:r/>
            <w:r>
              <w:rPr>
                <w:b w:val="0"/>
                <w:sz w:val="15"/>
              </w:rPr>
              <w:t>4.85%</w:t>
            </w:r>
          </w:p>
        </w:tc>
      </w:tr>
      <w:tr>
        <w:tc>
          <w:tcPr>
            <w:tcW w:type="dxa" w:w="1656"/>
            <w:vAlign w:val="top"/>
          </w:tcPr>
          <w:p>
            <w:pPr>
              <w:spacing w:after="0" w:before="0" w:line="240" w:lineRule="auto"/>
            </w:pPr>
            <w:r/>
            <w:r>
              <w:rPr>
                <w:b w:val="0"/>
                <w:sz w:val="15"/>
              </w:rPr>
              <w:t>Core_back</w:t>
            </w:r>
          </w:p>
        </w:tc>
        <w:tc>
          <w:tcPr>
            <w:tcW w:type="dxa" w:w="1944"/>
            <w:vAlign w:val="top"/>
          </w:tcPr>
          <w:p>
            <w:pPr>
              <w:spacing w:after="0" w:before="0" w:line="240" w:lineRule="auto"/>
            </w:pPr>
            <w:r/>
            <w:r>
              <w:rPr>
                <w:b w:val="0"/>
                <w:sz w:val="15"/>
              </w:rPr>
              <w:t>27D, 30D, 33D</w:t>
            </w:r>
          </w:p>
        </w:tc>
        <w:tc>
          <w:tcPr>
            <w:tcW w:type="dxa" w:w="936"/>
            <w:vAlign w:val="top"/>
          </w:tcPr>
          <w:p>
            <w:pPr>
              <w:spacing w:after="0" w:before="0" w:line="240" w:lineRule="auto"/>
            </w:pPr>
            <w:r/>
            <w:r>
              <w:rPr>
                <w:b w:val="0"/>
                <w:sz w:val="15"/>
              </w:rPr>
              <w:t>0.70</w:t>
            </w:r>
          </w:p>
        </w:tc>
        <w:tc>
          <w:tcPr>
            <w:tcW w:type="dxa" w:w="936"/>
            <w:vAlign w:val="top"/>
          </w:tcPr>
          <w:p>
            <w:pPr>
              <w:spacing w:after="0" w:before="0" w:line="240" w:lineRule="auto"/>
            </w:pPr>
            <w:r/>
            <w:r>
              <w:rPr>
                <w:b w:val="0"/>
                <w:sz w:val="15"/>
              </w:rPr>
              <w:t>0.75</w:t>
            </w:r>
          </w:p>
        </w:tc>
        <w:tc>
          <w:tcPr>
            <w:tcW w:type="dxa" w:w="936"/>
            <w:vAlign w:val="top"/>
          </w:tcPr>
          <w:p>
            <w:pPr>
              <w:spacing w:after="0" w:before="0" w:line="240" w:lineRule="auto"/>
            </w:pPr>
            <w:r/>
            <w:r>
              <w:rPr>
                <w:b w:val="0"/>
                <w:sz w:val="15"/>
              </w:rPr>
              <w:t>0.75</w:t>
            </w:r>
          </w:p>
        </w:tc>
        <w:tc>
          <w:tcPr>
            <w:tcW w:type="dxa" w:w="936"/>
            <w:vAlign w:val="top"/>
          </w:tcPr>
          <w:p>
            <w:pPr>
              <w:spacing w:after="0" w:before="0" w:line="240" w:lineRule="auto"/>
            </w:pPr>
            <w:r/>
            <w:r>
              <w:rPr>
                <w:b w:val="0"/>
                <w:sz w:val="15"/>
              </w:rPr>
              <w:t>66</w:t>
            </w:r>
          </w:p>
        </w:tc>
        <w:tc>
          <w:tcPr>
            <w:tcW w:type="dxa" w:w="1080"/>
            <w:vAlign w:val="top"/>
          </w:tcPr>
          <w:p>
            <w:pPr>
              <w:spacing w:after="0" w:before="0" w:line="240" w:lineRule="auto"/>
            </w:pPr>
            <w:r/>
            <w:r>
              <w:rPr>
                <w:b w:val="0"/>
                <w:sz w:val="15"/>
              </w:rPr>
              <w:t>8.5</w:t>
            </w:r>
          </w:p>
        </w:tc>
        <w:tc>
          <w:tcPr>
            <w:tcW w:type="dxa" w:w="1080"/>
            <w:vAlign w:val="top"/>
          </w:tcPr>
          <w:p>
            <w:pPr>
              <w:spacing w:after="0" w:before="0" w:line="240" w:lineRule="auto"/>
            </w:pPr>
            <w:r/>
            <w:r>
              <w:rPr>
                <w:b w:val="0"/>
                <w:sz w:val="15"/>
              </w:rPr>
              <w:t>5.00%</w:t>
            </w:r>
          </w:p>
        </w:tc>
      </w:tr>
    </w:tbl>
    <w:p/>
    <w:p>
      <w:pPr>
        <w:pStyle w:val="Heading2"/>
      </w:pPr>
      <w:r>
        <w:t>7.2 Secondary parameters</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800"/>
            <w:shd w:fill="1F4E79"/>
            <w:vAlign w:val="center"/>
          </w:tcPr>
          <w:p>
            <w:pPr>
              <w:spacing w:after="0" w:before="0" w:line="240" w:lineRule="auto"/>
            </w:pPr>
            <w:r/>
            <w:r>
              <w:rPr>
                <w:b/>
                <w:color w:val="FFFFFF"/>
                <w:sz w:val="15"/>
              </w:rPr>
              <w:t>Bucket</w:t>
            </w:r>
          </w:p>
        </w:tc>
        <w:tc>
          <w:tcPr>
            <w:tcW w:type="dxa" w:w="1800"/>
            <w:shd w:fill="1F4E79"/>
            <w:vAlign w:val="center"/>
          </w:tcPr>
          <w:p>
            <w:pPr>
              <w:spacing w:after="0" w:before="0" w:line="240" w:lineRule="auto"/>
            </w:pPr>
            <w:r/>
            <w:r>
              <w:rPr>
                <w:b/>
                <w:color w:val="FFFFFF"/>
                <w:sz w:val="15"/>
              </w:rPr>
              <w:t>Tenors</w:t>
            </w:r>
          </w:p>
        </w:tc>
        <w:tc>
          <w:tcPr>
            <w:tcW w:type="dxa" w:w="936"/>
            <w:shd w:fill="1F4E79"/>
            <w:vAlign w:val="center"/>
          </w:tcPr>
          <w:p>
            <w:pPr>
              <w:spacing w:after="0" w:before="0" w:line="240" w:lineRule="auto"/>
            </w:pPr>
            <w:r/>
            <w:r>
              <w:rPr>
                <w:b/>
                <w:color w:val="FFFFFF"/>
                <w:sz w:val="15"/>
              </w:rPr>
              <w:t>VRP &gt;=</w:t>
            </w:r>
          </w:p>
        </w:tc>
        <w:tc>
          <w:tcPr>
            <w:tcW w:type="dxa" w:w="936"/>
            <w:shd w:fill="1F4E79"/>
            <w:vAlign w:val="center"/>
          </w:tcPr>
          <w:p>
            <w:pPr>
              <w:spacing w:after="0" w:before="0" w:line="240" w:lineRule="auto"/>
            </w:pPr>
            <w:r/>
            <w:r>
              <w:rPr>
                <w:b/>
                <w:color w:val="FFFFFF"/>
                <w:sz w:val="15"/>
              </w:rPr>
              <w:t>z3m &gt;=</w:t>
            </w:r>
          </w:p>
        </w:tc>
        <w:tc>
          <w:tcPr>
            <w:tcW w:type="dxa" w:w="936"/>
            <w:shd w:fill="1F4E79"/>
            <w:vAlign w:val="center"/>
          </w:tcPr>
          <w:p>
            <w:pPr>
              <w:spacing w:after="0" w:before="0" w:line="240" w:lineRule="auto"/>
            </w:pPr>
            <w:r/>
            <w:r>
              <w:rPr>
                <w:b/>
                <w:color w:val="FFFFFF"/>
                <w:sz w:val="15"/>
              </w:rPr>
              <w:t>z1y &gt;=</w:t>
            </w:r>
          </w:p>
        </w:tc>
        <w:tc>
          <w:tcPr>
            <w:tcW w:type="dxa" w:w="936"/>
            <w:shd w:fill="1F4E79"/>
            <w:vAlign w:val="center"/>
          </w:tcPr>
          <w:p>
            <w:pPr>
              <w:spacing w:after="0" w:before="0" w:line="240" w:lineRule="auto"/>
            </w:pPr>
            <w:r/>
            <w:r>
              <w:rPr>
                <w:b/>
                <w:color w:val="FFFFFF"/>
                <w:sz w:val="15"/>
              </w:rPr>
              <w:t>RSI &lt;=</w:t>
            </w:r>
          </w:p>
        </w:tc>
        <w:tc>
          <w:tcPr>
            <w:tcW w:type="dxa" w:w="1080"/>
            <w:shd w:fill="1F4E79"/>
            <w:vAlign w:val="center"/>
          </w:tcPr>
          <w:p>
            <w:pPr>
              <w:spacing w:after="0" w:before="0" w:line="240" w:lineRule="auto"/>
            </w:pPr>
            <w:r/>
            <w:r>
              <w:rPr>
                <w:b/>
                <w:color w:val="FFFFFF"/>
                <w:sz w:val="15"/>
              </w:rPr>
              <w:t>rv21d &gt;=</w:t>
            </w:r>
          </w:p>
        </w:tc>
        <w:tc>
          <w:tcPr>
            <w:tcW w:type="dxa" w:w="1080"/>
            <w:shd w:fill="1F4E79"/>
            <w:vAlign w:val="center"/>
          </w:tcPr>
          <w:p>
            <w:pPr>
              <w:spacing w:after="0" w:before="0" w:line="240" w:lineRule="auto"/>
            </w:pPr>
            <w:r/>
            <w:r>
              <w:rPr>
                <w:b/>
                <w:color w:val="FFFFFF"/>
                <w:sz w:val="15"/>
              </w:rPr>
              <w:t>Risk size</w:t>
            </w:r>
          </w:p>
        </w:tc>
      </w:tr>
      <w:tr>
        <w:tc>
          <w:tcPr>
            <w:tcW w:type="dxa" w:w="1800"/>
            <w:vAlign w:val="top"/>
          </w:tcPr>
          <w:p>
            <w:pPr>
              <w:spacing w:after="0" w:before="0" w:line="240" w:lineRule="auto"/>
            </w:pPr>
            <w:r/>
            <w:r>
              <w:rPr>
                <w:b w:val="0"/>
                <w:sz w:val="15"/>
              </w:rPr>
              <w:t>Secondary_front</w:t>
            </w:r>
          </w:p>
        </w:tc>
        <w:tc>
          <w:tcPr>
            <w:tcW w:type="dxa" w:w="1800"/>
            <w:vAlign w:val="top"/>
          </w:tcPr>
          <w:p>
            <w:pPr>
              <w:spacing w:after="0" w:before="0" w:line="240" w:lineRule="auto"/>
            </w:pPr>
            <w:r/>
            <w:r>
              <w:rPr>
                <w:b w:val="0"/>
                <w:sz w:val="15"/>
              </w:rPr>
              <w:t>9D, 12D, 15D</w:t>
            </w:r>
          </w:p>
        </w:tc>
        <w:tc>
          <w:tcPr>
            <w:tcW w:type="dxa" w:w="936"/>
            <w:vAlign w:val="top"/>
          </w:tcPr>
          <w:p>
            <w:pPr>
              <w:spacing w:after="0" w:before="0" w:line="240" w:lineRule="auto"/>
            </w:pPr>
            <w:r/>
            <w:r>
              <w:rPr>
                <w:b w:val="0"/>
                <w:sz w:val="15"/>
              </w:rPr>
              <w:t>0.60</w:t>
            </w:r>
          </w:p>
        </w:tc>
        <w:tc>
          <w:tcPr>
            <w:tcW w:type="dxa" w:w="936"/>
            <w:vAlign w:val="top"/>
          </w:tcPr>
          <w:p>
            <w:pPr>
              <w:spacing w:after="0" w:before="0" w:line="240" w:lineRule="auto"/>
            </w:pPr>
            <w:r/>
            <w:r>
              <w:rPr>
                <w:b w:val="0"/>
                <w:sz w:val="15"/>
              </w:rPr>
              <w:t>0.50</w:t>
            </w:r>
          </w:p>
        </w:tc>
        <w:tc>
          <w:tcPr>
            <w:tcW w:type="dxa" w:w="936"/>
            <w:vAlign w:val="top"/>
          </w:tcPr>
          <w:p>
            <w:pPr>
              <w:spacing w:after="0" w:before="0" w:line="240" w:lineRule="auto"/>
            </w:pPr>
            <w:r/>
            <w:r>
              <w:rPr>
                <w:b w:val="0"/>
                <w:sz w:val="15"/>
              </w:rPr>
              <w:t>0.40</w:t>
            </w:r>
          </w:p>
        </w:tc>
        <w:tc>
          <w:tcPr>
            <w:tcW w:type="dxa" w:w="936"/>
            <w:vAlign w:val="top"/>
          </w:tcPr>
          <w:p>
            <w:pPr>
              <w:spacing w:after="0" w:before="0" w:line="240" w:lineRule="auto"/>
            </w:pPr>
            <w:r/>
            <w:r>
              <w:rPr>
                <w:b w:val="0"/>
                <w:sz w:val="15"/>
              </w:rPr>
              <w:t>74</w:t>
            </w:r>
          </w:p>
        </w:tc>
        <w:tc>
          <w:tcPr>
            <w:tcW w:type="dxa" w:w="1080"/>
            <w:vAlign w:val="top"/>
          </w:tcPr>
          <w:p>
            <w:pPr>
              <w:spacing w:after="0" w:before="0" w:line="240" w:lineRule="auto"/>
            </w:pPr>
            <w:r/>
            <w:r>
              <w:rPr>
                <w:b w:val="0"/>
                <w:sz w:val="15"/>
              </w:rPr>
              <w:t>6.5</w:t>
            </w:r>
          </w:p>
        </w:tc>
        <w:tc>
          <w:tcPr>
            <w:tcW w:type="dxa" w:w="1080"/>
            <w:vAlign w:val="top"/>
          </w:tcPr>
          <w:p>
            <w:pPr>
              <w:spacing w:after="0" w:before="0" w:line="240" w:lineRule="auto"/>
            </w:pPr>
            <w:r/>
            <w:r>
              <w:rPr>
                <w:b w:val="0"/>
                <w:sz w:val="15"/>
              </w:rPr>
              <w:t>1.75%</w:t>
            </w:r>
          </w:p>
        </w:tc>
      </w:tr>
      <w:tr>
        <w:tc>
          <w:tcPr>
            <w:tcW w:type="dxa" w:w="1800"/>
            <w:vAlign w:val="top"/>
          </w:tcPr>
          <w:p>
            <w:pPr>
              <w:spacing w:after="0" w:before="0" w:line="240" w:lineRule="auto"/>
            </w:pPr>
            <w:r/>
            <w:r>
              <w:rPr>
                <w:b w:val="0"/>
                <w:sz w:val="15"/>
              </w:rPr>
              <w:t>Secondary_middle</w:t>
            </w:r>
          </w:p>
        </w:tc>
        <w:tc>
          <w:tcPr>
            <w:tcW w:type="dxa" w:w="1800"/>
            <w:vAlign w:val="top"/>
          </w:tcPr>
          <w:p>
            <w:pPr>
              <w:spacing w:after="0" w:before="0" w:line="240" w:lineRule="auto"/>
            </w:pPr>
            <w:r/>
            <w:r>
              <w:rPr>
                <w:b w:val="0"/>
                <w:sz w:val="15"/>
              </w:rPr>
              <w:t>18D, 21D, 24D</w:t>
            </w:r>
          </w:p>
        </w:tc>
        <w:tc>
          <w:tcPr>
            <w:tcW w:type="dxa" w:w="936"/>
            <w:vAlign w:val="top"/>
          </w:tcPr>
          <w:p>
            <w:pPr>
              <w:spacing w:after="0" w:before="0" w:line="240" w:lineRule="auto"/>
            </w:pPr>
            <w:r/>
            <w:r>
              <w:rPr>
                <w:b w:val="0"/>
                <w:sz w:val="15"/>
              </w:rPr>
              <w:t>0.60</w:t>
            </w:r>
          </w:p>
        </w:tc>
        <w:tc>
          <w:tcPr>
            <w:tcW w:type="dxa" w:w="936"/>
            <w:vAlign w:val="top"/>
          </w:tcPr>
          <w:p>
            <w:pPr>
              <w:spacing w:after="0" w:before="0" w:line="240" w:lineRule="auto"/>
            </w:pPr>
            <w:r/>
            <w:r>
              <w:rPr>
                <w:b w:val="0"/>
                <w:sz w:val="15"/>
              </w:rPr>
              <w:t>0.50</w:t>
            </w:r>
          </w:p>
        </w:tc>
        <w:tc>
          <w:tcPr>
            <w:tcW w:type="dxa" w:w="936"/>
            <w:vAlign w:val="top"/>
          </w:tcPr>
          <w:p>
            <w:pPr>
              <w:spacing w:after="0" w:before="0" w:line="240" w:lineRule="auto"/>
            </w:pPr>
            <w:r/>
            <w:r>
              <w:rPr>
                <w:b w:val="0"/>
                <w:sz w:val="15"/>
              </w:rPr>
              <w:t>0.50</w:t>
            </w:r>
          </w:p>
        </w:tc>
        <w:tc>
          <w:tcPr>
            <w:tcW w:type="dxa" w:w="936"/>
            <w:vAlign w:val="top"/>
          </w:tcPr>
          <w:p>
            <w:pPr>
              <w:spacing w:after="0" w:before="0" w:line="240" w:lineRule="auto"/>
            </w:pPr>
            <w:r/>
            <w:r>
              <w:rPr>
                <w:b w:val="0"/>
                <w:sz w:val="15"/>
              </w:rPr>
              <w:t>70</w:t>
            </w:r>
          </w:p>
        </w:tc>
        <w:tc>
          <w:tcPr>
            <w:tcW w:type="dxa" w:w="1080"/>
            <w:vAlign w:val="top"/>
          </w:tcPr>
          <w:p>
            <w:pPr>
              <w:spacing w:after="0" w:before="0" w:line="240" w:lineRule="auto"/>
            </w:pPr>
            <w:r/>
            <w:r>
              <w:rPr>
                <w:b w:val="0"/>
                <w:sz w:val="15"/>
              </w:rPr>
              <w:t>6.5</w:t>
            </w:r>
          </w:p>
        </w:tc>
        <w:tc>
          <w:tcPr>
            <w:tcW w:type="dxa" w:w="1080"/>
            <w:vAlign w:val="top"/>
          </w:tcPr>
          <w:p>
            <w:pPr>
              <w:spacing w:after="0" w:before="0" w:line="240" w:lineRule="auto"/>
            </w:pPr>
            <w:r/>
            <w:r>
              <w:rPr>
                <w:b w:val="0"/>
                <w:sz w:val="15"/>
              </w:rPr>
              <w:t>3.25%</w:t>
            </w:r>
          </w:p>
        </w:tc>
      </w:tr>
      <w:tr>
        <w:tc>
          <w:tcPr>
            <w:tcW w:type="dxa" w:w="1800"/>
            <w:vAlign w:val="top"/>
          </w:tcPr>
          <w:p>
            <w:pPr>
              <w:spacing w:after="0" w:before="0" w:line="240" w:lineRule="auto"/>
            </w:pPr>
            <w:r/>
            <w:r>
              <w:rPr>
                <w:b w:val="0"/>
                <w:sz w:val="15"/>
              </w:rPr>
              <w:t>Secondary_back</w:t>
            </w:r>
          </w:p>
        </w:tc>
        <w:tc>
          <w:tcPr>
            <w:tcW w:type="dxa" w:w="1800"/>
            <w:vAlign w:val="top"/>
          </w:tcPr>
          <w:p>
            <w:pPr>
              <w:spacing w:after="0" w:before="0" w:line="240" w:lineRule="auto"/>
            </w:pPr>
            <w:r/>
            <w:r>
              <w:rPr>
                <w:b w:val="0"/>
                <w:sz w:val="15"/>
              </w:rPr>
              <w:t>27D, 30D, 33D</w:t>
            </w:r>
          </w:p>
        </w:tc>
        <w:tc>
          <w:tcPr>
            <w:tcW w:type="dxa" w:w="936"/>
            <w:vAlign w:val="top"/>
          </w:tcPr>
          <w:p>
            <w:pPr>
              <w:spacing w:after="0" w:before="0" w:line="240" w:lineRule="auto"/>
            </w:pPr>
            <w:r/>
            <w:r>
              <w:rPr>
                <w:b w:val="0"/>
                <w:sz w:val="15"/>
              </w:rPr>
              <w:t>0.70</w:t>
            </w:r>
          </w:p>
        </w:tc>
        <w:tc>
          <w:tcPr>
            <w:tcW w:type="dxa" w:w="936"/>
            <w:vAlign w:val="top"/>
          </w:tcPr>
          <w:p>
            <w:pPr>
              <w:spacing w:after="0" w:before="0" w:line="240" w:lineRule="auto"/>
            </w:pPr>
            <w:r/>
            <w:r>
              <w:rPr>
                <w:b w:val="0"/>
                <w:sz w:val="15"/>
              </w:rPr>
              <w:t>0.50</w:t>
            </w:r>
          </w:p>
        </w:tc>
        <w:tc>
          <w:tcPr>
            <w:tcW w:type="dxa" w:w="936"/>
            <w:vAlign w:val="top"/>
          </w:tcPr>
          <w:p>
            <w:pPr>
              <w:spacing w:after="0" w:before="0" w:line="240" w:lineRule="auto"/>
            </w:pPr>
            <w:r/>
            <w:r>
              <w:rPr>
                <w:b w:val="0"/>
                <w:sz w:val="15"/>
              </w:rPr>
              <w:t>0.50</w:t>
            </w:r>
          </w:p>
        </w:tc>
        <w:tc>
          <w:tcPr>
            <w:tcW w:type="dxa" w:w="936"/>
            <w:vAlign w:val="top"/>
          </w:tcPr>
          <w:p>
            <w:pPr>
              <w:spacing w:after="0" w:before="0" w:line="240" w:lineRule="auto"/>
            </w:pPr>
            <w:r/>
            <w:r>
              <w:rPr>
                <w:b w:val="0"/>
                <w:sz w:val="15"/>
              </w:rPr>
              <w:t>68</w:t>
            </w:r>
          </w:p>
        </w:tc>
        <w:tc>
          <w:tcPr>
            <w:tcW w:type="dxa" w:w="1080"/>
            <w:vAlign w:val="top"/>
          </w:tcPr>
          <w:p>
            <w:pPr>
              <w:spacing w:after="0" w:before="0" w:line="240" w:lineRule="auto"/>
            </w:pPr>
            <w:r/>
            <w:r>
              <w:rPr>
                <w:b w:val="0"/>
                <w:sz w:val="15"/>
              </w:rPr>
              <w:t>6.5</w:t>
            </w:r>
          </w:p>
        </w:tc>
        <w:tc>
          <w:tcPr>
            <w:tcW w:type="dxa" w:w="1080"/>
            <w:vAlign w:val="top"/>
          </w:tcPr>
          <w:p>
            <w:pPr>
              <w:spacing w:after="0" w:before="0" w:line="240" w:lineRule="auto"/>
            </w:pPr>
            <w:r/>
            <w:r>
              <w:rPr>
                <w:b w:val="0"/>
                <w:sz w:val="15"/>
              </w:rPr>
              <w:t>4.50%</w:t>
            </w:r>
          </w:p>
        </w:tc>
      </w:tr>
    </w:tbl>
    <w:p/>
    <w:p>
      <w:pPr>
        <w:pStyle w:val="Heading1"/>
      </w:pPr>
      <w:r>
        <w:t>8. Qualification rule</w:t>
      </w:r>
    </w:p>
    <w:p>
      <w:r>
        <w:t>For a tenor to qualify within its layer and bucket, all of the following must be true:</w:t>
      </w:r>
    </w:p>
    <w:p>
      <w:pPr>
        <w:pStyle w:val="ListBullet"/>
        <w:spacing w:after="40"/>
      </w:pPr>
      <w:r>
        <w:t>VRP_T is greater than or equal to the locked VRP threshold.</w:t>
      </w:r>
    </w:p>
    <w:p>
      <w:pPr>
        <w:pStyle w:val="ListBullet"/>
        <w:spacing w:after="40"/>
      </w:pPr>
      <w:r>
        <w:t>z3m_T is greater than or equal to the locked 3-month z-score threshold.</w:t>
      </w:r>
    </w:p>
    <w:p>
      <w:pPr>
        <w:pStyle w:val="ListBullet"/>
        <w:spacing w:after="40"/>
      </w:pPr>
      <w:r>
        <w:t>z1y_T is greater than or equal to the locked 1-year z-score threshold.</w:t>
      </w:r>
    </w:p>
    <w:p>
      <w:pPr>
        <w:pStyle w:val="ListBullet"/>
        <w:spacing w:after="40"/>
      </w:pPr>
      <w:r>
        <w:t>rv21d is greater than or equal to the locked realized-volatility floor for that layer.</w:t>
      </w:r>
    </w:p>
    <w:p>
      <w:pPr>
        <w:pStyle w:val="ListBullet"/>
        <w:spacing w:after="40"/>
      </w:pPr>
      <w:r>
        <w:t>RSI14 is less than or equal to the locked RSI cap.</w:t>
      </w:r>
    </w:p>
    <w:p>
      <w:pPr>
        <w:pStyle w:val="Heading1"/>
      </w:pPr>
      <w:r>
        <w:t>9. Selection logic</w:t>
      </w:r>
    </w:p>
    <w:p>
      <w:r>
        <w:t>Production v0.1 uses the locked_2621_win_band_25bps_conditional selection framework:</w:t>
      </w:r>
    </w:p>
    <w:p>
      <w:pPr>
        <w:pStyle w:val="ListBullet"/>
        <w:spacing w:after="40"/>
      </w:pPr>
      <w:r>
        <w:t>Evaluate Core tenors first.</w:t>
      </w:r>
    </w:p>
    <w:p>
      <w:pPr>
        <w:pStyle w:val="ListBullet"/>
        <w:spacing w:after="40"/>
      </w:pPr>
      <w:r>
        <w:t>If any Core tenor qualifies, select one Core trade and do not evaluate Secondary for that date.</w:t>
      </w:r>
    </w:p>
    <w:p>
      <w:pPr>
        <w:pStyle w:val="ListBullet"/>
        <w:spacing w:after="40"/>
      </w:pPr>
      <w:r>
        <w:t>If no Core tenor qualifies, evaluate Secondary tenors.</w:t>
      </w:r>
    </w:p>
    <w:p>
      <w:pPr>
        <w:pStyle w:val="ListBullet"/>
        <w:spacing w:after="40"/>
      </w:pPr>
      <w:r>
        <w:t>If any Secondary tenor qualifies, select one Secondary trade.</w:t>
      </w:r>
    </w:p>
    <w:p>
      <w:pPr>
        <w:pStyle w:val="ListBullet"/>
        <w:spacing w:after="40"/>
      </w:pPr>
      <w:r>
        <w:t>Maximum one selected trade per date/time snapshot.</w:t>
      </w:r>
    </w:p>
    <w:p>
      <w:r>
        <w:t>Tenor selection inside the active layer:</w:t>
      </w:r>
    </w:p>
    <w:p>
      <w:pPr>
        <w:pStyle w:val="ListBullet"/>
        <w:spacing w:after="40"/>
      </w:pPr>
      <w:r>
        <w:t>Rank qualifying tenors by historical conditional win probability.</w:t>
      </w:r>
    </w:p>
    <w:p>
      <w:pPr>
        <w:pStyle w:val="ListBullet"/>
        <w:spacing w:after="40"/>
      </w:pPr>
      <w:r>
        <w:t>Keep only tenors within 25 bps of the best conditional win probability.</w:t>
      </w:r>
    </w:p>
    <w:p>
      <w:pPr>
        <w:pStyle w:val="ListBullet"/>
        <w:spacing w:after="40"/>
      </w:pPr>
      <w:r>
        <w:t>Choose the remaining tenor with the highest conditional average P&amp;L/day.</w:t>
      </w:r>
    </w:p>
    <w:p>
      <w:pPr>
        <w:pStyle w:val="ListBullet"/>
        <w:spacing w:after="40"/>
      </w:pPr>
      <w:r>
        <w:t>Tie-break by aggregate P&amp;L/day, conditional win rate, then longer tenor.</w:t>
      </w:r>
    </w:p>
    <w:tbl>
      <w:tblPr>
        <w:tblStyle w:val="TableGrid"/>
        <w:tblW w:type="auto" w:w="0"/>
        <w:jc w:val="center"/>
        <w:tblLook w:firstColumn="1" w:firstRow="1" w:lastColumn="0" w:lastRow="0" w:noHBand="0" w:noVBand="1" w:val="04A0"/>
      </w:tblPr>
      <w:tblGrid>
        <w:gridCol w:w="10656"/>
      </w:tblGrid>
      <w:tr>
        <w:tc>
          <w:tcPr>
            <w:tcW w:type="dxa" w:w="10656"/>
            <w:shd w:fill="EAF2F8"/>
          </w:tcPr>
          <w:p>
            <w:pPr>
              <w:spacing w:after="0" w:before="0" w:line="240" w:lineRule="auto"/>
            </w:pPr>
            <w:r>
              <w:rPr>
                <w:b/>
                <w:sz w:val="20"/>
              </w:rPr>
              <w:t>Selection principle</w:t>
            </w:r>
          </w:p>
          <w:p>
            <w:pPr>
              <w:spacing w:after="0" w:before="0" w:line="240" w:lineRule="auto"/>
            </w:pPr>
            <w:r>
              <w:rPr>
                <w:sz w:val="18"/>
              </w:rPr>
              <w:t>Win probability remains the primary objective. P&amp;L/day is used only after the 25 bps win-rate band is applied, so it acts as a tie-break/audit rather than a pure expected-P&amp;L optimizer.</w:t>
            </w:r>
          </w:p>
        </w:tc>
      </w:tr>
    </w:tbl>
    <w:p/>
    <w:p>
      <w:pPr>
        <w:pStyle w:val="Heading1"/>
      </w:pPr>
      <w:r>
        <w:t>10. Locked per-trade sizing</w:t>
      </w:r>
    </w:p>
    <w:p>
      <w:r>
        <w:t>The locked sizing percentage is the maximum theoretical loss / maximum risk at trade inception, expressed as a percentage of trading NAV or net worth. This is a per-trade sizing layer only; portfolio overlap and hedging are separate.</w:t>
      </w:r>
    </w:p>
    <w:tbl>
      <w:tblPr>
        <w:tblStyle w:val="TableGrid"/>
        <w:tblW w:type="auto" w:w="0"/>
        <w:jc w:val="center"/>
        <w:tblLook w:firstColumn="1" w:firstRow="1" w:lastColumn="0" w:lastRow="0" w:noHBand="0" w:noVBand="1" w:val="04A0"/>
      </w:tblPr>
      <w:tblGrid>
        <w:gridCol w:w="3552"/>
        <w:gridCol w:w="3552"/>
        <w:gridCol w:w="3552"/>
      </w:tblGrid>
      <w:tr>
        <w:tc>
          <w:tcPr>
            <w:tcW w:type="dxa" w:w="3168"/>
            <w:shd w:fill="1F4E79"/>
            <w:vAlign w:val="center"/>
          </w:tcPr>
          <w:p>
            <w:pPr>
              <w:spacing w:after="0" w:before="0" w:line="240" w:lineRule="auto"/>
            </w:pPr>
            <w:r/>
            <w:r>
              <w:rPr>
                <w:b/>
                <w:color w:val="FFFFFF"/>
                <w:sz w:val="18"/>
              </w:rPr>
              <w:t>Bucket</w:t>
            </w:r>
          </w:p>
        </w:tc>
        <w:tc>
          <w:tcPr>
            <w:tcW w:type="dxa" w:w="2880"/>
            <w:shd w:fill="1F4E79"/>
            <w:vAlign w:val="center"/>
          </w:tcPr>
          <w:p>
            <w:pPr>
              <w:spacing w:after="0" w:before="0" w:line="240" w:lineRule="auto"/>
            </w:pPr>
            <w:r/>
            <w:r>
              <w:rPr>
                <w:b/>
                <w:color w:val="FFFFFF"/>
                <w:sz w:val="18"/>
              </w:rPr>
              <w:t>Risk fraction</w:t>
            </w:r>
          </w:p>
        </w:tc>
        <w:tc>
          <w:tcPr>
            <w:tcW w:type="dxa" w:w="4608"/>
            <w:shd w:fill="1F4E79"/>
            <w:vAlign w:val="center"/>
          </w:tcPr>
          <w:p>
            <w:pPr>
              <w:spacing w:after="0" w:before="0" w:line="240" w:lineRule="auto"/>
            </w:pPr>
            <w:r/>
            <w:r>
              <w:rPr>
                <w:b/>
                <w:color w:val="FFFFFF"/>
                <w:sz w:val="18"/>
              </w:rPr>
              <w:t>Max loss on $1mm NAV</w:t>
            </w:r>
          </w:p>
        </w:tc>
      </w:tr>
      <w:tr>
        <w:tc>
          <w:tcPr>
            <w:tcW w:type="dxa" w:w="3168"/>
            <w:vAlign w:val="top"/>
          </w:tcPr>
          <w:p>
            <w:pPr>
              <w:spacing w:after="0" w:before="0" w:line="240" w:lineRule="auto"/>
            </w:pPr>
            <w:r/>
            <w:r>
              <w:rPr>
                <w:b w:val="0"/>
                <w:sz w:val="18"/>
              </w:rPr>
              <w:t>Core_back</w:t>
            </w:r>
          </w:p>
        </w:tc>
        <w:tc>
          <w:tcPr>
            <w:tcW w:type="dxa" w:w="2880"/>
            <w:vAlign w:val="top"/>
          </w:tcPr>
          <w:p>
            <w:pPr>
              <w:spacing w:after="0" w:before="0" w:line="240" w:lineRule="auto"/>
            </w:pPr>
            <w:r/>
            <w:r>
              <w:rPr>
                <w:b w:val="0"/>
                <w:sz w:val="18"/>
              </w:rPr>
              <w:t>5.00%</w:t>
            </w:r>
          </w:p>
        </w:tc>
        <w:tc>
          <w:tcPr>
            <w:tcW w:type="dxa" w:w="4608"/>
            <w:vAlign w:val="top"/>
          </w:tcPr>
          <w:p>
            <w:pPr>
              <w:spacing w:after="0" w:before="0" w:line="240" w:lineRule="auto"/>
            </w:pPr>
            <w:r/>
            <w:r>
              <w:rPr>
                <w:b w:val="0"/>
                <w:sz w:val="18"/>
              </w:rPr>
              <w:t>$50,000</w:t>
            </w:r>
          </w:p>
        </w:tc>
      </w:tr>
      <w:tr>
        <w:tc>
          <w:tcPr>
            <w:tcW w:type="dxa" w:w="3168"/>
            <w:vAlign w:val="top"/>
          </w:tcPr>
          <w:p>
            <w:pPr>
              <w:spacing w:after="0" w:before="0" w:line="240" w:lineRule="auto"/>
            </w:pPr>
            <w:r/>
            <w:r>
              <w:rPr>
                <w:b w:val="0"/>
                <w:sz w:val="18"/>
              </w:rPr>
              <w:t>Core_middle</w:t>
            </w:r>
          </w:p>
        </w:tc>
        <w:tc>
          <w:tcPr>
            <w:tcW w:type="dxa" w:w="2880"/>
            <w:vAlign w:val="top"/>
          </w:tcPr>
          <w:p>
            <w:pPr>
              <w:spacing w:after="0" w:before="0" w:line="240" w:lineRule="auto"/>
            </w:pPr>
            <w:r/>
            <w:r>
              <w:rPr>
                <w:b w:val="0"/>
                <w:sz w:val="18"/>
              </w:rPr>
              <w:t>4.85%</w:t>
            </w:r>
          </w:p>
        </w:tc>
        <w:tc>
          <w:tcPr>
            <w:tcW w:type="dxa" w:w="4608"/>
            <w:vAlign w:val="top"/>
          </w:tcPr>
          <w:p>
            <w:pPr>
              <w:spacing w:after="0" w:before="0" w:line="240" w:lineRule="auto"/>
            </w:pPr>
            <w:r/>
            <w:r>
              <w:rPr>
                <w:b w:val="0"/>
                <w:sz w:val="18"/>
              </w:rPr>
              <w:t>$48,500</w:t>
            </w:r>
          </w:p>
        </w:tc>
      </w:tr>
      <w:tr>
        <w:tc>
          <w:tcPr>
            <w:tcW w:type="dxa" w:w="3168"/>
            <w:vAlign w:val="top"/>
          </w:tcPr>
          <w:p>
            <w:pPr>
              <w:spacing w:after="0" w:before="0" w:line="240" w:lineRule="auto"/>
            </w:pPr>
            <w:r/>
            <w:r>
              <w:rPr>
                <w:b w:val="0"/>
                <w:sz w:val="18"/>
              </w:rPr>
              <w:t>Core_front</w:t>
            </w:r>
          </w:p>
        </w:tc>
        <w:tc>
          <w:tcPr>
            <w:tcW w:type="dxa" w:w="2880"/>
            <w:vAlign w:val="top"/>
          </w:tcPr>
          <w:p>
            <w:pPr>
              <w:spacing w:after="0" w:before="0" w:line="240" w:lineRule="auto"/>
            </w:pPr>
            <w:r/>
            <w:r>
              <w:rPr>
                <w:b w:val="0"/>
                <w:sz w:val="18"/>
              </w:rPr>
              <w:t>1.75%</w:t>
            </w:r>
          </w:p>
        </w:tc>
        <w:tc>
          <w:tcPr>
            <w:tcW w:type="dxa" w:w="4608"/>
            <w:vAlign w:val="top"/>
          </w:tcPr>
          <w:p>
            <w:pPr>
              <w:spacing w:after="0" w:before="0" w:line="240" w:lineRule="auto"/>
            </w:pPr>
            <w:r/>
            <w:r>
              <w:rPr>
                <w:b w:val="0"/>
                <w:sz w:val="18"/>
              </w:rPr>
              <w:t>$17,500</w:t>
            </w:r>
          </w:p>
        </w:tc>
      </w:tr>
      <w:tr>
        <w:tc>
          <w:tcPr>
            <w:tcW w:type="dxa" w:w="3168"/>
            <w:vAlign w:val="top"/>
          </w:tcPr>
          <w:p>
            <w:pPr>
              <w:spacing w:after="0" w:before="0" w:line="240" w:lineRule="auto"/>
            </w:pPr>
            <w:r/>
            <w:r>
              <w:rPr>
                <w:b w:val="0"/>
                <w:sz w:val="18"/>
              </w:rPr>
              <w:t>Secondary_back</w:t>
            </w:r>
          </w:p>
        </w:tc>
        <w:tc>
          <w:tcPr>
            <w:tcW w:type="dxa" w:w="2880"/>
            <w:vAlign w:val="top"/>
          </w:tcPr>
          <w:p>
            <w:pPr>
              <w:spacing w:after="0" w:before="0" w:line="240" w:lineRule="auto"/>
            </w:pPr>
            <w:r/>
            <w:r>
              <w:rPr>
                <w:b w:val="0"/>
                <w:sz w:val="18"/>
              </w:rPr>
              <w:t>4.50%</w:t>
            </w:r>
          </w:p>
        </w:tc>
        <w:tc>
          <w:tcPr>
            <w:tcW w:type="dxa" w:w="4608"/>
            <w:vAlign w:val="top"/>
          </w:tcPr>
          <w:p>
            <w:pPr>
              <w:spacing w:after="0" w:before="0" w:line="240" w:lineRule="auto"/>
            </w:pPr>
            <w:r/>
            <w:r>
              <w:rPr>
                <w:b w:val="0"/>
                <w:sz w:val="18"/>
              </w:rPr>
              <w:t>$45,000</w:t>
            </w:r>
          </w:p>
        </w:tc>
      </w:tr>
      <w:tr>
        <w:tc>
          <w:tcPr>
            <w:tcW w:type="dxa" w:w="3168"/>
            <w:vAlign w:val="top"/>
          </w:tcPr>
          <w:p>
            <w:pPr>
              <w:spacing w:after="0" w:before="0" w:line="240" w:lineRule="auto"/>
            </w:pPr>
            <w:r/>
            <w:r>
              <w:rPr>
                <w:b w:val="0"/>
                <w:sz w:val="18"/>
              </w:rPr>
              <w:t>Secondary_middle</w:t>
            </w:r>
          </w:p>
        </w:tc>
        <w:tc>
          <w:tcPr>
            <w:tcW w:type="dxa" w:w="2880"/>
            <w:vAlign w:val="top"/>
          </w:tcPr>
          <w:p>
            <w:pPr>
              <w:spacing w:after="0" w:before="0" w:line="240" w:lineRule="auto"/>
            </w:pPr>
            <w:r/>
            <w:r>
              <w:rPr>
                <w:b w:val="0"/>
                <w:sz w:val="18"/>
              </w:rPr>
              <w:t>3.25%</w:t>
            </w:r>
          </w:p>
        </w:tc>
        <w:tc>
          <w:tcPr>
            <w:tcW w:type="dxa" w:w="4608"/>
            <w:vAlign w:val="top"/>
          </w:tcPr>
          <w:p>
            <w:pPr>
              <w:spacing w:after="0" w:before="0" w:line="240" w:lineRule="auto"/>
            </w:pPr>
            <w:r/>
            <w:r>
              <w:rPr>
                <w:b w:val="0"/>
                <w:sz w:val="18"/>
              </w:rPr>
              <w:t>$32,500</w:t>
            </w:r>
          </w:p>
        </w:tc>
      </w:tr>
      <w:tr>
        <w:tc>
          <w:tcPr>
            <w:tcW w:type="dxa" w:w="3168"/>
            <w:vAlign w:val="top"/>
          </w:tcPr>
          <w:p>
            <w:pPr>
              <w:spacing w:after="0" w:before="0" w:line="240" w:lineRule="auto"/>
            </w:pPr>
            <w:r/>
            <w:r>
              <w:rPr>
                <w:b w:val="0"/>
                <w:sz w:val="18"/>
              </w:rPr>
              <w:t>Secondary_front</w:t>
            </w:r>
          </w:p>
        </w:tc>
        <w:tc>
          <w:tcPr>
            <w:tcW w:type="dxa" w:w="2880"/>
            <w:vAlign w:val="top"/>
          </w:tcPr>
          <w:p>
            <w:pPr>
              <w:spacing w:after="0" w:before="0" w:line="240" w:lineRule="auto"/>
            </w:pPr>
            <w:r/>
            <w:r>
              <w:rPr>
                <w:b w:val="0"/>
                <w:sz w:val="18"/>
              </w:rPr>
              <w:t>1.75%</w:t>
            </w:r>
          </w:p>
        </w:tc>
        <w:tc>
          <w:tcPr>
            <w:tcW w:type="dxa" w:w="4608"/>
            <w:vAlign w:val="top"/>
          </w:tcPr>
          <w:p>
            <w:pPr>
              <w:spacing w:after="0" w:before="0" w:line="240" w:lineRule="auto"/>
            </w:pPr>
            <w:r/>
            <w:r>
              <w:rPr>
                <w:b w:val="0"/>
                <w:sz w:val="18"/>
              </w:rPr>
              <w:t>$17,500</w:t>
            </w:r>
          </w:p>
        </w:tc>
      </w:tr>
    </w:tbl>
    <w:p/>
    <w:p>
      <w:r>
        <w:rPr>
          <w:b/>
        </w:rPr>
        <w:t xml:space="preserve">Interpretation: </w:t>
      </w:r>
      <w:r>
        <w:t>A 5.00% trade means the position may be sized so its theoretical maximum loss at inception equals 5.00% of NAV. It does not mean the premium collected is 5.00%, the broker margin is 5.00%, the expected loss is 5.00%, or the stress loss is capped at 5.00%.</w:t>
      </w:r>
    </w:p>
    <w:p>
      <w:r>
        <w:rPr>
          <w:b/>
        </w:rPr>
        <w:t xml:space="preserve">For defined-risk spreads: </w:t>
      </w:r>
      <w:r>
        <w:t>max loss equals spread width less credit received, multiplied by contract multiplier and number of contracts. For a naked short put, theoretical maximum loss is approximately strike times multiplier less premium received; this makes naked-put max-loss sizing very conservative in contract-count terms.</w:t>
      </w:r>
    </w:p>
    <w:p>
      <w:pPr>
        <w:pStyle w:val="Heading1"/>
      </w:pPr>
      <w:r>
        <w:t>11. Locked research results summary</w:t>
      </w:r>
    </w:p>
    <w:tbl>
      <w:tblPr>
        <w:tblStyle w:val="TableGrid"/>
        <w:tblW w:type="auto" w:w="0"/>
        <w:jc w:val="center"/>
        <w:tblLook w:firstColumn="1" w:firstRow="1" w:lastColumn="0" w:lastRow="0" w:noHBand="0" w:noVBand="1" w:val="04A0"/>
      </w:tblPr>
      <w:tblGrid>
        <w:gridCol w:w="5328"/>
        <w:gridCol w:w="5328"/>
      </w:tblGrid>
      <w:tr>
        <w:tc>
          <w:tcPr>
            <w:tcW w:type="dxa" w:w="3744"/>
            <w:shd w:fill="1F4E79"/>
            <w:vAlign w:val="center"/>
          </w:tcPr>
          <w:p>
            <w:pPr>
              <w:spacing w:after="0" w:before="0" w:line="240" w:lineRule="auto"/>
            </w:pPr>
            <w:r/>
            <w:r>
              <w:rPr>
                <w:b/>
                <w:color w:val="FFFFFF"/>
                <w:sz w:val="18"/>
              </w:rPr>
              <w:t>Metric</w:t>
            </w:r>
          </w:p>
        </w:tc>
        <w:tc>
          <w:tcPr>
            <w:tcW w:type="dxa" w:w="6912"/>
            <w:shd w:fill="1F4E79"/>
            <w:vAlign w:val="center"/>
          </w:tcPr>
          <w:p>
            <w:pPr>
              <w:spacing w:after="0" w:before="0" w:line="240" w:lineRule="auto"/>
            </w:pPr>
            <w:r/>
            <w:r>
              <w:rPr>
                <w:b/>
                <w:color w:val="FFFFFF"/>
                <w:sz w:val="18"/>
              </w:rPr>
              <w:t>Locked result</w:t>
            </w:r>
          </w:p>
        </w:tc>
      </w:tr>
      <w:tr>
        <w:tc>
          <w:tcPr>
            <w:tcW w:type="dxa" w:w="3744"/>
            <w:vAlign w:val="top"/>
          </w:tcPr>
          <w:p>
            <w:pPr>
              <w:spacing w:after="0" w:before="0" w:line="240" w:lineRule="auto"/>
            </w:pPr>
            <w:r/>
            <w:r>
              <w:rPr>
                <w:b w:val="0"/>
                <w:sz w:val="18"/>
              </w:rPr>
              <w:t>Selected trades</w:t>
            </w:r>
          </w:p>
        </w:tc>
        <w:tc>
          <w:tcPr>
            <w:tcW w:type="dxa" w:w="6912"/>
            <w:vAlign w:val="top"/>
          </w:tcPr>
          <w:p>
            <w:pPr>
              <w:spacing w:after="0" w:before="0" w:line="240" w:lineRule="auto"/>
            </w:pPr>
            <w:r/>
            <w:r>
              <w:rPr>
                <w:b w:val="0"/>
                <w:sz w:val="18"/>
              </w:rPr>
              <w:t>577</w:t>
            </w:r>
          </w:p>
        </w:tc>
      </w:tr>
      <w:tr>
        <w:tc>
          <w:tcPr>
            <w:tcW w:type="dxa" w:w="3744"/>
            <w:vAlign w:val="top"/>
          </w:tcPr>
          <w:p>
            <w:pPr>
              <w:spacing w:after="0" w:before="0" w:line="240" w:lineRule="auto"/>
            </w:pPr>
            <w:r/>
            <w:r>
              <w:rPr>
                <w:b w:val="0"/>
                <w:sz w:val="18"/>
              </w:rPr>
              <w:t>Trade frequency</w:t>
            </w:r>
          </w:p>
        </w:tc>
        <w:tc>
          <w:tcPr>
            <w:tcW w:type="dxa" w:w="6912"/>
            <w:vAlign w:val="top"/>
          </w:tcPr>
          <w:p>
            <w:pPr>
              <w:spacing w:after="0" w:before="0" w:line="240" w:lineRule="auto"/>
            </w:pPr>
            <w:r/>
            <w:r>
              <w:rPr>
                <w:b w:val="0"/>
                <w:sz w:val="18"/>
              </w:rPr>
              <w:t>33.45% of complete dates</w:t>
            </w:r>
          </w:p>
        </w:tc>
      </w:tr>
      <w:tr>
        <w:tc>
          <w:tcPr>
            <w:tcW w:type="dxa" w:w="3744"/>
            <w:vAlign w:val="top"/>
          </w:tcPr>
          <w:p>
            <w:pPr>
              <w:spacing w:after="0" w:before="0" w:line="240" w:lineRule="auto"/>
            </w:pPr>
            <w:r/>
            <w:r>
              <w:rPr>
                <w:b w:val="0"/>
                <w:sz w:val="18"/>
              </w:rPr>
              <w:t>Combined win rate</w:t>
            </w:r>
          </w:p>
        </w:tc>
        <w:tc>
          <w:tcPr>
            <w:tcW w:type="dxa" w:w="6912"/>
            <w:vAlign w:val="top"/>
          </w:tcPr>
          <w:p>
            <w:pPr>
              <w:spacing w:after="0" w:before="0" w:line="240" w:lineRule="auto"/>
            </w:pPr>
            <w:r/>
            <w:r>
              <w:rPr>
                <w:b w:val="0"/>
                <w:sz w:val="18"/>
              </w:rPr>
              <w:t>83.19%</w:t>
            </w:r>
          </w:p>
        </w:tc>
      </w:tr>
      <w:tr>
        <w:tc>
          <w:tcPr>
            <w:tcW w:type="dxa" w:w="3744"/>
            <w:vAlign w:val="top"/>
          </w:tcPr>
          <w:p>
            <w:pPr>
              <w:spacing w:after="0" w:before="0" w:line="240" w:lineRule="auto"/>
            </w:pPr>
            <w:r/>
            <w:r>
              <w:rPr>
                <w:b w:val="0"/>
                <w:sz w:val="18"/>
              </w:rPr>
              <w:t>Average selected tenor</w:t>
            </w:r>
          </w:p>
        </w:tc>
        <w:tc>
          <w:tcPr>
            <w:tcW w:type="dxa" w:w="6912"/>
            <w:vAlign w:val="top"/>
          </w:tcPr>
          <w:p>
            <w:pPr>
              <w:spacing w:after="0" w:before="0" w:line="240" w:lineRule="auto"/>
            </w:pPr>
            <w:r/>
            <w:r>
              <w:rPr>
                <w:b w:val="0"/>
                <w:sz w:val="18"/>
              </w:rPr>
              <w:t>22.28 trading days</w:t>
            </w:r>
          </w:p>
        </w:tc>
      </w:tr>
      <w:tr>
        <w:tc>
          <w:tcPr>
            <w:tcW w:type="dxa" w:w="3744"/>
            <w:vAlign w:val="top"/>
          </w:tcPr>
          <w:p>
            <w:pPr>
              <w:spacing w:after="0" w:before="0" w:line="240" w:lineRule="auto"/>
            </w:pPr>
            <w:r/>
            <w:r>
              <w:rPr>
                <w:b w:val="0"/>
                <w:sz w:val="18"/>
              </w:rPr>
              <w:t>Core trades</w:t>
            </w:r>
          </w:p>
        </w:tc>
        <w:tc>
          <w:tcPr>
            <w:tcW w:type="dxa" w:w="6912"/>
            <w:vAlign w:val="top"/>
          </w:tcPr>
          <w:p>
            <w:pPr>
              <w:spacing w:after="0" w:before="0" w:line="240" w:lineRule="auto"/>
            </w:pPr>
            <w:r/>
            <w:r>
              <w:rPr>
                <w:b w:val="0"/>
                <w:sz w:val="18"/>
              </w:rPr>
              <w:t>386 trades; 86.01% win rate</w:t>
            </w:r>
          </w:p>
        </w:tc>
      </w:tr>
      <w:tr>
        <w:tc>
          <w:tcPr>
            <w:tcW w:type="dxa" w:w="3744"/>
            <w:vAlign w:val="top"/>
          </w:tcPr>
          <w:p>
            <w:pPr>
              <w:spacing w:after="0" w:before="0" w:line="240" w:lineRule="auto"/>
            </w:pPr>
            <w:r/>
            <w:r>
              <w:rPr>
                <w:b w:val="0"/>
                <w:sz w:val="18"/>
              </w:rPr>
              <w:t>Secondary trades</w:t>
            </w:r>
          </w:p>
        </w:tc>
        <w:tc>
          <w:tcPr>
            <w:tcW w:type="dxa" w:w="6912"/>
            <w:vAlign w:val="top"/>
          </w:tcPr>
          <w:p>
            <w:pPr>
              <w:spacing w:after="0" w:before="0" w:line="240" w:lineRule="auto"/>
            </w:pPr>
            <w:r/>
            <w:r>
              <w:rPr>
                <w:b w:val="0"/>
                <w:sz w:val="18"/>
              </w:rPr>
              <w:t>191 trades; 77.49% win rate</w:t>
            </w:r>
          </w:p>
        </w:tc>
      </w:tr>
      <w:tr>
        <w:tc>
          <w:tcPr>
            <w:tcW w:type="dxa" w:w="3744"/>
            <w:vAlign w:val="top"/>
          </w:tcPr>
          <w:p>
            <w:pPr>
              <w:spacing w:after="0" w:before="0" w:line="240" w:lineRule="auto"/>
            </w:pPr>
            <w:r/>
            <w:r>
              <w:rPr>
                <w:b w:val="0"/>
                <w:sz w:val="18"/>
              </w:rPr>
              <w:t>Signal label</w:t>
            </w:r>
          </w:p>
        </w:tc>
        <w:tc>
          <w:tcPr>
            <w:tcW w:type="dxa" w:w="6912"/>
            <w:vAlign w:val="top"/>
          </w:tcPr>
          <w:p>
            <w:pPr>
              <w:spacing w:after="0" w:before="0" w:line="240" w:lineRule="auto"/>
            </w:pPr>
            <w:r/>
            <w:r>
              <w:rPr>
                <w:b w:val="0"/>
                <w:sz w:val="18"/>
              </w:rPr>
              <w:t>locked_2621_win_band_25bps_conditional</w:t>
            </w:r>
          </w:p>
        </w:tc>
      </w:tr>
    </w:tbl>
    <w:p/>
    <w:p>
      <w:r>
        <w:t>The sizing work then validated a tenor-aware risk schedule. Core_back was robustly max-sized, Core_middle was close to max, and Core_front required a significant left-tail haircut. Secondary was ultimately split by tenor because Secondary_back had a cleaner left-tail profile than Secondary_front, while Secondary_middle had too few trades to optimize aggressively.</w:t>
      </w:r>
    </w:p>
    <w:p>
      <w:pPr>
        <w:pStyle w:val="Heading1"/>
      </w:pPr>
      <w:r>
        <w:t>12. Sizing validation summary</w:t>
      </w:r>
    </w:p>
    <w:tbl>
      <w:tblPr>
        <w:tblStyle w:val="TableGrid"/>
        <w:tblW w:type="auto" w:w="0"/>
        <w:jc w:val="center"/>
        <w:tblLook w:firstColumn="1" w:firstRow="1" w:lastColumn="0" w:lastRow="0" w:noHBand="0" w:noVBand="1" w:val="04A0"/>
      </w:tblPr>
      <w:tblGrid>
        <w:gridCol w:w="5328"/>
        <w:gridCol w:w="5328"/>
      </w:tblGrid>
      <w:tr>
        <w:tc>
          <w:tcPr>
            <w:tcW w:type="dxa" w:w="3312"/>
            <w:shd w:fill="1F4E79"/>
            <w:vAlign w:val="center"/>
          </w:tcPr>
          <w:p>
            <w:pPr>
              <w:spacing w:after="0" w:before="0" w:line="240" w:lineRule="auto"/>
            </w:pPr>
            <w:r/>
            <w:r>
              <w:rPr>
                <w:b/>
                <w:color w:val="FFFFFF"/>
                <w:sz w:val="17"/>
              </w:rPr>
              <w:t>Validation item</w:t>
            </w:r>
          </w:p>
        </w:tc>
        <w:tc>
          <w:tcPr>
            <w:tcW w:type="dxa" w:w="7344"/>
            <w:shd w:fill="1F4E79"/>
            <w:vAlign w:val="center"/>
          </w:tcPr>
          <w:p>
            <w:pPr>
              <w:spacing w:after="0" w:before="0" w:line="240" w:lineRule="auto"/>
            </w:pPr>
            <w:r/>
            <w:r>
              <w:rPr>
                <w:b/>
                <w:color w:val="FFFFFF"/>
                <w:sz w:val="17"/>
              </w:rPr>
              <w:t>Result and production interpretation</w:t>
            </w:r>
          </w:p>
        </w:tc>
      </w:tr>
      <w:tr>
        <w:tc>
          <w:tcPr>
            <w:tcW w:type="dxa" w:w="3312"/>
            <w:vAlign w:val="top"/>
          </w:tcPr>
          <w:p>
            <w:pPr>
              <w:spacing w:after="0" w:before="0" w:line="240" w:lineRule="auto"/>
            </w:pPr>
            <w:r/>
            <w:r>
              <w:rPr>
                <w:b w:val="0"/>
                <w:sz w:val="17"/>
              </w:rPr>
              <w:t>Flat Secondary 3.25%</w:t>
            </w:r>
          </w:p>
        </w:tc>
        <w:tc>
          <w:tcPr>
            <w:tcW w:type="dxa" w:w="7344"/>
            <w:vAlign w:val="top"/>
          </w:tcPr>
          <w:p>
            <w:pPr>
              <w:spacing w:after="0" w:before="0" w:line="240" w:lineRule="auto"/>
            </w:pPr>
            <w:r/>
            <w:r>
              <w:rPr>
                <w:b w:val="0"/>
                <w:sz w:val="17"/>
              </w:rPr>
              <w:t>Ranked 1,767 out of 7,240 schedules in the locked-core secondary split test.</w:t>
            </w:r>
          </w:p>
        </w:tc>
      </w:tr>
      <w:tr>
        <w:tc>
          <w:tcPr>
            <w:tcW w:type="dxa" w:w="3312"/>
            <w:vAlign w:val="top"/>
          </w:tcPr>
          <w:p>
            <w:pPr>
              <w:spacing w:after="0" w:before="0" w:line="240" w:lineRule="auto"/>
            </w:pPr>
            <w:r/>
            <w:r>
              <w:rPr>
                <w:b w:val="0"/>
                <w:sz w:val="17"/>
              </w:rPr>
              <w:t>Best practical Secondary split</w:t>
            </w:r>
          </w:p>
        </w:tc>
        <w:tc>
          <w:tcPr>
            <w:tcW w:type="dxa" w:w="7344"/>
            <w:vAlign w:val="top"/>
          </w:tcPr>
          <w:p>
            <w:pPr>
              <w:spacing w:after="0" w:before="0" w:line="240" w:lineRule="auto"/>
            </w:pPr>
            <w:r/>
            <w:r>
              <w:rPr>
                <w:b w:val="0"/>
                <w:sz w:val="17"/>
              </w:rPr>
              <w:t>Ranked 13 out of 7,240 schedules: Secondary_front 1.75%, Secondary_middle 3.25%, Secondary_back 4.50%.</w:t>
            </w:r>
          </w:p>
        </w:tc>
      </w:tr>
      <w:tr>
        <w:tc>
          <w:tcPr>
            <w:tcW w:type="dxa" w:w="3312"/>
            <w:vAlign w:val="top"/>
          </w:tcPr>
          <w:p>
            <w:pPr>
              <w:spacing w:after="0" w:before="0" w:line="240" w:lineRule="auto"/>
            </w:pPr>
            <w:r/>
            <w:r>
              <w:rPr>
                <w:b w:val="0"/>
                <w:sz w:val="17"/>
              </w:rPr>
              <w:t>Best fully-free split</w:t>
            </w:r>
          </w:p>
        </w:tc>
        <w:tc>
          <w:tcPr>
            <w:tcW w:type="dxa" w:w="7344"/>
            <w:vAlign w:val="top"/>
          </w:tcPr>
          <w:p>
            <w:pPr>
              <w:spacing w:after="0" w:before="0" w:line="240" w:lineRule="auto"/>
            </w:pPr>
            <w:r/>
            <w:r>
              <w:rPr>
                <w:b w:val="0"/>
                <w:sz w:val="17"/>
              </w:rPr>
              <w:t>Ranked 1 out of 7,240 but relied on optimizing Secondary_middle, which had only 10 trades. Treated as diagnostic, not production policy.</w:t>
            </w:r>
          </w:p>
        </w:tc>
      </w:tr>
    </w:tbl>
    <w:p/>
    <w:p>
      <w:r>
        <w:br w:type="page"/>
      </w:r>
    </w:p>
    <w:p>
      <w:pPr>
        <w:pStyle w:val="Heading2"/>
      </w:pPr>
      <w:r>
        <w:t>12.1 Secondary-only raw distribution diagnostics</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512"/>
            <w:shd w:fill="1F4E79"/>
            <w:vAlign w:val="center"/>
          </w:tcPr>
          <w:p>
            <w:pPr>
              <w:spacing w:after="0" w:before="0" w:line="240" w:lineRule="auto"/>
            </w:pPr>
            <w:r/>
            <w:r>
              <w:rPr>
                <w:b/>
                <w:color w:val="FFFFFF"/>
                <w:sz w:val="14"/>
              </w:rPr>
              <w:t>Bucket</w:t>
            </w:r>
          </w:p>
        </w:tc>
        <w:tc>
          <w:tcPr>
            <w:tcW w:type="dxa" w:w="648"/>
            <w:shd w:fill="1F4E79"/>
            <w:vAlign w:val="center"/>
          </w:tcPr>
          <w:p>
            <w:pPr>
              <w:spacing w:after="0" w:before="0" w:line="240" w:lineRule="auto"/>
            </w:pPr>
            <w:r/>
            <w:r>
              <w:rPr>
                <w:b/>
                <w:color w:val="FFFFFF"/>
                <w:sz w:val="14"/>
              </w:rPr>
              <w:t>Trades</w:t>
            </w:r>
          </w:p>
        </w:tc>
        <w:tc>
          <w:tcPr>
            <w:tcW w:type="dxa" w:w="893"/>
            <w:shd w:fill="1F4E79"/>
            <w:vAlign w:val="center"/>
          </w:tcPr>
          <w:p>
            <w:pPr>
              <w:spacing w:after="0" w:before="0" w:line="240" w:lineRule="auto"/>
            </w:pPr>
            <w:r/>
            <w:r>
              <w:rPr>
                <w:b/>
                <w:color w:val="FFFFFF"/>
                <w:sz w:val="14"/>
              </w:rPr>
              <w:t>Win rate</w:t>
            </w:r>
          </w:p>
        </w:tc>
        <w:tc>
          <w:tcPr>
            <w:tcW w:type="dxa" w:w="1080"/>
            <w:shd w:fill="1F4E79"/>
            <w:vAlign w:val="center"/>
          </w:tcPr>
          <w:p>
            <w:pPr>
              <w:spacing w:after="0" w:before="0" w:line="240" w:lineRule="auto"/>
            </w:pPr>
            <w:r/>
            <w:r>
              <w:rPr>
                <w:b/>
                <w:color w:val="FFFFFF"/>
                <w:sz w:val="14"/>
              </w:rPr>
              <w:t>Avg P&amp;L/day</w:t>
            </w:r>
          </w:p>
        </w:tc>
        <w:tc>
          <w:tcPr>
            <w:tcW w:type="dxa" w:w="1181"/>
            <w:shd w:fill="1F4E79"/>
            <w:vAlign w:val="center"/>
          </w:tcPr>
          <w:p>
            <w:pPr>
              <w:spacing w:after="0" w:before="0" w:line="240" w:lineRule="auto"/>
            </w:pPr>
            <w:r/>
            <w:r>
              <w:rPr>
                <w:b/>
                <w:color w:val="FFFFFF"/>
                <w:sz w:val="14"/>
              </w:rPr>
              <w:t>Median P&amp;L/day</w:t>
            </w:r>
          </w:p>
        </w:tc>
        <w:tc>
          <w:tcPr>
            <w:tcW w:type="dxa" w:w="1224"/>
            <w:shd w:fill="1F4E79"/>
            <w:vAlign w:val="center"/>
          </w:tcPr>
          <w:p>
            <w:pPr>
              <w:spacing w:after="0" w:before="0" w:line="240" w:lineRule="auto"/>
            </w:pPr>
            <w:r/>
            <w:r>
              <w:rPr>
                <w:b/>
                <w:color w:val="FFFFFF"/>
                <w:sz w:val="14"/>
              </w:rPr>
              <w:t>CVaR20 P&amp;L/day</w:t>
            </w:r>
          </w:p>
        </w:tc>
        <w:tc>
          <w:tcPr>
            <w:tcW w:type="dxa" w:w="1224"/>
            <w:shd w:fill="1F4E79"/>
            <w:vAlign w:val="center"/>
          </w:tcPr>
          <w:p>
            <w:pPr>
              <w:spacing w:after="0" w:before="0" w:line="240" w:lineRule="auto"/>
            </w:pPr>
            <w:r/>
            <w:r>
              <w:rPr>
                <w:b/>
                <w:color w:val="FFFFFF"/>
                <w:sz w:val="14"/>
              </w:rPr>
              <w:t>Worst P&amp;L/day</w:t>
            </w:r>
          </w:p>
        </w:tc>
        <w:tc>
          <w:tcPr>
            <w:tcW w:type="dxa" w:w="2880"/>
            <w:shd w:fill="1F4E79"/>
            <w:vAlign w:val="center"/>
          </w:tcPr>
          <w:p>
            <w:pPr>
              <w:spacing w:after="0" w:before="0" w:line="240" w:lineRule="auto"/>
            </w:pPr>
            <w:r/>
            <w:r>
              <w:rPr>
                <w:b/>
                <w:color w:val="FFFFFF"/>
                <w:sz w:val="14"/>
              </w:rPr>
              <w:t>Sizing read</w:t>
            </w:r>
          </w:p>
        </w:tc>
      </w:tr>
      <w:tr>
        <w:tc>
          <w:tcPr>
            <w:tcW w:type="dxa" w:w="1512"/>
            <w:vAlign w:val="top"/>
          </w:tcPr>
          <w:p>
            <w:pPr>
              <w:spacing w:after="0" w:before="0" w:line="240" w:lineRule="auto"/>
            </w:pPr>
            <w:r/>
            <w:r>
              <w:rPr>
                <w:b w:val="0"/>
                <w:sz w:val="14"/>
              </w:rPr>
              <w:t>Secondary_back</w:t>
            </w:r>
          </w:p>
        </w:tc>
        <w:tc>
          <w:tcPr>
            <w:tcW w:type="dxa" w:w="648"/>
            <w:vAlign w:val="top"/>
          </w:tcPr>
          <w:p>
            <w:pPr>
              <w:spacing w:after="0" w:before="0" w:line="240" w:lineRule="auto"/>
            </w:pPr>
            <w:r/>
            <w:r>
              <w:rPr>
                <w:b w:val="0"/>
                <w:sz w:val="14"/>
              </w:rPr>
              <w:t>82</w:t>
            </w:r>
          </w:p>
        </w:tc>
        <w:tc>
          <w:tcPr>
            <w:tcW w:type="dxa" w:w="893"/>
            <w:vAlign w:val="top"/>
          </w:tcPr>
          <w:p>
            <w:pPr>
              <w:spacing w:after="0" w:before="0" w:line="240" w:lineRule="auto"/>
            </w:pPr>
            <w:r/>
            <w:r>
              <w:rPr>
                <w:b w:val="0"/>
                <w:sz w:val="14"/>
              </w:rPr>
              <w:t>78.05%</w:t>
            </w:r>
          </w:p>
        </w:tc>
        <w:tc>
          <w:tcPr>
            <w:tcW w:type="dxa" w:w="1080"/>
            <w:vAlign w:val="top"/>
          </w:tcPr>
          <w:p>
            <w:pPr>
              <w:spacing w:after="0" w:before="0" w:line="240" w:lineRule="auto"/>
            </w:pPr>
            <w:r/>
            <w:r>
              <w:rPr>
                <w:b w:val="0"/>
                <w:sz w:val="14"/>
              </w:rPr>
              <w:t>197.15</w:t>
            </w:r>
          </w:p>
        </w:tc>
        <w:tc>
          <w:tcPr>
            <w:tcW w:type="dxa" w:w="1181"/>
            <w:vAlign w:val="top"/>
          </w:tcPr>
          <w:p>
            <w:pPr>
              <w:spacing w:after="0" w:before="0" w:line="240" w:lineRule="auto"/>
            </w:pPr>
            <w:r/>
            <w:r>
              <w:rPr>
                <w:b w:val="0"/>
                <w:sz w:val="14"/>
              </w:rPr>
              <w:t>410.96</w:t>
            </w:r>
          </w:p>
        </w:tc>
        <w:tc>
          <w:tcPr>
            <w:tcW w:type="dxa" w:w="1224"/>
            <w:vAlign w:val="top"/>
          </w:tcPr>
          <w:p>
            <w:pPr>
              <w:spacing w:after="0" w:before="0" w:line="240" w:lineRule="auto"/>
            </w:pPr>
            <w:r/>
            <w:r>
              <w:rPr>
                <w:b w:val="0"/>
                <w:sz w:val="14"/>
              </w:rPr>
              <w:t>-675.41</w:t>
            </w:r>
          </w:p>
        </w:tc>
        <w:tc>
          <w:tcPr>
            <w:tcW w:type="dxa" w:w="1224"/>
            <w:vAlign w:val="top"/>
          </w:tcPr>
          <w:p>
            <w:pPr>
              <w:spacing w:after="0" w:before="0" w:line="240" w:lineRule="auto"/>
            </w:pPr>
            <w:r/>
            <w:r>
              <w:rPr>
                <w:b w:val="0"/>
                <w:sz w:val="14"/>
              </w:rPr>
              <w:t>-2,512.37</w:t>
            </w:r>
          </w:p>
        </w:tc>
        <w:tc>
          <w:tcPr>
            <w:tcW w:type="dxa" w:w="2880"/>
            <w:vAlign w:val="top"/>
          </w:tcPr>
          <w:p>
            <w:pPr>
              <w:spacing w:after="0" w:before="0" w:line="240" w:lineRule="auto"/>
            </w:pPr>
            <w:r/>
            <w:r>
              <w:rPr>
                <w:b w:val="0"/>
                <w:sz w:val="14"/>
              </w:rPr>
              <w:t>Size up to 4.50% because the left tail is cleaner.</w:t>
            </w:r>
          </w:p>
        </w:tc>
      </w:tr>
      <w:tr>
        <w:tc>
          <w:tcPr>
            <w:tcW w:type="dxa" w:w="1512"/>
            <w:vAlign w:val="top"/>
          </w:tcPr>
          <w:p>
            <w:pPr>
              <w:spacing w:after="0" w:before="0" w:line="240" w:lineRule="auto"/>
            </w:pPr>
            <w:r/>
            <w:r>
              <w:rPr>
                <w:b w:val="0"/>
                <w:sz w:val="14"/>
              </w:rPr>
              <w:t>Secondary_front</w:t>
            </w:r>
          </w:p>
        </w:tc>
        <w:tc>
          <w:tcPr>
            <w:tcW w:type="dxa" w:w="648"/>
            <w:vAlign w:val="top"/>
          </w:tcPr>
          <w:p>
            <w:pPr>
              <w:spacing w:after="0" w:before="0" w:line="240" w:lineRule="auto"/>
            </w:pPr>
            <w:r/>
            <w:r>
              <w:rPr>
                <w:b w:val="0"/>
                <w:sz w:val="14"/>
              </w:rPr>
              <w:t>99</w:t>
            </w:r>
          </w:p>
        </w:tc>
        <w:tc>
          <w:tcPr>
            <w:tcW w:type="dxa" w:w="893"/>
            <w:vAlign w:val="top"/>
          </w:tcPr>
          <w:p>
            <w:pPr>
              <w:spacing w:after="0" w:before="0" w:line="240" w:lineRule="auto"/>
            </w:pPr>
            <w:r/>
            <w:r>
              <w:rPr>
                <w:b w:val="0"/>
                <w:sz w:val="14"/>
              </w:rPr>
              <w:t>76.77%</w:t>
            </w:r>
          </w:p>
        </w:tc>
        <w:tc>
          <w:tcPr>
            <w:tcW w:type="dxa" w:w="1080"/>
            <w:vAlign w:val="top"/>
          </w:tcPr>
          <w:p>
            <w:pPr>
              <w:spacing w:after="0" w:before="0" w:line="240" w:lineRule="auto"/>
            </w:pPr>
            <w:r/>
            <w:r>
              <w:rPr>
                <w:b w:val="0"/>
                <w:sz w:val="14"/>
              </w:rPr>
              <w:t>328.23</w:t>
            </w:r>
          </w:p>
        </w:tc>
        <w:tc>
          <w:tcPr>
            <w:tcW w:type="dxa" w:w="1181"/>
            <w:vAlign w:val="top"/>
          </w:tcPr>
          <w:p>
            <w:pPr>
              <w:spacing w:after="0" w:before="0" w:line="240" w:lineRule="auto"/>
            </w:pPr>
            <w:r/>
            <w:r>
              <w:rPr>
                <w:b w:val="0"/>
                <w:sz w:val="14"/>
              </w:rPr>
              <w:t>542.82</w:t>
            </w:r>
          </w:p>
        </w:tc>
        <w:tc>
          <w:tcPr>
            <w:tcW w:type="dxa" w:w="1224"/>
            <w:vAlign w:val="top"/>
          </w:tcPr>
          <w:p>
            <w:pPr>
              <w:spacing w:after="0" w:before="0" w:line="240" w:lineRule="auto"/>
            </w:pPr>
            <w:r/>
            <w:r>
              <w:rPr>
                <w:b w:val="0"/>
                <w:sz w:val="14"/>
              </w:rPr>
              <w:t>-1,532.36</w:t>
            </w:r>
          </w:p>
        </w:tc>
        <w:tc>
          <w:tcPr>
            <w:tcW w:type="dxa" w:w="1224"/>
            <w:vAlign w:val="top"/>
          </w:tcPr>
          <w:p>
            <w:pPr>
              <w:spacing w:after="0" w:before="0" w:line="240" w:lineRule="auto"/>
            </w:pPr>
            <w:r/>
            <w:r>
              <w:rPr>
                <w:b w:val="0"/>
                <w:sz w:val="14"/>
              </w:rPr>
              <w:t>-2,958.02</w:t>
            </w:r>
          </w:p>
        </w:tc>
        <w:tc>
          <w:tcPr>
            <w:tcW w:type="dxa" w:w="2880"/>
            <w:vAlign w:val="top"/>
          </w:tcPr>
          <w:p>
            <w:pPr>
              <w:spacing w:after="0" w:before="0" w:line="240" w:lineRule="auto"/>
            </w:pPr>
            <w:r/>
            <w:r>
              <w:rPr>
                <w:b w:val="0"/>
                <w:sz w:val="14"/>
              </w:rPr>
              <w:t>Size down to 1.75% despite higher average P&amp;L/day because tail volatility is worse.</w:t>
            </w:r>
          </w:p>
        </w:tc>
      </w:tr>
      <w:tr>
        <w:tc>
          <w:tcPr>
            <w:tcW w:type="dxa" w:w="1512"/>
            <w:vAlign w:val="top"/>
          </w:tcPr>
          <w:p>
            <w:pPr>
              <w:spacing w:after="0" w:before="0" w:line="240" w:lineRule="auto"/>
            </w:pPr>
            <w:r/>
            <w:r>
              <w:rPr>
                <w:b w:val="0"/>
                <w:sz w:val="14"/>
              </w:rPr>
              <w:t>Secondary_middle</w:t>
            </w:r>
          </w:p>
        </w:tc>
        <w:tc>
          <w:tcPr>
            <w:tcW w:type="dxa" w:w="648"/>
            <w:vAlign w:val="top"/>
          </w:tcPr>
          <w:p>
            <w:pPr>
              <w:spacing w:after="0" w:before="0" w:line="240" w:lineRule="auto"/>
            </w:pPr>
            <w:r/>
            <w:r>
              <w:rPr>
                <w:b w:val="0"/>
                <w:sz w:val="14"/>
              </w:rPr>
              <w:t>10</w:t>
            </w:r>
          </w:p>
        </w:tc>
        <w:tc>
          <w:tcPr>
            <w:tcW w:type="dxa" w:w="893"/>
            <w:vAlign w:val="top"/>
          </w:tcPr>
          <w:p>
            <w:pPr>
              <w:spacing w:after="0" w:before="0" w:line="240" w:lineRule="auto"/>
            </w:pPr>
            <w:r/>
            <w:r>
              <w:rPr>
                <w:b w:val="0"/>
                <w:sz w:val="14"/>
              </w:rPr>
              <w:t>80.00%</w:t>
            </w:r>
          </w:p>
        </w:tc>
        <w:tc>
          <w:tcPr>
            <w:tcW w:type="dxa" w:w="1080"/>
            <w:vAlign w:val="top"/>
          </w:tcPr>
          <w:p>
            <w:pPr>
              <w:spacing w:after="0" w:before="0" w:line="240" w:lineRule="auto"/>
            </w:pPr>
            <w:r/>
            <w:r>
              <w:rPr>
                <w:b w:val="0"/>
                <w:sz w:val="14"/>
              </w:rPr>
              <w:t>239.42</w:t>
            </w:r>
          </w:p>
        </w:tc>
        <w:tc>
          <w:tcPr>
            <w:tcW w:type="dxa" w:w="1181"/>
            <w:vAlign w:val="top"/>
          </w:tcPr>
          <w:p>
            <w:pPr>
              <w:spacing w:after="0" w:before="0" w:line="240" w:lineRule="auto"/>
            </w:pPr>
            <w:r/>
            <w:r>
              <w:rPr>
                <w:b w:val="0"/>
                <w:sz w:val="14"/>
              </w:rPr>
              <w:t>512.81</w:t>
            </w:r>
          </w:p>
        </w:tc>
        <w:tc>
          <w:tcPr>
            <w:tcW w:type="dxa" w:w="1224"/>
            <w:vAlign w:val="top"/>
          </w:tcPr>
          <w:p>
            <w:pPr>
              <w:spacing w:after="0" w:before="0" w:line="240" w:lineRule="auto"/>
            </w:pPr>
            <w:r/>
            <w:r>
              <w:rPr>
                <w:b w:val="0"/>
                <w:sz w:val="14"/>
              </w:rPr>
              <w:t>-1,359.10</w:t>
            </w:r>
          </w:p>
        </w:tc>
        <w:tc>
          <w:tcPr>
            <w:tcW w:type="dxa" w:w="1224"/>
            <w:vAlign w:val="top"/>
          </w:tcPr>
          <w:p>
            <w:pPr>
              <w:spacing w:after="0" w:before="0" w:line="240" w:lineRule="auto"/>
            </w:pPr>
            <w:r/>
            <w:r>
              <w:rPr>
                <w:b w:val="0"/>
                <w:sz w:val="14"/>
              </w:rPr>
              <w:t>-1,714.23</w:t>
            </w:r>
          </w:p>
        </w:tc>
        <w:tc>
          <w:tcPr>
            <w:tcW w:type="dxa" w:w="2880"/>
            <w:vAlign w:val="top"/>
          </w:tcPr>
          <w:p>
            <w:pPr>
              <w:spacing w:after="0" w:before="0" w:line="240" w:lineRule="auto"/>
            </w:pPr>
            <w:r/>
            <w:r>
              <w:rPr>
                <w:b w:val="0"/>
                <w:sz w:val="14"/>
              </w:rPr>
              <w:t>Keep neutral at 3.25% because sample is too small.</w:t>
            </w:r>
          </w:p>
        </w:tc>
      </w:tr>
    </w:tbl>
    <w:p/>
    <w:p>
      <w:pPr>
        <w:pStyle w:val="Heading1"/>
      </w:pPr>
      <w:r>
        <w:t>13. Constant-NAV cumulative P&amp;L audit</w:t>
      </w:r>
    </w:p>
    <w:p>
      <w:r>
        <w:t>The final notebook includes a cumulative realized P&amp;L plot that sizes every trade off a constant $1,000,000 NAV. This deliberately removes compounding and removes path-dependent account growth/loss from the position size. The purpose is to show the historical contribution of the locked signal and sizing rules on a stable risk budget.</w:t>
      </w:r>
    </w:p>
    <w:p>
      <w:pPr>
        <w:pStyle w:val="ListBullet"/>
        <w:spacing w:after="40"/>
      </w:pPr>
      <w:r>
        <w:t>Each trade uses constant max-risk dollars = $1,000,000 x locked risk fraction.</w:t>
      </w:r>
    </w:p>
    <w:p>
      <w:pPr>
        <w:pStyle w:val="ListBullet"/>
        <w:spacing w:after="40"/>
      </w:pPr>
      <w:r>
        <w:t>The curve is realized by exit date, not entry date.</w:t>
      </w:r>
    </w:p>
    <w:p>
      <w:pPr>
        <w:pStyle w:val="ListBullet"/>
        <w:spacing w:after="40"/>
      </w:pPr>
      <w:r>
        <w:t>This audit is separate from a live compounding NAV path.</w:t>
      </w:r>
    </w:p>
    <w:p>
      <w:pPr>
        <w:pStyle w:val="ListBullet"/>
        <w:spacing w:after="40"/>
      </w:pPr>
      <w:r>
        <w:t>This audit is also separate from future portfolio hedging or risk-overlay work.</w:t>
      </w:r>
    </w:p>
    <w:p>
      <w:pPr>
        <w:pStyle w:val="Heading1"/>
      </w:pPr>
      <w:r>
        <w:t>14. Required production output</w:t>
      </w:r>
    </w:p>
    <w:p>
      <w:r>
        <w:t>Each daily or intraday production run should produce a compact trade-decision record with enough detail to audit the decision later.</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spacing w:after="0" w:before="0" w:line="240" w:lineRule="auto"/>
            </w:pPr>
            <w:r/>
            <w:r>
              <w:rPr>
                <w:b/>
                <w:color w:val="FFFFFF"/>
                <w:sz w:val="17"/>
              </w:rPr>
              <w:t>Output field</w:t>
            </w:r>
          </w:p>
        </w:tc>
        <w:tc>
          <w:tcPr>
            <w:tcW w:type="dxa" w:w="7776"/>
            <w:shd w:fill="1F4E79"/>
            <w:vAlign w:val="center"/>
          </w:tcPr>
          <w:p>
            <w:pPr>
              <w:spacing w:after="0" w:before="0" w:line="240" w:lineRule="auto"/>
            </w:pPr>
            <w:r/>
            <w:r>
              <w:rPr>
                <w:b/>
                <w:color w:val="FFFFFF"/>
                <w:sz w:val="17"/>
              </w:rPr>
              <w:t>Purpose</w:t>
            </w:r>
          </w:p>
        </w:tc>
      </w:tr>
      <w:tr>
        <w:tc>
          <w:tcPr>
            <w:tcW w:type="dxa" w:w="2880"/>
            <w:vAlign w:val="top"/>
          </w:tcPr>
          <w:p>
            <w:pPr>
              <w:spacing w:after="0" w:before="0" w:line="240" w:lineRule="auto"/>
            </w:pPr>
            <w:r/>
            <w:r>
              <w:rPr>
                <w:b w:val="0"/>
                <w:sz w:val="17"/>
              </w:rPr>
              <w:t>run_timestamp</w:t>
            </w:r>
          </w:p>
        </w:tc>
        <w:tc>
          <w:tcPr>
            <w:tcW w:type="dxa" w:w="7776"/>
            <w:vAlign w:val="top"/>
          </w:tcPr>
          <w:p>
            <w:pPr>
              <w:spacing w:after="0" w:before="0" w:line="240" w:lineRule="auto"/>
            </w:pPr>
            <w:r/>
            <w:r>
              <w:rPr>
                <w:b w:val="0"/>
                <w:sz w:val="17"/>
              </w:rPr>
              <w:t>Timestamp of the signal run.</w:t>
            </w:r>
          </w:p>
        </w:tc>
      </w:tr>
      <w:tr>
        <w:tc>
          <w:tcPr>
            <w:tcW w:type="dxa" w:w="2880"/>
            <w:vAlign w:val="top"/>
          </w:tcPr>
          <w:p>
            <w:pPr>
              <w:spacing w:after="0" w:before="0" w:line="240" w:lineRule="auto"/>
            </w:pPr>
            <w:r/>
            <w:r>
              <w:rPr>
                <w:b w:val="0"/>
                <w:sz w:val="17"/>
              </w:rPr>
              <w:t>trade_decision</w:t>
            </w:r>
          </w:p>
        </w:tc>
        <w:tc>
          <w:tcPr>
            <w:tcW w:type="dxa" w:w="7776"/>
            <w:vAlign w:val="top"/>
          </w:tcPr>
          <w:p>
            <w:pPr>
              <w:spacing w:after="0" w:before="0" w:line="240" w:lineRule="auto"/>
            </w:pPr>
            <w:r/>
            <w:r>
              <w:rPr>
                <w:b w:val="0"/>
                <w:sz w:val="17"/>
              </w:rPr>
              <w:t>Trade / no trade.</w:t>
            </w:r>
          </w:p>
        </w:tc>
      </w:tr>
      <w:tr>
        <w:tc>
          <w:tcPr>
            <w:tcW w:type="dxa" w:w="2880"/>
            <w:vAlign w:val="top"/>
          </w:tcPr>
          <w:p>
            <w:pPr>
              <w:spacing w:after="0" w:before="0" w:line="240" w:lineRule="auto"/>
            </w:pPr>
            <w:r/>
            <w:r>
              <w:rPr>
                <w:b w:val="0"/>
                <w:sz w:val="17"/>
              </w:rPr>
              <w:t>selected_tenor</w:t>
            </w:r>
          </w:p>
        </w:tc>
        <w:tc>
          <w:tcPr>
            <w:tcW w:type="dxa" w:w="7776"/>
            <w:vAlign w:val="top"/>
          </w:tcPr>
          <w:p>
            <w:pPr>
              <w:spacing w:after="0" w:before="0" w:line="240" w:lineRule="auto"/>
            </w:pPr>
            <w:r/>
            <w:r>
              <w:rPr>
                <w:b w:val="0"/>
                <w:sz w:val="17"/>
              </w:rPr>
              <w:t>Selected tenor if a trade qualifies.</w:t>
            </w:r>
          </w:p>
        </w:tc>
      </w:tr>
      <w:tr>
        <w:tc>
          <w:tcPr>
            <w:tcW w:type="dxa" w:w="2880"/>
            <w:vAlign w:val="top"/>
          </w:tcPr>
          <w:p>
            <w:pPr>
              <w:spacing w:after="0" w:before="0" w:line="240" w:lineRule="auto"/>
            </w:pPr>
            <w:r/>
            <w:r>
              <w:rPr>
                <w:b w:val="0"/>
                <w:sz w:val="17"/>
              </w:rPr>
              <w:t>layer and bucket</w:t>
            </w:r>
          </w:p>
        </w:tc>
        <w:tc>
          <w:tcPr>
            <w:tcW w:type="dxa" w:w="7776"/>
            <w:vAlign w:val="top"/>
          </w:tcPr>
          <w:p>
            <w:pPr>
              <w:spacing w:after="0" w:before="0" w:line="240" w:lineRule="auto"/>
            </w:pPr>
            <w:r/>
            <w:r>
              <w:rPr>
                <w:b w:val="0"/>
                <w:sz w:val="17"/>
              </w:rPr>
              <w:t>Core or Secondary; front/middle/back.</w:t>
            </w:r>
          </w:p>
        </w:tc>
      </w:tr>
      <w:tr>
        <w:tc>
          <w:tcPr>
            <w:tcW w:type="dxa" w:w="2880"/>
            <w:vAlign w:val="top"/>
          </w:tcPr>
          <w:p>
            <w:pPr>
              <w:spacing w:after="0" w:before="0" w:line="240" w:lineRule="auto"/>
            </w:pPr>
            <w:r/>
            <w:r>
              <w:rPr>
                <w:b w:val="0"/>
                <w:sz w:val="17"/>
              </w:rPr>
              <w:t>qualification features</w:t>
            </w:r>
          </w:p>
        </w:tc>
        <w:tc>
          <w:tcPr>
            <w:tcW w:type="dxa" w:w="7776"/>
            <w:vAlign w:val="top"/>
          </w:tcPr>
          <w:p>
            <w:pPr>
              <w:spacing w:after="0" w:before="0" w:line="240" w:lineRule="auto"/>
            </w:pPr>
            <w:r/>
            <w:r>
              <w:rPr>
                <w:b w:val="0"/>
                <w:sz w:val="17"/>
              </w:rPr>
              <w:t>VRP, z3m, z1y, rv21d, RSI14 for the selected tenor and ideally all qualifying tenors.</w:t>
            </w:r>
          </w:p>
        </w:tc>
      </w:tr>
      <w:tr>
        <w:tc>
          <w:tcPr>
            <w:tcW w:type="dxa" w:w="2880"/>
            <w:vAlign w:val="top"/>
          </w:tcPr>
          <w:p>
            <w:pPr>
              <w:spacing w:after="0" w:before="0" w:line="240" w:lineRule="auto"/>
            </w:pPr>
            <w:r/>
            <w:r>
              <w:rPr>
                <w:b w:val="0"/>
                <w:sz w:val="17"/>
              </w:rPr>
              <w:t>risk_fraction</w:t>
            </w:r>
          </w:p>
        </w:tc>
        <w:tc>
          <w:tcPr>
            <w:tcW w:type="dxa" w:w="7776"/>
            <w:vAlign w:val="top"/>
          </w:tcPr>
          <w:p>
            <w:pPr>
              <w:spacing w:after="0" w:before="0" w:line="240" w:lineRule="auto"/>
            </w:pPr>
            <w:r/>
            <w:r>
              <w:rPr>
                <w:b w:val="0"/>
                <w:sz w:val="17"/>
              </w:rPr>
              <w:t>Locked per-trade max-loss fraction.</w:t>
            </w:r>
          </w:p>
        </w:tc>
      </w:tr>
      <w:tr>
        <w:tc>
          <w:tcPr>
            <w:tcW w:type="dxa" w:w="2880"/>
            <w:vAlign w:val="top"/>
          </w:tcPr>
          <w:p>
            <w:pPr>
              <w:spacing w:after="0" w:before="0" w:line="240" w:lineRule="auto"/>
            </w:pPr>
            <w:r/>
            <w:r>
              <w:rPr>
                <w:b w:val="0"/>
                <w:sz w:val="17"/>
              </w:rPr>
              <w:t>max_loss_dollars</w:t>
            </w:r>
          </w:p>
        </w:tc>
        <w:tc>
          <w:tcPr>
            <w:tcW w:type="dxa" w:w="7776"/>
            <w:vAlign w:val="top"/>
          </w:tcPr>
          <w:p>
            <w:pPr>
              <w:spacing w:after="0" w:before="0" w:line="240" w:lineRule="auto"/>
            </w:pPr>
            <w:r/>
            <w:r>
              <w:rPr>
                <w:b w:val="0"/>
                <w:sz w:val="17"/>
              </w:rPr>
              <w:t>Trading NAV x risk_fraction.</w:t>
            </w:r>
          </w:p>
        </w:tc>
      </w:tr>
      <w:tr>
        <w:tc>
          <w:tcPr>
            <w:tcW w:type="dxa" w:w="2880"/>
            <w:vAlign w:val="top"/>
          </w:tcPr>
          <w:p>
            <w:pPr>
              <w:spacing w:after="0" w:before="0" w:line="240" w:lineRule="auto"/>
            </w:pPr>
            <w:r/>
            <w:r>
              <w:rPr>
                <w:b w:val="0"/>
                <w:sz w:val="17"/>
              </w:rPr>
              <w:t>contract_count</w:t>
            </w:r>
          </w:p>
        </w:tc>
        <w:tc>
          <w:tcPr>
            <w:tcW w:type="dxa" w:w="7776"/>
            <w:vAlign w:val="top"/>
          </w:tcPr>
          <w:p>
            <w:pPr>
              <w:spacing w:after="0" w:before="0" w:line="240" w:lineRule="auto"/>
            </w:pPr>
            <w:r/>
            <w:r>
              <w:rPr>
                <w:b w:val="0"/>
                <w:sz w:val="17"/>
              </w:rPr>
              <w:t>Contract count implied by the instrument max loss calculation.</w:t>
            </w:r>
          </w:p>
        </w:tc>
      </w:tr>
      <w:tr>
        <w:tc>
          <w:tcPr>
            <w:tcW w:type="dxa" w:w="2880"/>
            <w:vAlign w:val="top"/>
          </w:tcPr>
          <w:p>
            <w:pPr>
              <w:spacing w:after="0" w:before="0" w:line="240" w:lineRule="auto"/>
            </w:pPr>
            <w:r/>
            <w:r>
              <w:rPr>
                <w:b w:val="0"/>
                <w:sz w:val="17"/>
              </w:rPr>
              <w:t>audit reason</w:t>
            </w:r>
          </w:p>
        </w:tc>
        <w:tc>
          <w:tcPr>
            <w:tcW w:type="dxa" w:w="7776"/>
            <w:vAlign w:val="top"/>
          </w:tcPr>
          <w:p>
            <w:pPr>
              <w:spacing w:after="0" w:before="0" w:line="240" w:lineRule="auto"/>
            </w:pPr>
            <w:r/>
            <w:r>
              <w:rPr>
                <w:b w:val="0"/>
                <w:sz w:val="17"/>
              </w:rPr>
              <w:t>Why selected tenor won: Core-first, win-band rank, P&amp;L/day tie-break if applicable.</w:t>
            </w:r>
          </w:p>
        </w:tc>
      </w:tr>
    </w:tbl>
    <w:p/>
    <w:p>
      <w:pPr>
        <w:pStyle w:val="Heading1"/>
      </w:pPr>
      <w:r>
        <w:t>15. Notebook and production workflow</w:t>
      </w:r>
    </w:p>
    <w:p>
      <w:pPr>
        <w:pStyle w:val="ListBullet"/>
        <w:spacing w:after="40"/>
      </w:pPr>
      <w:r>
        <w:t>Notebook 1 remains the feature-building notebook: implied variance, forecast variance, VRP, z3m, z1y, rv21d, and RSI14.</w:t>
      </w:r>
    </w:p>
    <w:p>
      <w:pPr>
        <w:pStyle w:val="ListBullet"/>
        <w:spacing w:after="40"/>
      </w:pPr>
      <w:r>
        <w:t>The finalized recalibration notebook implements the locked 2621 selection framework, locked sizing, and constant-$1mm NAV audit plot.</w:t>
      </w:r>
    </w:p>
    <w:p>
      <w:pPr>
        <w:pStyle w:val="ListBullet"/>
        <w:spacing w:after="40"/>
      </w:pPr>
      <w:r>
        <w:t>A later production script/app should refresh the feature panel daily and eventually intraday.</w:t>
      </w:r>
    </w:p>
    <w:p>
      <w:pPr>
        <w:pStyle w:val="ListBullet"/>
        <w:spacing w:after="40"/>
      </w:pPr>
      <w:r>
        <w:t>The production script should output trade/no-trade, selected tenor, tier/bucket, locked risk size, and audit diagnostics.</w:t>
      </w:r>
    </w:p>
    <w:p>
      <w:pPr>
        <w:pStyle w:val="ListBullet"/>
        <w:spacing w:after="40"/>
      </w:pPr>
      <w:r>
        <w:t>Portfolio risk caps, stress tests, hedge triggers, and spread conversion should be implemented as separate downstream modules rather than folded into the signal layer.</w:t>
      </w:r>
    </w:p>
    <w:p>
      <w:pPr>
        <w:pStyle w:val="Heading1"/>
      </w:pPr>
      <w:r>
        <w:t>16. Controls, limitations, and next work</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spacing w:after="0" w:before="0" w:line="240" w:lineRule="auto"/>
            </w:pPr>
            <w:r/>
            <w:r>
              <w:rPr>
                <w:b/>
                <w:color w:val="FFFFFF"/>
                <w:sz w:val="17"/>
              </w:rPr>
              <w:t>Control / limitation</w:t>
            </w:r>
          </w:p>
        </w:tc>
        <w:tc>
          <w:tcPr>
            <w:tcW w:type="dxa" w:w="7776"/>
            <w:shd w:fill="1F4E79"/>
            <w:vAlign w:val="center"/>
          </w:tcPr>
          <w:p>
            <w:pPr>
              <w:spacing w:after="0" w:before="0" w:line="240" w:lineRule="auto"/>
            </w:pPr>
            <w:r/>
            <w:r>
              <w:rPr>
                <w:b/>
                <w:color w:val="FFFFFF"/>
                <w:sz w:val="17"/>
              </w:rPr>
              <w:t>Production implication</w:t>
            </w:r>
          </w:p>
        </w:tc>
      </w:tr>
      <w:tr>
        <w:tc>
          <w:tcPr>
            <w:tcW w:type="dxa" w:w="2880"/>
            <w:vAlign w:val="top"/>
          </w:tcPr>
          <w:p>
            <w:pPr>
              <w:spacing w:after="0" w:before="0" w:line="240" w:lineRule="auto"/>
            </w:pPr>
            <w:r/>
            <w:r>
              <w:rPr>
                <w:b w:val="0"/>
                <w:sz w:val="17"/>
              </w:rPr>
              <w:t>Version control</w:t>
            </w:r>
          </w:p>
        </w:tc>
        <w:tc>
          <w:tcPr>
            <w:tcW w:type="dxa" w:w="7776"/>
            <w:vAlign w:val="top"/>
          </w:tcPr>
          <w:p>
            <w:pPr>
              <w:spacing w:after="0" w:before="0" w:line="240" w:lineRule="auto"/>
            </w:pPr>
            <w:r/>
            <w:r>
              <w:rPr>
                <w:b w:val="0"/>
                <w:sz w:val="17"/>
              </w:rPr>
              <w:t>Parameter tables and sizing maps must be treated as locked constants for v0.1 unless a formal recalibration is run.</w:t>
            </w:r>
          </w:p>
        </w:tc>
      </w:tr>
      <w:tr>
        <w:tc>
          <w:tcPr>
            <w:tcW w:type="dxa" w:w="2880"/>
            <w:vAlign w:val="top"/>
          </w:tcPr>
          <w:p>
            <w:pPr>
              <w:spacing w:after="0" w:before="0" w:line="240" w:lineRule="auto"/>
            </w:pPr>
            <w:r/>
            <w:r>
              <w:rPr>
                <w:b w:val="0"/>
                <w:sz w:val="17"/>
              </w:rPr>
              <w:t>Auditability</w:t>
            </w:r>
          </w:p>
        </w:tc>
        <w:tc>
          <w:tcPr>
            <w:tcW w:type="dxa" w:w="7776"/>
            <w:vAlign w:val="top"/>
          </w:tcPr>
          <w:p>
            <w:pPr>
              <w:spacing w:after="0" w:before="0" w:line="240" w:lineRule="auto"/>
            </w:pPr>
            <w:r/>
            <w:r>
              <w:rPr>
                <w:b w:val="0"/>
                <w:sz w:val="17"/>
              </w:rPr>
              <w:t>Every production trade/no-trade decision should be recoverable from the feature panel and parameter table.</w:t>
            </w:r>
          </w:p>
        </w:tc>
      </w:tr>
      <w:tr>
        <w:tc>
          <w:tcPr>
            <w:tcW w:type="dxa" w:w="2880"/>
            <w:vAlign w:val="top"/>
          </w:tcPr>
          <w:p>
            <w:pPr>
              <w:spacing w:after="0" w:before="0" w:line="240" w:lineRule="auto"/>
            </w:pPr>
            <w:r/>
            <w:r>
              <w:rPr>
                <w:b w:val="0"/>
                <w:sz w:val="17"/>
              </w:rPr>
              <w:t>No silent lagging</w:t>
            </w:r>
          </w:p>
        </w:tc>
        <w:tc>
          <w:tcPr>
            <w:tcW w:type="dxa" w:w="7776"/>
            <w:vAlign w:val="top"/>
          </w:tcPr>
          <w:p>
            <w:pPr>
              <w:spacing w:after="0" w:before="0" w:line="240" w:lineRule="auto"/>
            </w:pPr>
            <w:r/>
            <w:r>
              <w:rPr>
                <w:b w:val="0"/>
                <w:sz w:val="17"/>
              </w:rPr>
              <w:t>RSI and other signal-time features must match the stated signal-time convention.</w:t>
            </w:r>
          </w:p>
        </w:tc>
      </w:tr>
      <w:tr>
        <w:tc>
          <w:tcPr>
            <w:tcW w:type="dxa" w:w="2880"/>
            <w:vAlign w:val="top"/>
          </w:tcPr>
          <w:p>
            <w:pPr>
              <w:spacing w:after="0" w:before="0" w:line="240" w:lineRule="auto"/>
            </w:pPr>
            <w:r/>
            <w:r>
              <w:rPr>
                <w:b w:val="0"/>
                <w:sz w:val="17"/>
              </w:rPr>
              <w:t>Portfolio risk</w:t>
            </w:r>
          </w:p>
        </w:tc>
        <w:tc>
          <w:tcPr>
            <w:tcW w:type="dxa" w:w="7776"/>
            <w:vAlign w:val="top"/>
          </w:tcPr>
          <w:p>
            <w:pPr>
              <w:spacing w:after="0" w:before="0" w:line="240" w:lineRule="auto"/>
            </w:pPr>
            <w:r/>
            <w:r>
              <w:rPr>
                <w:b w:val="0"/>
                <w:sz w:val="17"/>
              </w:rPr>
              <w:t>Overlapping exposure, drawdown governors, hedges, and stress caps are intentionally separate from this document.</w:t>
            </w:r>
          </w:p>
        </w:tc>
      </w:tr>
      <w:tr>
        <w:tc>
          <w:tcPr>
            <w:tcW w:type="dxa" w:w="2880"/>
            <w:vAlign w:val="top"/>
          </w:tcPr>
          <w:p>
            <w:pPr>
              <w:spacing w:after="0" w:before="0" w:line="240" w:lineRule="auto"/>
            </w:pPr>
            <w:r/>
            <w:r>
              <w:rPr>
                <w:b w:val="0"/>
                <w:sz w:val="17"/>
              </w:rPr>
              <w:t>Instrument translation</w:t>
            </w:r>
          </w:p>
        </w:tc>
        <w:tc>
          <w:tcPr>
            <w:tcW w:type="dxa" w:w="7776"/>
            <w:vAlign w:val="top"/>
          </w:tcPr>
          <w:p>
            <w:pPr>
              <w:spacing w:after="0" w:before="0" w:line="240" w:lineRule="auto"/>
            </w:pPr>
            <w:r/>
            <w:r>
              <w:rPr>
                <w:b w:val="0"/>
                <w:sz w:val="17"/>
              </w:rPr>
              <w:t>Naked-put theoretical max loss sizing is the research base. If converted to spreads, max-loss dollars must be recalculated using spread max loss.</w:t>
            </w:r>
          </w:p>
        </w:tc>
      </w:tr>
      <w:tr>
        <w:tc>
          <w:tcPr>
            <w:tcW w:type="dxa" w:w="2880"/>
            <w:vAlign w:val="top"/>
          </w:tcPr>
          <w:p>
            <w:pPr>
              <w:spacing w:after="0" w:before="0" w:line="240" w:lineRule="auto"/>
            </w:pPr>
            <w:r/>
            <w:r>
              <w:rPr>
                <w:b w:val="0"/>
                <w:sz w:val="17"/>
              </w:rPr>
              <w:t>Intraday extension</w:t>
            </w:r>
          </w:p>
        </w:tc>
        <w:tc>
          <w:tcPr>
            <w:tcW w:type="dxa" w:w="7776"/>
            <w:vAlign w:val="top"/>
          </w:tcPr>
          <w:p>
            <w:pPr>
              <w:spacing w:after="0" w:before="0" w:line="240" w:lineRule="auto"/>
            </w:pPr>
            <w:r/>
            <w:r>
              <w:rPr>
                <w:b w:val="0"/>
                <w:sz w:val="17"/>
              </w:rPr>
              <w:t>The same feature definitions apply intraday, but implied variance, forecast variance, and RSI must be timestamp-consistent.</w:t>
            </w:r>
          </w:p>
        </w:tc>
      </w:tr>
    </w:tbl>
    <w:p/>
    <w:p>
      <w:pPr>
        <w:pStyle w:val="Heading1"/>
      </w:pPr>
      <w:r>
        <w:t>Appendix A. Archived first-pass assumptions replaced by this charter</w:t>
      </w:r>
    </w:p>
    <w:p>
      <w:r>
        <w:t>The prior project definition described a first-pass recalibration grid and simple Core/Secondary sizing of Core = 1.00x and Secondary = 0.50x. Those assumptions are now archived. The locked v0.1 system uses explicit Core/Secondary thresholds and explicit per-trade risk percentages by layer and tenor bucket.</w:t>
      </w:r>
    </w:p>
    <w:tbl>
      <w:tblPr>
        <w:tblStyle w:val="TableGrid"/>
        <w:tblW w:type="auto" w:w="0"/>
        <w:jc w:val="center"/>
        <w:tblLook w:firstColumn="1" w:firstRow="1" w:lastColumn="0" w:lastRow="0" w:noHBand="0" w:noVBand="1" w:val="04A0"/>
      </w:tblPr>
      <w:tblGrid>
        <w:gridCol w:w="5328"/>
        <w:gridCol w:w="5328"/>
      </w:tblGrid>
      <w:tr>
        <w:tc>
          <w:tcPr>
            <w:tcW w:type="dxa" w:w="3600"/>
            <w:shd w:fill="1F4E79"/>
            <w:vAlign w:val="center"/>
          </w:tcPr>
          <w:p>
            <w:pPr>
              <w:spacing w:after="0" w:before="0" w:line="240" w:lineRule="auto"/>
            </w:pPr>
            <w:r/>
            <w:r>
              <w:rPr>
                <w:b/>
                <w:color w:val="FFFFFF"/>
                <w:sz w:val="17"/>
              </w:rPr>
              <w:t>Prior item</w:t>
            </w:r>
          </w:p>
        </w:tc>
        <w:tc>
          <w:tcPr>
            <w:tcW w:type="dxa" w:w="7056"/>
            <w:shd w:fill="1F4E79"/>
            <w:vAlign w:val="center"/>
          </w:tcPr>
          <w:p>
            <w:pPr>
              <w:spacing w:after="0" w:before="0" w:line="240" w:lineRule="auto"/>
            </w:pPr>
            <w:r/>
            <w:r>
              <w:rPr>
                <w:b/>
                <w:color w:val="FFFFFF"/>
                <w:sz w:val="17"/>
              </w:rPr>
              <w:t>Current status</w:t>
            </w:r>
          </w:p>
        </w:tc>
      </w:tr>
      <w:tr>
        <w:tc>
          <w:tcPr>
            <w:tcW w:type="dxa" w:w="3600"/>
            <w:vAlign w:val="top"/>
          </w:tcPr>
          <w:p>
            <w:pPr>
              <w:spacing w:after="0" w:before="0" w:line="240" w:lineRule="auto"/>
            </w:pPr>
            <w:r/>
            <w:r>
              <w:rPr>
                <w:b w:val="0"/>
                <w:sz w:val="17"/>
              </w:rPr>
              <w:t>Old first-pass grid</w:t>
            </w:r>
          </w:p>
        </w:tc>
        <w:tc>
          <w:tcPr>
            <w:tcW w:type="dxa" w:w="7056"/>
            <w:vAlign w:val="top"/>
          </w:tcPr>
          <w:p>
            <w:pPr>
              <w:spacing w:after="0" w:before="0" w:line="240" w:lineRule="auto"/>
            </w:pPr>
            <w:r/>
            <w:r>
              <w:rPr>
                <w:b w:val="0"/>
                <w:sz w:val="17"/>
              </w:rPr>
              <w:t>Archived. Superseded by the locked Core and Secondary parameter tables.</w:t>
            </w:r>
          </w:p>
        </w:tc>
      </w:tr>
      <w:tr>
        <w:tc>
          <w:tcPr>
            <w:tcW w:type="dxa" w:w="3600"/>
            <w:vAlign w:val="top"/>
          </w:tcPr>
          <w:p>
            <w:pPr>
              <w:spacing w:after="0" w:before="0" w:line="240" w:lineRule="auto"/>
            </w:pPr>
            <w:r/>
            <w:r>
              <w:rPr>
                <w:b w:val="0"/>
                <w:sz w:val="17"/>
              </w:rPr>
              <w:t>Core = 1.00x / Secondary = 0.50x</w:t>
            </w:r>
          </w:p>
        </w:tc>
        <w:tc>
          <w:tcPr>
            <w:tcW w:type="dxa" w:w="7056"/>
            <w:vAlign w:val="top"/>
          </w:tcPr>
          <w:p>
            <w:pPr>
              <w:spacing w:after="0" w:before="0" w:line="240" w:lineRule="auto"/>
            </w:pPr>
            <w:r/>
            <w:r>
              <w:rPr>
                <w:b w:val="0"/>
                <w:sz w:val="17"/>
              </w:rPr>
              <w:t>Archived. Superseded by explicit max-loss percentages by layer and tenor bucket.</w:t>
            </w:r>
          </w:p>
        </w:tc>
      </w:tr>
      <w:tr>
        <w:tc>
          <w:tcPr>
            <w:tcW w:type="dxa" w:w="3600"/>
            <w:vAlign w:val="top"/>
          </w:tcPr>
          <w:p>
            <w:pPr>
              <w:spacing w:after="0" w:before="0" w:line="240" w:lineRule="auto"/>
            </w:pPr>
            <w:r/>
            <w:r>
              <w:rPr>
                <w:b w:val="0"/>
                <w:sz w:val="17"/>
              </w:rPr>
              <w:t>Select highest historical win probability only</w:t>
            </w:r>
          </w:p>
        </w:tc>
        <w:tc>
          <w:tcPr>
            <w:tcW w:type="dxa" w:w="7056"/>
            <w:vAlign w:val="top"/>
          </w:tcPr>
          <w:p>
            <w:pPr>
              <w:spacing w:after="0" w:before="0" w:line="240" w:lineRule="auto"/>
            </w:pPr>
            <w:r/>
            <w:r>
              <w:rPr>
                <w:b w:val="0"/>
                <w:sz w:val="17"/>
              </w:rPr>
              <w:t>Refined. Still win-first, but now uses the 25 bps win-rate band and P&amp;L/day tie-break.</w:t>
            </w:r>
          </w:p>
        </w:tc>
      </w:tr>
      <w:tr>
        <w:tc>
          <w:tcPr>
            <w:tcW w:type="dxa" w:w="3600"/>
            <w:vAlign w:val="top"/>
          </w:tcPr>
          <w:p>
            <w:pPr>
              <w:spacing w:after="0" w:before="0" w:line="240" w:lineRule="auto"/>
            </w:pPr>
            <w:r/>
            <w:r>
              <w:rPr>
                <w:b w:val="0"/>
                <w:sz w:val="17"/>
              </w:rPr>
              <w:t>No fixed final sizing</w:t>
            </w:r>
          </w:p>
        </w:tc>
        <w:tc>
          <w:tcPr>
            <w:tcW w:type="dxa" w:w="7056"/>
            <w:vAlign w:val="top"/>
          </w:tcPr>
          <w:p>
            <w:pPr>
              <w:spacing w:after="0" w:before="0" w:line="240" w:lineRule="auto"/>
            </w:pPr>
            <w:r/>
            <w:r>
              <w:rPr>
                <w:b w:val="0"/>
                <w:sz w:val="17"/>
              </w:rPr>
              <w:t>Superseded. Per-trade max-loss sizing v0.1 is locked.</w:t>
            </w:r>
          </w:p>
        </w:tc>
      </w:tr>
    </w:tbl>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VRP Production Rebuild - Locked v0.1 Project Charter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