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VRP Production v1 - Detailed Project Process</w:t>
      </w:r>
    </w:p>
    <w:p>
      <w:pPr>
        <w:jc w:val="center"/>
      </w:pPr>
      <w:r>
        <w:rPr>
          <w:i/>
          <w:sz w:val="22"/>
        </w:rPr>
        <w:t>Start-to-finish documentation from ThetaData chains to final signal snapshot</w:t>
      </w:r>
    </w:p>
    <w:p>
      <w:pPr>
        <w:jc w:val="center"/>
      </w:pPr>
      <w:r>
        <w:rPr>
          <w:color w:val="646464"/>
          <w:sz w:val="18"/>
        </w:rPr>
        <w:t>Prepared: July 3, 2026</w:t>
      </w:r>
    </w:p>
    <w:p/>
    <w:tbl>
      <w:tblPr>
        <w:tblStyle w:val="TableGrid"/>
        <w:tblW w:type="auto" w:w="0"/>
        <w:tblLook w:firstColumn="1" w:firstRow="1" w:lastColumn="0" w:lastRow="0" w:noHBand="0" w:noVBand="1" w:val="04A0"/>
      </w:tblPr>
      <w:tblGrid>
        <w:gridCol w:w="10368"/>
      </w:tblGrid>
      <w:tr>
        <w:tc>
          <w:tcPr>
            <w:tcW w:type="dxa" w:w="10368"/>
            <w:shd w:fill="E2F0D9"/>
          </w:tcPr>
          <w:p>
            <w:r/>
            <w:r>
              <w:rPr>
                <w:b/>
                <w:sz w:val="20"/>
              </w:rPr>
              <w:t>Current implementation status</w:t>
            </w:r>
          </w:p>
          <w:p>
            <w:pPr>
              <w:spacing w:after="0"/>
            </w:pPr>
            <w:r>
              <w:rPr>
                <w:b/>
              </w:rPr>
              <w:t xml:space="preserve">EOD production data core: </w:t>
            </w:r>
            <w:r>
              <w:t>Operational through 2026-07-02</w:t>
            </w:r>
          </w:p>
          <w:p>
            <w:pPr>
              <w:spacing w:after="0"/>
            </w:pPr>
            <w:r>
              <w:rPr>
                <w:b/>
              </w:rPr>
              <w:t xml:space="preserve">Current Streamlit dashboard: </w:t>
            </w:r>
            <w:r>
              <w:t>Local control center / dashboard v2</w:t>
            </w:r>
          </w:p>
          <w:p>
            <w:pPr>
              <w:spacing w:after="0"/>
            </w:pPr>
            <w:r>
              <w:rPr>
                <w:b/>
              </w:rPr>
              <w:t xml:space="preserve">Latest validated EOD signal: </w:t>
            </w:r>
            <w:r>
              <w:t>2026-07-02 = NO_TRADE</w:t>
            </w:r>
          </w:p>
          <w:p>
            <w:pPr>
              <w:spacing w:after="0"/>
            </w:pPr>
            <w:r>
              <w:rPr>
                <w:b/>
              </w:rPr>
              <w:t xml:space="preserve">Positive signal path test: </w:t>
            </w:r>
            <w:r>
              <w:t>2026-03-30 selected Core 33D back bucket, 5.00% max-risk fraction</w:t>
            </w:r>
          </w:p>
          <w:p>
            <w:pPr>
              <w:spacing w:after="0"/>
            </w:pPr>
            <w:r>
              <w:rPr>
                <w:b/>
              </w:rPr>
              <w:t xml:space="preserve">Intraday process: </w:t>
            </w:r>
            <w:r>
              <w:t>Not built yet; planned next as a separate live snapshot layer</w:t>
            </w:r>
          </w:p>
        </w:tc>
      </w:tr>
    </w:tbl>
    <w:p/>
    <w:p>
      <w:pPr>
        <w:pStyle w:val="Heading1"/>
      </w:pPr>
      <w:r>
        <w:t>1. Purpose and scope</w:t>
      </w:r>
    </w:p>
    <w:p>
      <w:r>
        <w:t>This document explains the full VRP Production v1 process from data ingestion through the final locked 2621 EOD signal snapshot. The system is a data production engine and decision cockpit, not an automated trading system. It is designed to produce clean, auditable inputs, display the signal logic, and require manual portfolio approval before any trade is placed.</w:t>
      </w:r>
    </w:p>
    <w:p>
      <w:r>
        <w:t>The core idea is to build a VIX-style implied variance term structure across a fixed 9-33 calendar-day tenor grid, compare implied variance to a forecast / realized-volatility denominator, compute VRP and z-score features, then apply the locked Core/Secondary tenor-selection and sizing framework.</w:t>
      </w:r>
    </w:p>
    <w:p>
      <w:pPr>
        <w:pStyle w:val="Heading1"/>
      </w:pPr>
      <w:r>
        <w:t>2. System architecture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1F4E79"/>
          </w:tcPr>
          <w:p>
            <w:pPr>
              <w:spacing w:after="0"/>
            </w:pPr>
            <w:r>
              <w:rPr>
                <w:sz w:val="17"/>
              </w:rPr>
            </w:r>
            <w:r>
              <w:rPr>
                <w:b/>
                <w:color w:val="FFFFFF"/>
                <w:sz w:val="17"/>
              </w:rPr>
              <w:t>Layer</w:t>
            </w:r>
          </w:p>
        </w:tc>
        <w:tc>
          <w:tcPr>
            <w:tcW w:type="dxa" w:w="3456"/>
            <w:vAlign w:val="center"/>
            <w:shd w:fill="1F4E79"/>
          </w:tcPr>
          <w:p>
            <w:pPr>
              <w:spacing w:after="0"/>
            </w:pPr>
            <w:r>
              <w:rPr>
                <w:sz w:val="17"/>
              </w:rPr>
            </w:r>
            <w:r>
              <w:rPr>
                <w:b/>
                <w:color w:val="FFFFFF"/>
                <w:sz w:val="17"/>
              </w:rPr>
              <w:t>Role</w:t>
            </w:r>
          </w:p>
        </w:tc>
        <w:tc>
          <w:tcPr>
            <w:tcW w:type="dxa" w:w="3456"/>
            <w:vAlign w:val="center"/>
            <w:shd w:fill="1F4E79"/>
          </w:tcPr>
          <w:p>
            <w:pPr>
              <w:spacing w:after="0"/>
            </w:pPr>
            <w:r>
              <w:rPr>
                <w:sz w:val="17"/>
              </w:rPr>
            </w:r>
            <w:r>
              <w:rPr>
                <w:b/>
                <w:color w:val="FFFFFF"/>
                <w:sz w:val="17"/>
              </w:rPr>
              <w:t>Main artifacts</w:t>
            </w:r>
          </w:p>
        </w:tc>
      </w:tr>
      <w:tr>
        <w:tc>
          <w:tcPr>
            <w:tcW w:type="dxa" w:w="3456"/>
            <w:vAlign w:val="center"/>
          </w:tcPr>
          <w:p>
            <w:pPr>
              <w:spacing w:after="0"/>
            </w:pPr>
            <w:r>
              <w:rPr>
                <w:sz w:val="17"/>
              </w:rPr>
            </w:r>
            <w:r>
              <w:rPr>
                <w:b w:val="0"/>
                <w:sz w:val="17"/>
              </w:rPr>
              <w:t>Raw data</w:t>
            </w:r>
          </w:p>
        </w:tc>
        <w:tc>
          <w:tcPr>
            <w:tcW w:type="dxa" w:w="3456"/>
            <w:vAlign w:val="center"/>
          </w:tcPr>
          <w:p>
            <w:pPr>
              <w:spacing w:after="0"/>
            </w:pPr>
            <w:r>
              <w:rPr>
                <w:sz w:val="17"/>
              </w:rPr>
            </w:r>
            <w:r>
              <w:rPr>
                <w:b w:val="0"/>
                <w:sz w:val="17"/>
              </w:rPr>
              <w:t>Vendor and market data inputs.</w:t>
            </w:r>
          </w:p>
        </w:tc>
        <w:tc>
          <w:tcPr>
            <w:tcW w:type="dxa" w:w="3456"/>
            <w:vAlign w:val="center"/>
          </w:tcPr>
          <w:p>
            <w:pPr>
              <w:spacing w:after="0"/>
            </w:pPr>
            <w:r>
              <w:rPr>
                <w:sz w:val="17"/>
              </w:rPr>
            </w:r>
            <w:r>
              <w:rPr>
                <w:b w:val="0"/>
                <w:sz w:val="17"/>
              </w:rPr>
              <w:t>ThetaData SPX/SPXW chain cache; FRED SOFR; FRED SPX close history; Cboe VIX/VIX9D benchmark histories.</w:t>
            </w:r>
          </w:p>
        </w:tc>
      </w:tr>
      <w:tr>
        <w:tc>
          <w:tcPr>
            <w:tcW w:type="dxa" w:w="3456"/>
            <w:vAlign w:val="center"/>
          </w:tcPr>
          <w:p>
            <w:pPr>
              <w:spacing w:after="0"/>
            </w:pPr>
            <w:r>
              <w:rPr>
                <w:sz w:val="17"/>
              </w:rPr>
            </w:r>
            <w:r>
              <w:rPr>
                <w:b w:val="0"/>
                <w:sz w:val="17"/>
              </w:rPr>
              <w:t>Variance engine</w:t>
            </w:r>
          </w:p>
        </w:tc>
        <w:tc>
          <w:tcPr>
            <w:tcW w:type="dxa" w:w="3456"/>
            <w:vAlign w:val="center"/>
          </w:tcPr>
          <w:p>
            <w:pPr>
              <w:spacing w:after="0"/>
            </w:pPr>
            <w:r>
              <w:rPr>
                <w:sz w:val="17"/>
              </w:rPr>
            </w:r>
            <w:r>
              <w:rPr>
                <w:b w:val="0"/>
                <w:sz w:val="17"/>
              </w:rPr>
              <w:t>Builds VIX-style implied variance for fixed target tenors.</w:t>
            </w:r>
          </w:p>
        </w:tc>
        <w:tc>
          <w:tcPr>
            <w:tcW w:type="dxa" w:w="3456"/>
            <w:vAlign w:val="center"/>
          </w:tcPr>
          <w:p>
            <w:pPr>
              <w:spacing w:after="0"/>
            </w:pPr>
            <w:r>
              <w:rPr>
                <w:sz w:val="17"/>
              </w:rPr>
            </w:r>
            <w:r>
              <w:rPr>
                <w:b w:val="0"/>
                <w:sz w:val="17"/>
              </w:rPr>
              <w:t>vix_term_structure_history_v0_7_1_repaired_total_variance.parquet / .csv</w:t>
            </w:r>
          </w:p>
        </w:tc>
      </w:tr>
      <w:tr>
        <w:tc>
          <w:tcPr>
            <w:tcW w:type="dxa" w:w="3456"/>
            <w:vAlign w:val="center"/>
          </w:tcPr>
          <w:p>
            <w:pPr>
              <w:spacing w:after="0"/>
            </w:pPr>
            <w:r>
              <w:rPr>
                <w:sz w:val="17"/>
              </w:rPr>
            </w:r>
            <w:r>
              <w:rPr>
                <w:b w:val="0"/>
                <w:sz w:val="17"/>
              </w:rPr>
              <w:t>Feature engine</w:t>
            </w:r>
          </w:p>
        </w:tc>
        <w:tc>
          <w:tcPr>
            <w:tcW w:type="dxa" w:w="3456"/>
            <w:vAlign w:val="center"/>
          </w:tcPr>
          <w:p>
            <w:pPr>
              <w:spacing w:after="0"/>
            </w:pPr>
            <w:r>
              <w:rPr>
                <w:sz w:val="17"/>
              </w:rPr>
            </w:r>
            <w:r>
              <w:rPr>
                <w:b w:val="0"/>
                <w:sz w:val="17"/>
              </w:rPr>
              <w:t>Builds realized variance, forecast denominator, VRP, z-scores, RSI, and RV21D.</w:t>
            </w:r>
          </w:p>
        </w:tc>
        <w:tc>
          <w:tcPr>
            <w:tcW w:type="dxa" w:w="3456"/>
            <w:vAlign w:val="center"/>
          </w:tcPr>
          <w:p>
            <w:pPr>
              <w:spacing w:after="0"/>
            </w:pPr>
            <w:r>
              <w:rPr>
                <w:sz w:val="17"/>
              </w:rPr>
            </w:r>
            <w:r>
              <w:rPr>
                <w:b w:val="0"/>
                <w:sz w:val="17"/>
              </w:rPr>
              <w:t>realized_variance_panel_v0_1; vrp_panel_v0_1; production_feature_panel_v0_1</w:t>
            </w:r>
          </w:p>
        </w:tc>
      </w:tr>
      <w:tr>
        <w:tc>
          <w:tcPr>
            <w:tcW w:type="dxa" w:w="3456"/>
            <w:vAlign w:val="center"/>
          </w:tcPr>
          <w:p>
            <w:pPr>
              <w:spacing w:after="0"/>
            </w:pPr>
            <w:r>
              <w:rPr>
                <w:sz w:val="17"/>
              </w:rPr>
            </w:r>
            <w:r>
              <w:rPr>
                <w:b w:val="0"/>
                <w:sz w:val="17"/>
              </w:rPr>
              <w:t>Signal engine</w:t>
            </w:r>
          </w:p>
        </w:tc>
        <w:tc>
          <w:tcPr>
            <w:tcW w:type="dxa" w:w="3456"/>
            <w:vAlign w:val="center"/>
          </w:tcPr>
          <w:p>
            <w:pPr>
              <w:spacing w:after="0"/>
            </w:pPr>
            <w:r>
              <w:rPr>
                <w:sz w:val="17"/>
              </w:rPr>
            </w:r>
            <w:r>
              <w:rPr>
                <w:b w:val="0"/>
                <w:sz w:val="17"/>
              </w:rPr>
              <w:t>Applies locked 2621 Core/Secondary rules and sizing schedule.</w:t>
            </w:r>
          </w:p>
        </w:tc>
        <w:tc>
          <w:tcPr>
            <w:tcW w:type="dxa" w:w="3456"/>
            <w:vAlign w:val="center"/>
          </w:tcPr>
          <w:p>
            <w:pPr>
              <w:spacing w:after="0"/>
            </w:pPr>
            <w:r>
              <w:rPr>
                <w:sz w:val="17"/>
              </w:rPr>
            </w:r>
            <w:r>
              <w:rPr>
                <w:b w:val="0"/>
                <w:sz w:val="17"/>
              </w:rPr>
              <w:t>locked_2621_eod_signal_snapshot_YYYYMMDD; locked_2621_eod_signal_summary_YYYYMMDD</w:t>
            </w:r>
          </w:p>
        </w:tc>
      </w:tr>
      <w:tr>
        <w:tc>
          <w:tcPr>
            <w:tcW w:type="dxa" w:w="3456"/>
            <w:vAlign w:val="center"/>
          </w:tcPr>
          <w:p>
            <w:pPr>
              <w:spacing w:after="0"/>
            </w:pPr>
            <w:r>
              <w:rPr>
                <w:sz w:val="17"/>
              </w:rPr>
            </w:r>
            <w:r>
              <w:rPr>
                <w:b w:val="0"/>
                <w:sz w:val="17"/>
              </w:rPr>
              <w:t>QA and audit</w:t>
            </w:r>
          </w:p>
        </w:tc>
        <w:tc>
          <w:tcPr>
            <w:tcW w:type="dxa" w:w="3456"/>
            <w:vAlign w:val="center"/>
          </w:tcPr>
          <w:p>
            <w:pPr>
              <w:spacing w:after="0"/>
            </w:pPr>
            <w:r>
              <w:rPr>
                <w:sz w:val="17"/>
              </w:rPr>
            </w:r>
            <w:r>
              <w:rPr>
                <w:b w:val="0"/>
                <w:sz w:val="17"/>
              </w:rPr>
              <w:t>Validates freshness, duplicate rows, tenor completeness, curve sanity, and output status.</w:t>
            </w:r>
          </w:p>
        </w:tc>
        <w:tc>
          <w:tcPr>
            <w:tcW w:type="dxa" w:w="3456"/>
            <w:vAlign w:val="center"/>
          </w:tcPr>
          <w:p>
            <w:pPr>
              <w:spacing w:after="0"/>
            </w:pPr>
            <w:r>
              <w:rPr>
                <w:sz w:val="17"/>
              </w:rPr>
            </w:r>
            <w:r>
              <w:rPr>
                <w:b w:val="0"/>
                <w:sz w:val="17"/>
              </w:rPr>
              <w:t>data/audit/production_v1/*.md, *.json, *.csv, *.log</w:t>
            </w:r>
          </w:p>
        </w:tc>
      </w:tr>
      <w:tr>
        <w:tc>
          <w:tcPr>
            <w:tcW w:type="dxa" w:w="3456"/>
            <w:vAlign w:val="center"/>
          </w:tcPr>
          <w:p>
            <w:pPr>
              <w:spacing w:after="0"/>
            </w:pPr>
            <w:r>
              <w:rPr>
                <w:sz w:val="17"/>
              </w:rPr>
            </w:r>
            <w:r>
              <w:rPr>
                <w:b w:val="0"/>
                <w:sz w:val="17"/>
              </w:rPr>
              <w:t>Dashboard</w:t>
            </w:r>
          </w:p>
        </w:tc>
        <w:tc>
          <w:tcPr>
            <w:tcW w:type="dxa" w:w="3456"/>
            <w:vAlign w:val="center"/>
          </w:tcPr>
          <w:p>
            <w:pPr>
              <w:spacing w:after="0"/>
            </w:pPr>
            <w:r>
              <w:rPr>
                <w:sz w:val="17"/>
              </w:rPr>
            </w:r>
            <w:r>
              <w:rPr>
                <w:b w:val="0"/>
                <w:sz w:val="17"/>
              </w:rPr>
              <w:t>User-facing Streamlit control center for health, signal, data explorer, run controls, and reports.</w:t>
            </w:r>
          </w:p>
        </w:tc>
        <w:tc>
          <w:tcPr>
            <w:tcW w:type="dxa" w:w="3456"/>
            <w:vAlign w:val="center"/>
          </w:tcPr>
          <w:p>
            <w:pPr>
              <w:spacing w:after="0"/>
            </w:pPr>
            <w:r>
              <w:rPr>
                <w:sz w:val="17"/>
              </w:rPr>
            </w:r>
            <w:r>
              <w:rPr>
                <w:b w:val="0"/>
                <w:sz w:val="17"/>
              </w:rPr>
              <w:t>vrp_production_v1_step09_streamlit_dashboard_v2</w:t>
            </w:r>
          </w:p>
        </w:tc>
      </w:tr>
    </w:tbl>
    <w:p>
      <w:pPr>
        <w:pStyle w:val="Heading1"/>
      </w:pPr>
      <w:r>
        <w:t>3. Data sources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1F4E79"/>
          </w:tcPr>
          <w:p>
            <w:pPr>
              <w:spacing w:after="0"/>
            </w:pPr>
            <w:r>
              <w:rPr>
                <w:sz w:val="17"/>
              </w:rPr>
            </w:r>
            <w:r>
              <w:rPr>
                <w:b/>
                <w:color w:val="FFFFFF"/>
                <w:sz w:val="17"/>
              </w:rPr>
              <w:t>Source</w:t>
            </w:r>
          </w:p>
        </w:tc>
        <w:tc>
          <w:tcPr>
            <w:tcW w:type="dxa" w:w="3456"/>
            <w:vAlign w:val="center"/>
            <w:shd w:fill="1F4E79"/>
          </w:tcPr>
          <w:p>
            <w:pPr>
              <w:spacing w:after="0"/>
            </w:pPr>
            <w:r>
              <w:rPr>
                <w:sz w:val="17"/>
              </w:rPr>
            </w:r>
            <w:r>
              <w:rPr>
                <w:b/>
                <w:color w:val="FFFFFF"/>
                <w:sz w:val="17"/>
              </w:rPr>
              <w:t>Used for</w:t>
            </w:r>
          </w:p>
        </w:tc>
        <w:tc>
          <w:tcPr>
            <w:tcW w:type="dxa" w:w="3456"/>
            <w:vAlign w:val="center"/>
            <w:shd w:fill="1F4E79"/>
          </w:tcPr>
          <w:p>
            <w:pPr>
              <w:spacing w:after="0"/>
            </w:pPr>
            <w:r>
              <w:rPr>
                <w:sz w:val="17"/>
              </w:rPr>
            </w:r>
            <w:r>
              <w:rPr>
                <w:b/>
                <w:color w:val="FFFFFF"/>
                <w:sz w:val="17"/>
              </w:rPr>
              <w:t>Notes</w:t>
            </w:r>
          </w:p>
        </w:tc>
      </w:tr>
      <w:tr>
        <w:tc>
          <w:tcPr>
            <w:tcW w:type="dxa" w:w="3456"/>
            <w:vAlign w:val="center"/>
          </w:tcPr>
          <w:p>
            <w:pPr>
              <w:spacing w:after="0"/>
            </w:pPr>
            <w:r>
              <w:rPr>
                <w:sz w:val="17"/>
              </w:rPr>
            </w:r>
            <w:r>
              <w:rPr>
                <w:b w:val="0"/>
                <w:sz w:val="17"/>
              </w:rPr>
              <w:t>ThetaData SPX/SPXW options</w:t>
            </w:r>
          </w:p>
        </w:tc>
        <w:tc>
          <w:tcPr>
            <w:tcW w:type="dxa" w:w="3456"/>
            <w:vAlign w:val="center"/>
          </w:tcPr>
          <w:p>
            <w:pPr>
              <w:spacing w:after="0"/>
            </w:pPr>
            <w:r>
              <w:rPr>
                <w:sz w:val="17"/>
              </w:rPr>
            </w:r>
            <w:r>
              <w:rPr>
                <w:b w:val="0"/>
                <w:sz w:val="17"/>
              </w:rPr>
              <w:t>Full option-chain quote snapshots for VIX-style variance.</w:t>
            </w:r>
          </w:p>
        </w:tc>
        <w:tc>
          <w:tcPr>
            <w:tcW w:type="dxa" w:w="3456"/>
            <w:vAlign w:val="center"/>
          </w:tcPr>
          <w:p>
            <w:pPr>
              <w:spacing w:after="0"/>
            </w:pPr>
            <w:r>
              <w:rPr>
                <w:sz w:val="17"/>
              </w:rPr>
            </w:r>
            <w:r>
              <w:rPr>
                <w:b w:val="0"/>
                <w:sz w:val="17"/>
              </w:rPr>
              <w:t>Local ThetaData terminal/API. Chains are cached by root, trade date, expiration, and quote time.</w:t>
            </w:r>
          </w:p>
        </w:tc>
      </w:tr>
      <w:tr>
        <w:tc>
          <w:tcPr>
            <w:tcW w:type="dxa" w:w="3456"/>
            <w:vAlign w:val="center"/>
          </w:tcPr>
          <w:p>
            <w:pPr>
              <w:spacing w:after="0"/>
            </w:pPr>
            <w:r>
              <w:rPr>
                <w:sz w:val="17"/>
              </w:rPr>
            </w:r>
            <w:r>
              <w:rPr>
                <w:b w:val="0"/>
                <w:sz w:val="17"/>
              </w:rPr>
              <w:t>XNYS trading calendar</w:t>
            </w:r>
          </w:p>
        </w:tc>
        <w:tc>
          <w:tcPr>
            <w:tcW w:type="dxa" w:w="3456"/>
            <w:vAlign w:val="center"/>
          </w:tcPr>
          <w:p>
            <w:pPr>
              <w:spacing w:after="0"/>
            </w:pPr>
            <w:r>
              <w:rPr>
                <w:sz w:val="17"/>
              </w:rPr>
            </w:r>
            <w:r>
              <w:rPr>
                <w:b w:val="0"/>
                <w:sz w:val="17"/>
              </w:rPr>
              <w:t>Trading days, holidays, early closes, latest completed EOD date.</w:t>
            </w:r>
          </w:p>
        </w:tc>
        <w:tc>
          <w:tcPr>
            <w:tcW w:type="dxa" w:w="3456"/>
            <w:vAlign w:val="center"/>
          </w:tcPr>
          <w:p>
            <w:pPr>
              <w:spacing w:after="0"/>
            </w:pPr>
            <w:r>
              <w:rPr>
                <w:sz w:val="17"/>
              </w:rPr>
            </w:r>
            <w:r>
              <w:rPr>
                <w:b w:val="0"/>
                <w:sz w:val="17"/>
              </w:rPr>
              <w:t>Avoids naive weekday assumptions. Used to determine actual market close and missing dates.</w:t>
            </w:r>
          </w:p>
        </w:tc>
      </w:tr>
      <w:tr>
        <w:tc>
          <w:tcPr>
            <w:tcW w:type="dxa" w:w="3456"/>
            <w:vAlign w:val="center"/>
          </w:tcPr>
          <w:p>
            <w:pPr>
              <w:spacing w:after="0"/>
            </w:pPr>
            <w:r>
              <w:rPr>
                <w:sz w:val="17"/>
              </w:rPr>
            </w:r>
            <w:r>
              <w:rPr>
                <w:b w:val="0"/>
                <w:sz w:val="17"/>
              </w:rPr>
              <w:t>FRED SOFR</w:t>
            </w:r>
          </w:p>
        </w:tc>
        <w:tc>
          <w:tcPr>
            <w:tcW w:type="dxa" w:w="3456"/>
            <w:vAlign w:val="center"/>
          </w:tcPr>
          <w:p>
            <w:pPr>
              <w:spacing w:after="0"/>
            </w:pPr>
            <w:r>
              <w:rPr>
                <w:sz w:val="17"/>
              </w:rPr>
            </w:r>
            <w:r>
              <w:rPr>
                <w:b w:val="0"/>
                <w:sz w:val="17"/>
              </w:rPr>
              <w:t>Risk-free rate input in the VIX-style variance formula.</w:t>
            </w:r>
          </w:p>
        </w:tc>
        <w:tc>
          <w:tcPr>
            <w:tcW w:type="dxa" w:w="3456"/>
            <w:vAlign w:val="center"/>
          </w:tcPr>
          <w:p>
            <w:pPr>
              <w:spacing w:after="0"/>
            </w:pPr>
            <w:r>
              <w:rPr>
                <w:sz w:val="17"/>
              </w:rPr>
            </w:r>
            <w:r>
              <w:rPr>
                <w:b w:val="0"/>
                <w:sz w:val="17"/>
              </w:rPr>
              <w:t>Pulled from FRED, cached locally, stored as percent and decimal, carried forward from latest available observation.</w:t>
            </w:r>
          </w:p>
        </w:tc>
      </w:tr>
      <w:tr>
        <w:tc>
          <w:tcPr>
            <w:tcW w:type="dxa" w:w="3456"/>
            <w:vAlign w:val="center"/>
          </w:tcPr>
          <w:p>
            <w:pPr>
              <w:spacing w:after="0"/>
            </w:pPr>
            <w:r>
              <w:rPr>
                <w:sz w:val="17"/>
              </w:rPr>
            </w:r>
            <w:r>
              <w:rPr>
                <w:b w:val="0"/>
                <w:sz w:val="17"/>
              </w:rPr>
              <w:t>FRED SPX / SP500 daily close</w:t>
            </w:r>
          </w:p>
        </w:tc>
        <w:tc>
          <w:tcPr>
            <w:tcW w:type="dxa" w:w="3456"/>
            <w:vAlign w:val="center"/>
          </w:tcPr>
          <w:p>
            <w:pPr>
              <w:spacing w:after="0"/>
            </w:pPr>
            <w:r>
              <w:rPr>
                <w:sz w:val="17"/>
              </w:rPr>
            </w:r>
            <w:r>
              <w:rPr>
                <w:b w:val="0"/>
                <w:sz w:val="17"/>
              </w:rPr>
              <w:t>SPX close, log returns, realized variance, RSI, and feature continuity.</w:t>
            </w:r>
          </w:p>
        </w:tc>
        <w:tc>
          <w:tcPr>
            <w:tcW w:type="dxa" w:w="3456"/>
            <w:vAlign w:val="center"/>
          </w:tcPr>
          <w:p>
            <w:pPr>
              <w:spacing w:after="0"/>
            </w:pPr>
            <w:r>
              <w:rPr>
                <w:sz w:val="17"/>
              </w:rPr>
            </w:r>
            <w:r>
              <w:rPr>
                <w:b w:val="0"/>
                <w:sz w:val="17"/>
              </w:rPr>
              <w:t>EOD official source for historical production panels. Intraday should use a live SPX source later.</w:t>
            </w:r>
          </w:p>
        </w:tc>
      </w:tr>
      <w:tr>
        <w:tc>
          <w:tcPr>
            <w:tcW w:type="dxa" w:w="3456"/>
            <w:vAlign w:val="center"/>
          </w:tcPr>
          <w:p>
            <w:pPr>
              <w:spacing w:after="0"/>
            </w:pPr>
            <w:r>
              <w:rPr>
                <w:sz w:val="17"/>
              </w:rPr>
            </w:r>
            <w:r>
              <w:rPr>
                <w:b w:val="0"/>
                <w:sz w:val="17"/>
              </w:rPr>
              <w:t>Cboe VIX and VIX9D histories</w:t>
            </w:r>
          </w:p>
        </w:tc>
        <w:tc>
          <w:tcPr>
            <w:tcW w:type="dxa" w:w="3456"/>
            <w:vAlign w:val="center"/>
          </w:tcPr>
          <w:p>
            <w:pPr>
              <w:spacing w:after="0"/>
            </w:pPr>
            <w:r>
              <w:rPr>
                <w:sz w:val="17"/>
              </w:rPr>
            </w:r>
            <w:r>
              <w:rPr>
                <w:b w:val="0"/>
                <w:sz w:val="17"/>
              </w:rPr>
              <w:t>Benchmark and repair anchors for custom 30D and 9D VIX-style measures.</w:t>
            </w:r>
          </w:p>
        </w:tc>
        <w:tc>
          <w:tcPr>
            <w:tcW w:type="dxa" w:w="3456"/>
            <w:vAlign w:val="center"/>
          </w:tcPr>
          <w:p>
            <w:pPr>
              <w:spacing w:after="0"/>
            </w:pPr>
            <w:r>
              <w:rPr>
                <w:sz w:val="17"/>
              </w:rPr>
            </w:r>
            <w:r>
              <w:rPr>
                <w:b w:val="0"/>
                <w:sz w:val="17"/>
              </w:rPr>
              <w:t>Used for QA and selected historical repairs, not as the primary signal input.</w:t>
            </w:r>
          </w:p>
        </w:tc>
      </w:tr>
      <w:tr>
        <w:tc>
          <w:tcPr>
            <w:tcW w:type="dxa" w:w="3456"/>
            <w:vAlign w:val="center"/>
          </w:tcPr>
          <w:p>
            <w:pPr>
              <w:spacing w:after="0"/>
            </w:pPr>
            <w:r>
              <w:rPr>
                <w:sz w:val="17"/>
              </w:rPr>
            </w:r>
            <w:r>
              <w:rPr>
                <w:b w:val="0"/>
                <w:sz w:val="17"/>
              </w:rPr>
              <w:t>Naked ATM put outcome panel</w:t>
            </w:r>
          </w:p>
        </w:tc>
        <w:tc>
          <w:tcPr>
            <w:tcW w:type="dxa" w:w="3456"/>
            <w:vAlign w:val="center"/>
          </w:tcPr>
          <w:p>
            <w:pPr>
              <w:spacing w:after="0"/>
            </w:pPr>
            <w:r>
              <w:rPr>
                <w:sz w:val="17"/>
              </w:rPr>
            </w:r>
            <w:r>
              <w:rPr>
                <w:b w:val="0"/>
                <w:sz w:val="17"/>
              </w:rPr>
              <w:t>Backtest outcomes used to calibrate selection/ranking metrics.</w:t>
            </w:r>
          </w:p>
        </w:tc>
        <w:tc>
          <w:tcPr>
            <w:tcW w:type="dxa" w:w="3456"/>
            <w:vAlign w:val="center"/>
          </w:tcPr>
          <w:p>
            <w:pPr>
              <w:spacing w:after="0"/>
            </w:pPr>
            <w:r>
              <w:rPr>
                <w:sz w:val="17"/>
              </w:rPr>
            </w:r>
            <w:r>
              <w:rPr>
                <w:b w:val="0"/>
                <w:sz w:val="17"/>
              </w:rPr>
              <w:t>Not needed to generate the daily signal input; stale outcome data does not block signal generation.</w:t>
            </w:r>
          </w:p>
        </w:tc>
      </w:tr>
    </w:tbl>
    <w:p>
      <w:pPr>
        <w:pStyle w:val="Heading1"/>
      </w:pPr>
      <w:r>
        <w:t>4. Storage layout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shd w:fill="1F4E79"/>
          </w:tcPr>
          <w:p>
            <w:pPr>
              <w:spacing w:after="0"/>
            </w:pPr>
            <w:r>
              <w:rPr>
                <w:sz w:val="17"/>
              </w:rPr>
            </w:r>
            <w:r>
              <w:rPr>
                <w:b/>
                <w:color w:val="FFFFFF"/>
                <w:sz w:val="17"/>
              </w:rPr>
              <w:t>Path</w:t>
            </w:r>
          </w:p>
        </w:tc>
        <w:tc>
          <w:tcPr>
            <w:tcW w:type="dxa" w:w="5184"/>
            <w:vAlign w:val="center"/>
            <w:shd w:fill="1F4E79"/>
          </w:tcPr>
          <w:p>
            <w:pPr>
              <w:spacing w:after="0"/>
            </w:pPr>
            <w:r>
              <w:rPr>
                <w:sz w:val="17"/>
              </w:rPr>
            </w:r>
            <w:r>
              <w:rPr>
                <w:b/>
                <w:color w:val="FFFFFF"/>
                <w:sz w:val="17"/>
              </w:rPr>
              <w:t>Purpose</w:t>
            </w:r>
          </w:p>
        </w:tc>
      </w:tr>
      <w:tr>
        <w:tc>
          <w:tcPr>
            <w:tcW w:type="dxa" w:w="5184"/>
            <w:vAlign w:val="center"/>
          </w:tcPr>
          <w:p>
            <w:pPr>
              <w:spacing w:after="0"/>
            </w:pPr>
            <w:r>
              <w:rPr>
                <w:sz w:val="17"/>
              </w:rPr>
            </w:r>
            <w:r>
              <w:rPr>
                <w:b w:val="0"/>
                <w:sz w:val="17"/>
              </w:rPr>
              <w:t>data/raw/thetadata_chains/</w:t>
            </w:r>
          </w:p>
        </w:tc>
        <w:tc>
          <w:tcPr>
            <w:tcW w:type="dxa" w:w="5184"/>
            <w:vAlign w:val="center"/>
          </w:tcPr>
          <w:p>
            <w:pPr>
              <w:spacing w:after="0"/>
            </w:pPr>
            <w:r>
              <w:rPr>
                <w:sz w:val="17"/>
              </w:rPr>
            </w:r>
            <w:r>
              <w:rPr>
                <w:b w:val="0"/>
                <w:sz w:val="17"/>
              </w:rPr>
              <w:t>Raw cached ThetaData chain files. Naming pattern: ROOT_YYYYMMDD_EXPIRATION_HHMMSS.pkl.</w:t>
            </w:r>
          </w:p>
        </w:tc>
      </w:tr>
      <w:tr>
        <w:tc>
          <w:tcPr>
            <w:tcW w:type="dxa" w:w="5184"/>
            <w:vAlign w:val="center"/>
          </w:tcPr>
          <w:p>
            <w:pPr>
              <w:spacing w:after="0"/>
            </w:pPr>
            <w:r>
              <w:rPr>
                <w:sz w:val="17"/>
              </w:rPr>
            </w:r>
            <w:r>
              <w:rPr>
                <w:b w:val="0"/>
                <w:sz w:val="17"/>
              </w:rPr>
              <w:t>data/external/fred_sofr_history.csv</w:t>
            </w:r>
          </w:p>
        </w:tc>
        <w:tc>
          <w:tcPr>
            <w:tcW w:type="dxa" w:w="5184"/>
            <w:vAlign w:val="center"/>
          </w:tcPr>
          <w:p>
            <w:pPr>
              <w:spacing w:after="0"/>
            </w:pPr>
            <w:r>
              <w:rPr>
                <w:sz w:val="17"/>
              </w:rPr>
            </w:r>
            <w:r>
              <w:rPr>
                <w:b w:val="0"/>
                <w:sz w:val="17"/>
              </w:rPr>
              <w:t>SOFR history used by the variance engine.</w:t>
            </w:r>
          </w:p>
        </w:tc>
      </w:tr>
      <w:tr>
        <w:tc>
          <w:tcPr>
            <w:tcW w:type="dxa" w:w="5184"/>
            <w:vAlign w:val="center"/>
          </w:tcPr>
          <w:p>
            <w:pPr>
              <w:spacing w:after="0"/>
            </w:pPr>
            <w:r>
              <w:rPr>
                <w:sz w:val="17"/>
              </w:rPr>
            </w:r>
            <w:r>
              <w:rPr>
                <w:b w:val="0"/>
                <w:sz w:val="17"/>
              </w:rPr>
              <w:t>data/external/spx_index_daily_fred.csv</w:t>
            </w:r>
          </w:p>
        </w:tc>
        <w:tc>
          <w:tcPr>
            <w:tcW w:type="dxa" w:w="5184"/>
            <w:vAlign w:val="center"/>
          </w:tcPr>
          <w:p>
            <w:pPr>
              <w:spacing w:after="0"/>
            </w:pPr>
            <w:r>
              <w:rPr>
                <w:sz w:val="17"/>
              </w:rPr>
            </w:r>
            <w:r>
              <w:rPr>
                <w:b w:val="0"/>
                <w:sz w:val="17"/>
              </w:rPr>
              <w:t>Raw FRED SPX close history.</w:t>
            </w:r>
          </w:p>
        </w:tc>
      </w:tr>
      <w:tr>
        <w:tc>
          <w:tcPr>
            <w:tcW w:type="dxa" w:w="5184"/>
            <w:vAlign w:val="center"/>
          </w:tcPr>
          <w:p>
            <w:pPr>
              <w:spacing w:after="0"/>
            </w:pPr>
            <w:r>
              <w:rPr>
                <w:sz w:val="17"/>
              </w:rPr>
            </w:r>
            <w:r>
              <w:rPr>
                <w:b w:val="0"/>
                <w:sz w:val="17"/>
              </w:rPr>
              <w:t>data/external/spx_index_daily_fred_normalized.csv</w:t>
            </w:r>
          </w:p>
        </w:tc>
        <w:tc>
          <w:tcPr>
            <w:tcW w:type="dxa" w:w="5184"/>
            <w:vAlign w:val="center"/>
          </w:tcPr>
          <w:p>
            <w:pPr>
              <w:spacing w:after="0"/>
            </w:pPr>
            <w:r>
              <w:rPr>
                <w:sz w:val="17"/>
              </w:rPr>
            </w:r>
            <w:r>
              <w:rPr>
                <w:b w:val="0"/>
                <w:sz w:val="17"/>
              </w:rPr>
              <w:t>Normalized SPX date, close, and log-return history.</w:t>
            </w:r>
          </w:p>
        </w:tc>
      </w:tr>
      <w:tr>
        <w:tc>
          <w:tcPr>
            <w:tcW w:type="dxa" w:w="5184"/>
            <w:vAlign w:val="center"/>
          </w:tcPr>
          <w:p>
            <w:pPr>
              <w:spacing w:after="0"/>
            </w:pPr>
            <w:r>
              <w:rPr>
                <w:sz w:val="17"/>
              </w:rPr>
            </w:r>
            <w:r>
              <w:rPr>
                <w:b w:val="0"/>
                <w:sz w:val="17"/>
              </w:rPr>
              <w:t>data/processed/vix_term_structure_history_v0_7_1_repaired_total_variance.parquet</w:t>
            </w:r>
          </w:p>
        </w:tc>
        <w:tc>
          <w:tcPr>
            <w:tcW w:type="dxa" w:w="5184"/>
            <w:vAlign w:val="center"/>
          </w:tcPr>
          <w:p>
            <w:pPr>
              <w:spacing w:after="0"/>
            </w:pPr>
            <w:r>
              <w:rPr>
                <w:sz w:val="17"/>
              </w:rPr>
            </w:r>
            <w:r>
              <w:rPr>
                <w:b w:val="0"/>
                <w:sz w:val="17"/>
              </w:rPr>
              <w:t>Canonical repaired implied-variance term-structure history.</w:t>
            </w:r>
          </w:p>
        </w:tc>
      </w:tr>
      <w:tr>
        <w:tc>
          <w:tcPr>
            <w:tcW w:type="dxa" w:w="5184"/>
            <w:vAlign w:val="center"/>
          </w:tcPr>
          <w:p>
            <w:pPr>
              <w:spacing w:after="0"/>
            </w:pPr>
            <w:r>
              <w:rPr>
                <w:sz w:val="17"/>
              </w:rPr>
            </w:r>
            <w:r>
              <w:rPr>
                <w:b w:val="0"/>
                <w:sz w:val="17"/>
              </w:rPr>
              <w:t>data/processed/realized_variance_panel_v0_1.parquet</w:t>
            </w:r>
          </w:p>
        </w:tc>
        <w:tc>
          <w:tcPr>
            <w:tcW w:type="dxa" w:w="5184"/>
            <w:vAlign w:val="center"/>
          </w:tcPr>
          <w:p>
            <w:pPr>
              <w:spacing w:after="0"/>
            </w:pPr>
            <w:r>
              <w:rPr>
                <w:sz w:val="17"/>
              </w:rPr>
            </w:r>
            <w:r>
              <w:rPr>
                <w:b w:val="0"/>
                <w:sz w:val="17"/>
              </w:rPr>
              <w:t>Trailing and forward realized variance / volatility by date and tenor.</w:t>
            </w:r>
          </w:p>
        </w:tc>
      </w:tr>
      <w:tr>
        <w:tc>
          <w:tcPr>
            <w:tcW w:type="dxa" w:w="5184"/>
            <w:vAlign w:val="center"/>
          </w:tcPr>
          <w:p>
            <w:pPr>
              <w:spacing w:after="0"/>
            </w:pPr>
            <w:r>
              <w:rPr>
                <w:sz w:val="17"/>
              </w:rPr>
            </w:r>
            <w:r>
              <w:rPr>
                <w:b w:val="0"/>
                <w:sz w:val="17"/>
              </w:rPr>
              <w:t>data/processed/vrp_panel_v0_1.parquet</w:t>
            </w:r>
          </w:p>
        </w:tc>
        <w:tc>
          <w:tcPr>
            <w:tcW w:type="dxa" w:w="5184"/>
            <w:vAlign w:val="center"/>
          </w:tcPr>
          <w:p>
            <w:pPr>
              <w:spacing w:after="0"/>
            </w:pPr>
            <w:r>
              <w:rPr>
                <w:sz w:val="17"/>
              </w:rPr>
            </w:r>
            <w:r>
              <w:rPr>
                <w:b w:val="0"/>
                <w:sz w:val="17"/>
              </w:rPr>
              <w:t>VRP log ratios and related SPX market-state fields.</w:t>
            </w:r>
          </w:p>
        </w:tc>
      </w:tr>
      <w:tr>
        <w:tc>
          <w:tcPr>
            <w:tcW w:type="dxa" w:w="5184"/>
            <w:vAlign w:val="center"/>
          </w:tcPr>
          <w:p>
            <w:pPr>
              <w:spacing w:after="0"/>
            </w:pPr>
            <w:r>
              <w:rPr>
                <w:sz w:val="17"/>
              </w:rPr>
            </w:r>
            <w:r>
              <w:rPr>
                <w:b w:val="0"/>
                <w:sz w:val="17"/>
              </w:rPr>
              <w:t>data/processed/production_feature_panel_v0_1.parquet</w:t>
            </w:r>
          </w:p>
        </w:tc>
        <w:tc>
          <w:tcPr>
            <w:tcW w:type="dxa" w:w="5184"/>
            <w:vAlign w:val="center"/>
          </w:tcPr>
          <w:p>
            <w:pPr>
              <w:spacing w:after="0"/>
            </w:pPr>
            <w:r>
              <w:rPr>
                <w:sz w:val="17"/>
              </w:rPr>
            </w:r>
            <w:r>
              <w:rPr>
                <w:b w:val="0"/>
                <w:sz w:val="17"/>
              </w:rPr>
              <w:t>Main signal input panel. One row per date x tenor.</w:t>
            </w:r>
          </w:p>
        </w:tc>
      </w:tr>
      <w:tr>
        <w:tc>
          <w:tcPr>
            <w:tcW w:type="dxa" w:w="5184"/>
            <w:vAlign w:val="center"/>
          </w:tcPr>
          <w:p>
            <w:pPr>
              <w:spacing w:after="0"/>
            </w:pPr>
            <w:r>
              <w:rPr>
                <w:sz w:val="17"/>
              </w:rPr>
            </w:r>
            <w:r>
              <w:rPr>
                <w:b w:val="0"/>
                <w:sz w:val="17"/>
              </w:rPr>
              <w:t>data/processed/signals/</w:t>
            </w:r>
          </w:p>
        </w:tc>
        <w:tc>
          <w:tcPr>
            <w:tcW w:type="dxa" w:w="5184"/>
            <w:vAlign w:val="center"/>
          </w:tcPr>
          <w:p>
            <w:pPr>
              <w:spacing w:after="0"/>
            </w:pPr>
            <w:r>
              <w:rPr>
                <w:sz w:val="17"/>
              </w:rPr>
            </w:r>
            <w:r>
              <w:rPr>
                <w:b w:val="0"/>
                <w:sz w:val="17"/>
              </w:rPr>
              <w:t>Daily signal snapshots and summaries.</w:t>
            </w:r>
          </w:p>
        </w:tc>
      </w:tr>
      <w:tr>
        <w:tc>
          <w:tcPr>
            <w:tcW w:type="dxa" w:w="5184"/>
            <w:vAlign w:val="center"/>
          </w:tcPr>
          <w:p>
            <w:pPr>
              <w:spacing w:after="0"/>
            </w:pPr>
            <w:r>
              <w:rPr>
                <w:sz w:val="17"/>
              </w:rPr>
            </w:r>
            <w:r>
              <w:rPr>
                <w:b w:val="0"/>
                <w:sz w:val="17"/>
              </w:rPr>
              <w:t>data/processed/staging/</w:t>
            </w:r>
          </w:p>
        </w:tc>
        <w:tc>
          <w:tcPr>
            <w:tcW w:type="dxa" w:w="5184"/>
            <w:vAlign w:val="center"/>
          </w:tcPr>
          <w:p>
            <w:pPr>
              <w:spacing w:after="0"/>
            </w:pPr>
            <w:r>
              <w:rPr>
                <w:sz w:val="17"/>
              </w:rPr>
            </w:r>
            <w:r>
              <w:rPr>
                <w:b w:val="0"/>
                <w:sz w:val="17"/>
              </w:rPr>
              <w:t>Candidate files created before promotion to official history.</w:t>
            </w:r>
          </w:p>
        </w:tc>
      </w:tr>
      <w:tr>
        <w:tc>
          <w:tcPr>
            <w:tcW w:type="dxa" w:w="5184"/>
            <w:vAlign w:val="center"/>
          </w:tcPr>
          <w:p>
            <w:pPr>
              <w:spacing w:after="0"/>
            </w:pPr>
            <w:r>
              <w:rPr>
                <w:sz w:val="17"/>
              </w:rPr>
            </w:r>
            <w:r>
              <w:rPr>
                <w:b w:val="0"/>
                <w:sz w:val="17"/>
              </w:rPr>
              <w:t>data/processed/backups/production_v1/</w:t>
            </w:r>
          </w:p>
        </w:tc>
        <w:tc>
          <w:tcPr>
            <w:tcW w:type="dxa" w:w="5184"/>
            <w:vAlign w:val="center"/>
          </w:tcPr>
          <w:p>
            <w:pPr>
              <w:spacing w:after="0"/>
            </w:pPr>
            <w:r>
              <w:rPr>
                <w:sz w:val="17"/>
              </w:rPr>
            </w:r>
            <w:r>
              <w:rPr>
                <w:b w:val="0"/>
                <w:sz w:val="17"/>
              </w:rPr>
              <w:t>Backups created before promoting official files.</w:t>
            </w:r>
          </w:p>
        </w:tc>
      </w:tr>
      <w:tr>
        <w:tc>
          <w:tcPr>
            <w:tcW w:type="dxa" w:w="5184"/>
            <w:vAlign w:val="center"/>
          </w:tcPr>
          <w:p>
            <w:pPr>
              <w:spacing w:after="0"/>
            </w:pPr>
            <w:r>
              <w:rPr>
                <w:sz w:val="17"/>
              </w:rPr>
            </w:r>
            <w:r>
              <w:rPr>
                <w:b w:val="0"/>
                <w:sz w:val="17"/>
              </w:rPr>
              <w:t>data/audit/production_v1/</w:t>
            </w:r>
          </w:p>
        </w:tc>
        <w:tc>
          <w:tcPr>
            <w:tcW w:type="dxa" w:w="5184"/>
            <w:vAlign w:val="center"/>
          </w:tcPr>
          <w:p>
            <w:pPr>
              <w:spacing w:after="0"/>
            </w:pPr>
            <w:r>
              <w:rPr>
                <w:sz w:val="17"/>
              </w:rPr>
            </w:r>
            <w:r>
              <w:rPr>
                <w:b w:val="0"/>
                <w:sz w:val="17"/>
              </w:rPr>
              <w:t>Human-readable and machine-readable audit reports for each run step.</w:t>
            </w:r>
          </w:p>
        </w:tc>
      </w:tr>
    </w:tbl>
    <w:p>
      <w:pPr>
        <w:pStyle w:val="Heading1"/>
      </w:pPr>
      <w:r>
        <w:t>5. VIX-style implied variance build</w:t>
      </w:r>
    </w:p>
    <w:p>
      <w:r>
        <w:t>The VIX-style term structure is the upstream dependency for the entire project. It is built once per completed EOD date and, later, will also be built for intraday snapshots in a separate live table.</w:t>
      </w:r>
    </w:p>
    <w:p>
      <w:pPr>
        <w:pStyle w:val="Heading2"/>
      </w:pPr>
      <w:r>
        <w:t>5.1 Target tenors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shd w:fill="1F4E79"/>
          </w:tcPr>
          <w:p>
            <w:pPr>
              <w:spacing w:after="0"/>
            </w:pPr>
            <w:r>
              <w:rPr>
                <w:sz w:val="17"/>
              </w:rPr>
            </w:r>
            <w:r>
              <w:rPr>
                <w:b/>
                <w:color w:val="FFFFFF"/>
                <w:sz w:val="17"/>
              </w:rPr>
              <w:t>Bucket</w:t>
            </w:r>
          </w:p>
        </w:tc>
        <w:tc>
          <w:tcPr>
            <w:tcW w:type="dxa" w:w="5184"/>
            <w:vAlign w:val="center"/>
            <w:shd w:fill="1F4E79"/>
          </w:tcPr>
          <w:p>
            <w:pPr>
              <w:spacing w:after="0"/>
            </w:pPr>
            <w:r>
              <w:rPr>
                <w:sz w:val="17"/>
              </w:rPr>
            </w:r>
            <w:r>
              <w:rPr>
                <w:b/>
                <w:color w:val="FFFFFF"/>
                <w:sz w:val="17"/>
              </w:rPr>
              <w:t>Target tenors</w:t>
            </w:r>
          </w:p>
        </w:tc>
      </w:tr>
      <w:tr>
        <w:tc>
          <w:tcPr>
            <w:tcW w:type="dxa" w:w="5184"/>
            <w:vAlign w:val="center"/>
          </w:tcPr>
          <w:p>
            <w:pPr>
              <w:spacing w:after="0"/>
            </w:pPr>
            <w:r>
              <w:rPr>
                <w:sz w:val="17"/>
              </w:rPr>
            </w:r>
            <w:r>
              <w:rPr>
                <w:b w:val="0"/>
                <w:sz w:val="17"/>
              </w:rPr>
              <w:t>Front</w:t>
            </w:r>
          </w:p>
        </w:tc>
        <w:tc>
          <w:tcPr>
            <w:tcW w:type="dxa" w:w="5184"/>
            <w:vAlign w:val="center"/>
          </w:tcPr>
          <w:p>
            <w:pPr>
              <w:spacing w:after="0"/>
            </w:pPr>
            <w:r>
              <w:rPr>
                <w:sz w:val="17"/>
              </w:rPr>
            </w:r>
            <w:r>
              <w:rPr>
                <w:b w:val="0"/>
                <w:sz w:val="17"/>
              </w:rPr>
              <w:t>9, 12, 15 calendar days</w:t>
            </w:r>
          </w:p>
        </w:tc>
      </w:tr>
      <w:tr>
        <w:tc>
          <w:tcPr>
            <w:tcW w:type="dxa" w:w="5184"/>
            <w:vAlign w:val="center"/>
          </w:tcPr>
          <w:p>
            <w:pPr>
              <w:spacing w:after="0"/>
            </w:pPr>
            <w:r>
              <w:rPr>
                <w:sz w:val="17"/>
              </w:rPr>
            </w:r>
            <w:r>
              <w:rPr>
                <w:b w:val="0"/>
                <w:sz w:val="17"/>
              </w:rPr>
              <w:t>Middle</w:t>
            </w:r>
          </w:p>
        </w:tc>
        <w:tc>
          <w:tcPr>
            <w:tcW w:type="dxa" w:w="5184"/>
            <w:vAlign w:val="center"/>
          </w:tcPr>
          <w:p>
            <w:pPr>
              <w:spacing w:after="0"/>
            </w:pPr>
            <w:r>
              <w:rPr>
                <w:sz w:val="17"/>
              </w:rPr>
            </w:r>
            <w:r>
              <w:rPr>
                <w:b w:val="0"/>
                <w:sz w:val="17"/>
              </w:rPr>
              <w:t>18, 21, 24 calendar days</w:t>
            </w:r>
          </w:p>
        </w:tc>
      </w:tr>
      <w:tr>
        <w:tc>
          <w:tcPr>
            <w:tcW w:type="dxa" w:w="5184"/>
            <w:vAlign w:val="center"/>
          </w:tcPr>
          <w:p>
            <w:pPr>
              <w:spacing w:after="0"/>
            </w:pPr>
            <w:r>
              <w:rPr>
                <w:sz w:val="17"/>
              </w:rPr>
            </w:r>
            <w:r>
              <w:rPr>
                <w:b w:val="0"/>
                <w:sz w:val="17"/>
              </w:rPr>
              <w:t>Back</w:t>
            </w:r>
          </w:p>
        </w:tc>
        <w:tc>
          <w:tcPr>
            <w:tcW w:type="dxa" w:w="5184"/>
            <w:vAlign w:val="center"/>
          </w:tcPr>
          <w:p>
            <w:pPr>
              <w:spacing w:after="0"/>
            </w:pPr>
            <w:r>
              <w:rPr>
                <w:sz w:val="17"/>
              </w:rPr>
            </w:r>
            <w:r>
              <w:rPr>
                <w:b w:val="0"/>
                <w:sz w:val="17"/>
              </w:rPr>
              <w:t>27, 30, 33 calendar days</w:t>
            </w:r>
          </w:p>
        </w:tc>
      </w:tr>
    </w:tbl>
    <w:p>
      <w:pPr>
        <w:pStyle w:val="Heading2"/>
      </w:pPr>
      <w:r>
        <w:t>5.2 Quote time and calendar handling</w:t>
      </w:r>
    </w:p>
    <w:p>
      <w:pPr>
        <w:pStyle w:val="ListBullet"/>
      </w:pPr>
      <w:r>
        <w:t>For EOD history, use the actual XNYS market close for each trade date.</w:t>
      </w:r>
    </w:p>
    <w:p>
      <w:pPr>
        <w:pStyle w:val="ListBullet"/>
      </w:pPr>
      <w:r>
        <w:t>Normal close uses 16:00 ET; early closes use the exchange-calendar close time.</w:t>
      </w:r>
    </w:p>
    <w:p>
      <w:pPr>
        <w:pStyle w:val="ListBullet"/>
      </w:pPr>
      <w:r>
        <w:t>The daily updater first determines the latest completed EOD date and compares it to the latest canonical term-structure date.</w:t>
      </w:r>
    </w:p>
    <w:p>
      <w:pPr>
        <w:pStyle w:val="ListBullet"/>
      </w:pPr>
      <w:r>
        <w:t>The system should never treat a non-trading day as a missing date.</w:t>
      </w:r>
    </w:p>
    <w:p>
      <w:pPr>
        <w:pStyle w:val="Heading2"/>
      </w:pPr>
      <w:r>
        <w:t>5.3 Expiration universe and settlement times</w:t>
      </w:r>
    </w:p>
    <w:p>
      <w:pPr>
        <w:pStyle w:val="ListBullet"/>
      </w:pPr>
      <w:r>
        <w:t>The expiration universe is Friday-cycle and holiday-adjusted.</w:t>
      </w:r>
    </w:p>
    <w:p>
      <w:pPr>
        <w:pStyle w:val="ListBullet"/>
      </w:pPr>
      <w:r>
        <w:t>Standard monthly AM-settled expirations prefer SPX and settle at 9:30 ET.</w:t>
      </w:r>
    </w:p>
    <w:p>
      <w:pPr>
        <w:pStyle w:val="ListBullet"/>
      </w:pPr>
      <w:r>
        <w:t>Weekly/daily PM-settled expirations prefer SPXW and settle at 16:00 ET.</w:t>
      </w:r>
    </w:p>
    <w:p>
      <w:pPr>
        <w:pStyle w:val="ListBullet"/>
      </w:pPr>
      <w:r>
        <w:t>Known unavailable ThetaData chains are treated as explicit data gaps, not as methodology exclusions.</w:t>
      </w:r>
    </w:p>
    <w:p>
      <w:pPr>
        <w:pStyle w:val="Heading2"/>
      </w:pPr>
      <w:r>
        <w:t>5.4 Single-expiration variance calculation</w:t>
      </w:r>
    </w:p>
    <w:p>
      <w:pPr>
        <w:pStyle w:val="ListNumber"/>
      </w:pPr>
      <w:r>
        <w:t>Load the raw chain for one root / expiration / quote time from cache or ThetaData.</w:t>
      </w:r>
    </w:p>
    <w:p>
      <w:pPr>
        <w:pStyle w:val="ListNumber"/>
      </w:pPr>
      <w:r>
        <w:t>Clean calls and puts, convert bid/ask/mid fields to numeric, deduplicate strikes, and drop invalid quotes.</w:t>
      </w:r>
    </w:p>
    <w:p>
      <w:pPr>
        <w:pStyle w:val="ListNumber"/>
      </w:pPr>
      <w:r>
        <w:t>Estimate the forward level using call-put parity at the strike with the smallest call/put mid difference, excluding invalid zero-mid candidates.</w:t>
      </w:r>
    </w:p>
    <w:p>
      <w:pPr>
        <w:pStyle w:val="ListNumber"/>
      </w:pPr>
      <w:r>
        <w:t>Set K0 as the largest strike at or below the estimated forward level.</w:t>
      </w:r>
    </w:p>
    <w:p>
      <w:pPr>
        <w:pStyle w:val="ListNumber"/>
      </w:pPr>
      <w:r>
        <w:t>Use OTM puts below K0, OTM calls above K0, and average call/put price at K0.</w:t>
      </w:r>
    </w:p>
    <w:p>
      <w:pPr>
        <w:pStyle w:val="ListNumber"/>
      </w:pPr>
      <w:r>
        <w:t>Apply the two-consecutive-zero-bid stopping rule on each wing.</w:t>
      </w:r>
    </w:p>
    <w:p>
      <w:pPr>
        <w:pStyle w:val="ListNumber"/>
      </w:pPr>
      <w:r>
        <w:t>Compute annualized VIX-style variance for the expiration using the SOFR input and minutes to settlement.</w:t>
      </w:r>
    </w:p>
    <w:p>
      <w:pPr>
        <w:pStyle w:val="Heading2"/>
      </w:pPr>
      <w:r>
        <w:t>5.5 Fixed-tenor interpolation</w:t>
      </w:r>
    </w:p>
    <w:p>
      <w:pPr>
        <w:pStyle w:val="ListBullet"/>
      </w:pPr>
      <w:r>
        <w:t>For each target tenor, select the near and next expirations that bracket the target in minutes.</w:t>
      </w:r>
    </w:p>
    <w:p>
      <w:pPr>
        <w:pStyle w:val="ListBullet"/>
      </w:pPr>
      <w:r>
        <w:t>Interpolate in total variance space, not directly in volatility space.</w:t>
      </w:r>
    </w:p>
    <w:p>
      <w:pPr>
        <w:pStyle w:val="ListBullet"/>
      </w:pPr>
      <w:r>
        <w:t>Convert final annualized variance to VIX-style volatility as sqrt(implied_variance) x 100.</w:t>
      </w:r>
    </w:p>
    <w:p>
      <w:pPr>
        <w:pStyle w:val="Heading2"/>
      </w:pPr>
      <w:r>
        <w:t>5.6 QA and repair</w:t>
      </w:r>
    </w:p>
    <w:p>
      <w:pPr>
        <w:pStyle w:val="ListBullet"/>
      </w:pPr>
      <w:r>
        <w:t>Every date should have exactly 9 tenors.</w:t>
      </w:r>
    </w:p>
    <w:p>
      <w:pPr>
        <w:pStyle w:val="ListBullet"/>
      </w:pPr>
      <w:r>
        <w:t>There should be no duplicate date / tenor rows.</w:t>
      </w:r>
    </w:p>
    <w:p>
      <w:pPr>
        <w:pStyle w:val="ListBullet"/>
      </w:pPr>
      <w:r>
        <w:t>Implied variance must be positive and finite.</w:t>
      </w:r>
    </w:p>
    <w:p>
      <w:pPr>
        <w:pStyle w:val="ListBullet"/>
      </w:pPr>
      <w:r>
        <w:t>Forward variance between adjacent tenors should not be negative under the QA rules.</w:t>
      </w:r>
    </w:p>
    <w:p>
      <w:pPr>
        <w:pStyle w:val="ListBullet"/>
      </w:pPr>
      <w:r>
        <w:t>Benchmark comparisons against Cboe VIX and VIX9D are used for QA and selected repairs.</w:t>
      </w:r>
    </w:p>
    <w:p>
      <w:pPr>
        <w:pStyle w:val="ListBullet"/>
      </w:pPr>
      <w:r>
        <w:t>The canonical repaired file preserves raw values and repair flags so the audit trail is visible.</w:t>
      </w:r>
    </w:p>
    <w:p>
      <w:pPr>
        <w:pStyle w:val="Heading1"/>
      </w:pPr>
      <w:r>
        <w:t>6. Downstream feature build</w:t>
      </w:r>
    </w:p>
    <w:p>
      <w:r>
        <w:t>Once the implied term structure is current, the downstream panels are rebuilt so the signal consumes a clean date x tenor feature set rather than raw chain 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shd w:fill="1F4E79"/>
          </w:tcPr>
          <w:p>
            <w:pPr>
              <w:spacing w:after="0"/>
            </w:pPr>
            <w:r>
              <w:rPr>
                <w:sz w:val="17"/>
              </w:rPr>
            </w:r>
            <w:r>
              <w:rPr>
                <w:b/>
                <w:color w:val="FFFFFF"/>
                <w:sz w:val="17"/>
              </w:rPr>
              <w:t>Feature</w:t>
            </w:r>
          </w:p>
        </w:tc>
        <w:tc>
          <w:tcPr>
            <w:tcW w:type="dxa" w:w="5184"/>
            <w:vAlign w:val="center"/>
            <w:shd w:fill="1F4E79"/>
          </w:tcPr>
          <w:p>
            <w:pPr>
              <w:spacing w:after="0"/>
            </w:pPr>
            <w:r>
              <w:rPr>
                <w:sz w:val="17"/>
              </w:rPr>
            </w:r>
            <w:r>
              <w:rPr>
                <w:b/>
                <w:color w:val="FFFFFF"/>
                <w:sz w:val="17"/>
              </w:rPr>
              <w:t>Meaning</w:t>
            </w:r>
          </w:p>
        </w:tc>
      </w:tr>
      <w:tr>
        <w:tc>
          <w:tcPr>
            <w:tcW w:type="dxa" w:w="5184"/>
            <w:vAlign w:val="center"/>
          </w:tcPr>
          <w:p>
            <w:pPr>
              <w:spacing w:after="0"/>
            </w:pPr>
            <w:r>
              <w:rPr>
                <w:sz w:val="17"/>
              </w:rPr>
            </w:r>
            <w:r>
              <w:rPr>
                <w:b w:val="0"/>
                <w:sz w:val="17"/>
              </w:rPr>
              <w:t>spx_close</w:t>
            </w:r>
          </w:p>
        </w:tc>
        <w:tc>
          <w:tcPr>
            <w:tcW w:type="dxa" w:w="5184"/>
            <w:vAlign w:val="center"/>
          </w:tcPr>
          <w:p>
            <w:pPr>
              <w:spacing w:after="0"/>
            </w:pPr>
            <w:r>
              <w:rPr>
                <w:sz w:val="17"/>
              </w:rPr>
            </w:r>
            <w:r>
              <w:rPr>
                <w:b w:val="0"/>
                <w:sz w:val="17"/>
              </w:rPr>
              <w:t>Official SPX close for the signal date.</w:t>
            </w:r>
          </w:p>
        </w:tc>
      </w:tr>
      <w:tr>
        <w:tc>
          <w:tcPr>
            <w:tcW w:type="dxa" w:w="5184"/>
            <w:vAlign w:val="center"/>
          </w:tcPr>
          <w:p>
            <w:pPr>
              <w:spacing w:after="0"/>
            </w:pPr>
            <w:r>
              <w:rPr>
                <w:sz w:val="17"/>
              </w:rPr>
            </w:r>
            <w:r>
              <w:rPr>
                <w:b w:val="0"/>
                <w:sz w:val="17"/>
              </w:rPr>
              <w:t>spx_log_return</w:t>
            </w:r>
          </w:p>
        </w:tc>
        <w:tc>
          <w:tcPr>
            <w:tcW w:type="dxa" w:w="5184"/>
            <w:vAlign w:val="center"/>
          </w:tcPr>
          <w:p>
            <w:pPr>
              <w:spacing w:after="0"/>
            </w:pPr>
            <w:r>
              <w:rPr>
                <w:sz w:val="17"/>
              </w:rPr>
            </w:r>
            <w:r>
              <w:rPr>
                <w:b w:val="0"/>
                <w:sz w:val="17"/>
              </w:rPr>
              <w:t>Daily log return from the normalized SPX close series.</w:t>
            </w:r>
          </w:p>
        </w:tc>
      </w:tr>
      <w:tr>
        <w:tc>
          <w:tcPr>
            <w:tcW w:type="dxa" w:w="5184"/>
            <w:vAlign w:val="center"/>
          </w:tcPr>
          <w:p>
            <w:pPr>
              <w:spacing w:after="0"/>
            </w:pPr>
            <w:r>
              <w:rPr>
                <w:sz w:val="17"/>
              </w:rPr>
            </w:r>
            <w:r>
              <w:rPr>
                <w:b w:val="0"/>
                <w:sz w:val="17"/>
              </w:rPr>
              <w:t>implied_variance</w:t>
            </w:r>
          </w:p>
        </w:tc>
        <w:tc>
          <w:tcPr>
            <w:tcW w:type="dxa" w:w="5184"/>
            <w:vAlign w:val="center"/>
          </w:tcPr>
          <w:p>
            <w:pPr>
              <w:spacing w:after="0"/>
            </w:pPr>
            <w:r>
              <w:rPr>
                <w:sz w:val="17"/>
              </w:rPr>
            </w:r>
            <w:r>
              <w:rPr>
                <w:b w:val="0"/>
                <w:sz w:val="17"/>
              </w:rPr>
              <w:t>Annualized VIX-style implied variance at the target tenor.</w:t>
            </w:r>
          </w:p>
        </w:tc>
      </w:tr>
      <w:tr>
        <w:tc>
          <w:tcPr>
            <w:tcW w:type="dxa" w:w="5184"/>
            <w:vAlign w:val="center"/>
          </w:tcPr>
          <w:p>
            <w:pPr>
              <w:spacing w:after="0"/>
            </w:pPr>
            <w:r>
              <w:rPr>
                <w:sz w:val="17"/>
              </w:rPr>
            </w:r>
            <w:r>
              <w:rPr>
                <w:b w:val="0"/>
                <w:sz w:val="17"/>
              </w:rPr>
              <w:t>vix_style_vol</w:t>
            </w:r>
          </w:p>
        </w:tc>
        <w:tc>
          <w:tcPr>
            <w:tcW w:type="dxa" w:w="5184"/>
            <w:vAlign w:val="center"/>
          </w:tcPr>
          <w:p>
            <w:pPr>
              <w:spacing w:after="0"/>
            </w:pPr>
            <w:r>
              <w:rPr>
                <w:sz w:val="17"/>
              </w:rPr>
            </w:r>
            <w:r>
              <w:rPr>
                <w:b w:val="0"/>
                <w:sz w:val="17"/>
              </w:rPr>
              <w:t>sqrt(implied_variance) x 100, shown in vol points.</w:t>
            </w:r>
          </w:p>
        </w:tc>
      </w:tr>
      <w:tr>
        <w:tc>
          <w:tcPr>
            <w:tcW w:type="dxa" w:w="5184"/>
            <w:vAlign w:val="center"/>
          </w:tcPr>
          <w:p>
            <w:pPr>
              <w:spacing w:after="0"/>
            </w:pPr>
            <w:r>
              <w:rPr>
                <w:sz w:val="17"/>
              </w:rPr>
            </w:r>
            <w:r>
              <w:rPr>
                <w:b w:val="0"/>
                <w:sz w:val="17"/>
              </w:rPr>
              <w:t>trailing_realized_variance / trailing_realized_vol</w:t>
            </w:r>
          </w:p>
        </w:tc>
        <w:tc>
          <w:tcPr>
            <w:tcW w:type="dxa" w:w="5184"/>
            <w:vAlign w:val="center"/>
          </w:tcPr>
          <w:p>
            <w:pPr>
              <w:spacing w:after="0"/>
            </w:pPr>
            <w:r>
              <w:rPr>
                <w:sz w:val="17"/>
              </w:rPr>
            </w:r>
            <w:r>
              <w:rPr>
                <w:b w:val="0"/>
                <w:sz w:val="17"/>
              </w:rPr>
              <w:t>Realized variance / volatility over the trailing calendar window matching the target tenor.</w:t>
            </w:r>
          </w:p>
        </w:tc>
      </w:tr>
      <w:tr>
        <w:tc>
          <w:tcPr>
            <w:tcW w:type="dxa" w:w="5184"/>
            <w:vAlign w:val="center"/>
          </w:tcPr>
          <w:p>
            <w:pPr>
              <w:spacing w:after="0"/>
            </w:pPr>
            <w:r>
              <w:rPr>
                <w:sz w:val="17"/>
              </w:rPr>
            </w:r>
            <w:r>
              <w:rPr>
                <w:b w:val="0"/>
                <w:sz w:val="17"/>
              </w:rPr>
              <w:t>forecast_variance / forecast_vol</w:t>
            </w:r>
          </w:p>
        </w:tc>
        <w:tc>
          <w:tcPr>
            <w:tcW w:type="dxa" w:w="5184"/>
            <w:vAlign w:val="center"/>
          </w:tcPr>
          <w:p>
            <w:pPr>
              <w:spacing w:after="0"/>
            </w:pPr>
            <w:r>
              <w:rPr>
                <w:sz w:val="17"/>
              </w:rPr>
            </w:r>
            <w:r>
              <w:rPr>
                <w:b w:val="0"/>
                <w:sz w:val="17"/>
              </w:rPr>
              <w:t>Current forecast denominator consumed by the signal. In v1 this is kept as a swappable feature field so a more sophisticated forecast can replace the baseline denominator later.</w:t>
            </w:r>
          </w:p>
        </w:tc>
      </w:tr>
      <w:tr>
        <w:tc>
          <w:tcPr>
            <w:tcW w:type="dxa" w:w="5184"/>
            <w:vAlign w:val="center"/>
          </w:tcPr>
          <w:p>
            <w:pPr>
              <w:spacing w:after="0"/>
            </w:pPr>
            <w:r>
              <w:rPr>
                <w:sz w:val="17"/>
              </w:rPr>
            </w:r>
            <w:r>
              <w:rPr>
                <w:b w:val="0"/>
                <w:sz w:val="17"/>
              </w:rPr>
              <w:t>primary_vrp_signal / vrp_log</w:t>
            </w:r>
          </w:p>
        </w:tc>
        <w:tc>
          <w:tcPr>
            <w:tcW w:type="dxa" w:w="5184"/>
            <w:vAlign w:val="center"/>
          </w:tcPr>
          <w:p>
            <w:pPr>
              <w:spacing w:after="0"/>
            </w:pPr>
            <w:r>
              <w:rPr>
                <w:sz w:val="17"/>
              </w:rPr>
            </w:r>
            <w:r>
              <w:rPr>
                <w:b w:val="0"/>
                <w:sz w:val="17"/>
              </w:rPr>
              <w:t>Log ratio of implied variance to forecast / realized variance denominator.</w:t>
            </w:r>
          </w:p>
        </w:tc>
      </w:tr>
      <w:tr>
        <w:tc>
          <w:tcPr>
            <w:tcW w:type="dxa" w:w="5184"/>
            <w:vAlign w:val="center"/>
          </w:tcPr>
          <w:p>
            <w:pPr>
              <w:spacing w:after="0"/>
            </w:pPr>
            <w:r>
              <w:rPr>
                <w:sz w:val="17"/>
              </w:rPr>
            </w:r>
            <w:r>
              <w:rPr>
                <w:b w:val="0"/>
                <w:sz w:val="17"/>
              </w:rPr>
              <w:t>vrp_z_3m</w:t>
            </w:r>
          </w:p>
        </w:tc>
        <w:tc>
          <w:tcPr>
            <w:tcW w:type="dxa" w:w="5184"/>
            <w:vAlign w:val="center"/>
          </w:tcPr>
          <w:p>
            <w:pPr>
              <w:spacing w:after="0"/>
            </w:pPr>
            <w:r>
              <w:rPr>
                <w:sz w:val="17"/>
              </w:rPr>
            </w:r>
            <w:r>
              <w:rPr>
                <w:b w:val="0"/>
                <w:sz w:val="17"/>
              </w:rPr>
              <w:t>Rolling 3-month z-score of VRP by tenor.</w:t>
            </w:r>
          </w:p>
        </w:tc>
      </w:tr>
      <w:tr>
        <w:tc>
          <w:tcPr>
            <w:tcW w:type="dxa" w:w="5184"/>
            <w:vAlign w:val="center"/>
          </w:tcPr>
          <w:p>
            <w:pPr>
              <w:spacing w:after="0"/>
            </w:pPr>
            <w:r>
              <w:rPr>
                <w:sz w:val="17"/>
              </w:rPr>
            </w:r>
            <w:r>
              <w:rPr>
                <w:b w:val="0"/>
                <w:sz w:val="17"/>
              </w:rPr>
              <w:t>vrp_z_1y</w:t>
            </w:r>
          </w:p>
        </w:tc>
        <w:tc>
          <w:tcPr>
            <w:tcW w:type="dxa" w:w="5184"/>
            <w:vAlign w:val="center"/>
          </w:tcPr>
          <w:p>
            <w:pPr>
              <w:spacing w:after="0"/>
            </w:pPr>
            <w:r>
              <w:rPr>
                <w:sz w:val="17"/>
              </w:rPr>
            </w:r>
            <w:r>
              <w:rPr>
                <w:b w:val="0"/>
                <w:sz w:val="17"/>
              </w:rPr>
              <w:t>Rolling 1-year z-score of VRP by tenor.</w:t>
            </w:r>
          </w:p>
        </w:tc>
      </w:tr>
      <w:tr>
        <w:tc>
          <w:tcPr>
            <w:tcW w:type="dxa" w:w="5184"/>
            <w:vAlign w:val="center"/>
          </w:tcPr>
          <w:p>
            <w:pPr>
              <w:spacing w:after="0"/>
            </w:pPr>
            <w:r>
              <w:rPr>
                <w:sz w:val="17"/>
              </w:rPr>
            </w:r>
            <w:r>
              <w:rPr>
                <w:b w:val="0"/>
                <w:sz w:val="17"/>
              </w:rPr>
              <w:t>rv21d</w:t>
            </w:r>
          </w:p>
        </w:tc>
        <w:tc>
          <w:tcPr>
            <w:tcW w:type="dxa" w:w="5184"/>
            <w:vAlign w:val="center"/>
          </w:tcPr>
          <w:p>
            <w:pPr>
              <w:spacing w:after="0"/>
            </w:pPr>
            <w:r>
              <w:rPr>
                <w:sz w:val="17"/>
              </w:rPr>
            </w:r>
            <w:r>
              <w:rPr>
                <w:b w:val="0"/>
                <w:sz w:val="17"/>
              </w:rPr>
              <w:t>21-trading-day realized volatility market-state filter.</w:t>
            </w:r>
          </w:p>
        </w:tc>
      </w:tr>
      <w:tr>
        <w:tc>
          <w:tcPr>
            <w:tcW w:type="dxa" w:w="5184"/>
            <w:vAlign w:val="center"/>
          </w:tcPr>
          <w:p>
            <w:pPr>
              <w:spacing w:after="0"/>
            </w:pPr>
            <w:r>
              <w:rPr>
                <w:sz w:val="17"/>
              </w:rPr>
            </w:r>
            <w:r>
              <w:rPr>
                <w:b w:val="0"/>
                <w:sz w:val="17"/>
              </w:rPr>
              <w:t>rsi14</w:t>
            </w:r>
          </w:p>
        </w:tc>
        <w:tc>
          <w:tcPr>
            <w:tcW w:type="dxa" w:w="5184"/>
            <w:vAlign w:val="center"/>
          </w:tcPr>
          <w:p>
            <w:pPr>
              <w:spacing w:after="0"/>
            </w:pPr>
            <w:r>
              <w:rPr>
                <w:sz w:val="17"/>
              </w:rPr>
            </w:r>
            <w:r>
              <w:rPr>
                <w:b w:val="0"/>
                <w:sz w:val="17"/>
              </w:rPr>
              <w:t>14-day Wilder RSI on SPX close, used as a market-state filter.</w:t>
            </w:r>
          </w:p>
        </w:tc>
      </w:tr>
      <w:tr>
        <w:tc>
          <w:tcPr>
            <w:tcW w:type="dxa" w:w="5184"/>
            <w:vAlign w:val="center"/>
          </w:tcPr>
          <w:p>
            <w:pPr>
              <w:spacing w:after="0"/>
            </w:pPr>
            <w:r>
              <w:rPr>
                <w:sz w:val="17"/>
              </w:rPr>
            </w:r>
            <w:r>
              <w:rPr>
                <w:b w:val="0"/>
                <w:sz w:val="17"/>
              </w:rPr>
              <w:t>is_repaired / repair_method</w:t>
            </w:r>
          </w:p>
        </w:tc>
        <w:tc>
          <w:tcPr>
            <w:tcW w:type="dxa" w:w="5184"/>
            <w:vAlign w:val="center"/>
          </w:tcPr>
          <w:p>
            <w:pPr>
              <w:spacing w:after="0"/>
            </w:pPr>
            <w:r>
              <w:rPr>
                <w:sz w:val="17"/>
              </w:rPr>
            </w:r>
            <w:r>
              <w:rPr>
                <w:b w:val="0"/>
                <w:sz w:val="17"/>
              </w:rPr>
              <w:t>Whether the implied variance row was repaired and how.</w:t>
            </w:r>
          </w:p>
        </w:tc>
      </w:tr>
      <w:tr>
        <w:tc>
          <w:tcPr>
            <w:tcW w:type="dxa" w:w="5184"/>
            <w:vAlign w:val="center"/>
          </w:tcPr>
          <w:p>
            <w:pPr>
              <w:spacing w:after="0"/>
            </w:pPr>
            <w:r>
              <w:rPr>
                <w:sz w:val="17"/>
              </w:rPr>
            </w:r>
            <w:r>
              <w:rPr>
                <w:b w:val="0"/>
                <w:sz w:val="17"/>
              </w:rPr>
              <w:t>quote_time_used / quote_time_offset_minutes</w:t>
            </w:r>
          </w:p>
        </w:tc>
        <w:tc>
          <w:tcPr>
            <w:tcW w:type="dxa" w:w="5184"/>
            <w:vAlign w:val="center"/>
          </w:tcPr>
          <w:p>
            <w:pPr>
              <w:spacing w:after="0"/>
            </w:pPr>
            <w:r>
              <w:rPr>
                <w:sz w:val="17"/>
              </w:rPr>
            </w:r>
            <w:r>
              <w:rPr>
                <w:b w:val="0"/>
                <w:sz w:val="17"/>
              </w:rPr>
              <w:t>Quote-time audit fields for the option snapshot.</w:t>
            </w:r>
          </w:p>
        </w:tc>
      </w:tr>
    </w:tbl>
    <w:p>
      <w:pPr>
        <w:pStyle w:val="Heading1"/>
      </w:pPr>
      <w:r>
        <w:t>7. Locked 2621 signal engine</w:t>
      </w:r>
    </w:p>
    <w:p>
      <w:r>
        <w:t>Model label: locked_2621_win_band_25bps_conditional. The signal evaluates the 9-tenor feature panel and selects at most one naked ATM put trade per date.</w:t>
      </w:r>
    </w:p>
    <w:p>
      <w:pPr>
        <w:pStyle w:val="Heading2"/>
      </w:pPr>
      <w:r>
        <w:t>7.1 Core and Secondary thresholds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vAlign w:val="center"/>
            <w:shd w:fill="1F4E79"/>
          </w:tcPr>
          <w:p>
            <w:pPr>
              <w:spacing w:after="0"/>
            </w:pPr>
            <w:r>
              <w:rPr>
                <w:sz w:val="17"/>
              </w:rPr>
            </w:r>
            <w:r>
              <w:rPr>
                <w:b/>
                <w:color w:val="FFFFFF"/>
                <w:sz w:val="17"/>
              </w:rPr>
              <w:t>Layer</w:t>
            </w:r>
          </w:p>
        </w:tc>
        <w:tc>
          <w:tcPr>
            <w:tcW w:type="dxa" w:w="1481"/>
            <w:vAlign w:val="center"/>
            <w:shd w:fill="1F4E79"/>
          </w:tcPr>
          <w:p>
            <w:pPr>
              <w:spacing w:after="0"/>
            </w:pPr>
            <w:r>
              <w:rPr>
                <w:sz w:val="17"/>
              </w:rPr>
            </w:r>
            <w:r>
              <w:rPr>
                <w:b/>
                <w:color w:val="FFFFFF"/>
                <w:sz w:val="17"/>
              </w:rPr>
              <w:t>Bucket</w:t>
            </w:r>
          </w:p>
        </w:tc>
        <w:tc>
          <w:tcPr>
            <w:tcW w:type="dxa" w:w="1481"/>
            <w:vAlign w:val="center"/>
            <w:shd w:fill="1F4E79"/>
          </w:tcPr>
          <w:p>
            <w:pPr>
              <w:spacing w:after="0"/>
            </w:pPr>
            <w:r>
              <w:rPr>
                <w:sz w:val="17"/>
              </w:rPr>
            </w:r>
            <w:r>
              <w:rPr>
                <w:b/>
                <w:color w:val="FFFFFF"/>
                <w:sz w:val="17"/>
              </w:rPr>
              <w:t>VRP log</w:t>
            </w:r>
          </w:p>
        </w:tc>
        <w:tc>
          <w:tcPr>
            <w:tcW w:type="dxa" w:w="1481"/>
            <w:vAlign w:val="center"/>
            <w:shd w:fill="1F4E79"/>
          </w:tcPr>
          <w:p>
            <w:pPr>
              <w:spacing w:after="0"/>
            </w:pPr>
            <w:r>
              <w:rPr>
                <w:sz w:val="17"/>
              </w:rPr>
            </w:r>
            <w:r>
              <w:rPr>
                <w:b/>
                <w:color w:val="FFFFFF"/>
                <w:sz w:val="17"/>
              </w:rPr>
              <w:t>3m z</w:t>
            </w:r>
          </w:p>
        </w:tc>
        <w:tc>
          <w:tcPr>
            <w:tcW w:type="dxa" w:w="1481"/>
            <w:vAlign w:val="center"/>
            <w:shd w:fill="1F4E79"/>
          </w:tcPr>
          <w:p>
            <w:pPr>
              <w:spacing w:after="0"/>
            </w:pPr>
            <w:r>
              <w:rPr>
                <w:sz w:val="17"/>
              </w:rPr>
            </w:r>
            <w:r>
              <w:rPr>
                <w:b/>
                <w:color w:val="FFFFFF"/>
                <w:sz w:val="17"/>
              </w:rPr>
              <w:t>1y z</w:t>
            </w:r>
          </w:p>
        </w:tc>
        <w:tc>
          <w:tcPr>
            <w:tcW w:type="dxa" w:w="1481"/>
            <w:vAlign w:val="center"/>
            <w:shd w:fill="1F4E79"/>
          </w:tcPr>
          <w:p>
            <w:pPr>
              <w:spacing w:after="0"/>
            </w:pPr>
            <w:r>
              <w:rPr>
                <w:sz w:val="17"/>
              </w:rPr>
            </w:r>
            <w:r>
              <w:rPr>
                <w:b/>
                <w:color w:val="FFFFFF"/>
                <w:sz w:val="17"/>
              </w:rPr>
              <w:t>RSI cap</w:t>
            </w:r>
          </w:p>
        </w:tc>
        <w:tc>
          <w:tcPr>
            <w:tcW w:type="dxa" w:w="1481"/>
            <w:vAlign w:val="center"/>
            <w:shd w:fill="1F4E79"/>
          </w:tcPr>
          <w:p>
            <w:pPr>
              <w:spacing w:after="0"/>
            </w:pPr>
            <w:r>
              <w:rPr>
                <w:sz w:val="17"/>
              </w:rPr>
            </w:r>
            <w:r>
              <w:rPr>
                <w:b/>
                <w:color w:val="FFFFFF"/>
                <w:sz w:val="17"/>
              </w:rPr>
              <w:t>RV21D floor</w:t>
            </w:r>
          </w:p>
        </w:tc>
      </w:tr>
      <w:tr>
        <w:tc>
          <w:tcPr>
            <w:tcW w:type="dxa" w:w="1481"/>
            <w:vAlign w:val="center"/>
          </w:tcPr>
          <w:p>
            <w:pPr>
              <w:spacing w:after="0"/>
            </w:pPr>
            <w:r>
              <w:rPr>
                <w:sz w:val="17"/>
              </w:rPr>
            </w:r>
            <w:r>
              <w:rPr>
                <w:b w:val="0"/>
                <w:sz w:val="17"/>
              </w:rPr>
              <w:t>Core</w:t>
            </w:r>
          </w:p>
        </w:tc>
        <w:tc>
          <w:tcPr>
            <w:tcW w:type="dxa" w:w="1481"/>
            <w:vAlign w:val="center"/>
          </w:tcPr>
          <w:p>
            <w:pPr>
              <w:spacing w:after="0"/>
            </w:pPr>
            <w:r>
              <w:rPr>
                <w:sz w:val="17"/>
              </w:rPr>
            </w:r>
            <w:r>
              <w:rPr>
                <w:b w:val="0"/>
                <w:sz w:val="17"/>
              </w:rPr>
              <w:t>Front</w:t>
            </w:r>
          </w:p>
        </w:tc>
        <w:tc>
          <w:tcPr>
            <w:tcW w:type="dxa" w:w="1481"/>
            <w:vAlign w:val="center"/>
          </w:tcPr>
          <w:p>
            <w:pPr>
              <w:spacing w:after="0"/>
            </w:pPr>
            <w:r>
              <w:rPr>
                <w:sz w:val="17"/>
              </w:rPr>
            </w:r>
            <w:r>
              <w:rPr>
                <w:b w:val="0"/>
                <w:sz w:val="17"/>
              </w:rPr>
              <w:t>0.60</w:t>
            </w:r>
          </w:p>
        </w:tc>
        <w:tc>
          <w:tcPr>
            <w:tcW w:type="dxa" w:w="1481"/>
            <w:vAlign w:val="center"/>
          </w:tcPr>
          <w:p>
            <w:pPr>
              <w:spacing w:after="0"/>
            </w:pPr>
            <w:r>
              <w:rPr>
                <w:sz w:val="17"/>
              </w:rPr>
            </w:r>
            <w:r>
              <w:rPr>
                <w:b w:val="0"/>
                <w:sz w:val="17"/>
              </w:rPr>
              <w:t>0.55</w:t>
            </w:r>
          </w:p>
        </w:tc>
        <w:tc>
          <w:tcPr>
            <w:tcW w:type="dxa" w:w="1481"/>
            <w:vAlign w:val="center"/>
          </w:tcPr>
          <w:p>
            <w:pPr>
              <w:spacing w:after="0"/>
            </w:pPr>
            <w:r>
              <w:rPr>
                <w:sz w:val="17"/>
              </w:rPr>
            </w:r>
            <w:r>
              <w:rPr>
                <w:b w:val="0"/>
                <w:sz w:val="17"/>
              </w:rPr>
              <w:t>0.65</w:t>
            </w:r>
          </w:p>
        </w:tc>
        <w:tc>
          <w:tcPr>
            <w:tcW w:type="dxa" w:w="1481"/>
            <w:vAlign w:val="center"/>
          </w:tcPr>
          <w:p>
            <w:pPr>
              <w:spacing w:after="0"/>
            </w:pPr>
            <w:r>
              <w:rPr>
                <w:sz w:val="17"/>
              </w:rPr>
            </w:r>
            <w:r>
              <w:rPr>
                <w:b w:val="0"/>
                <w:sz w:val="17"/>
              </w:rPr>
              <w:t>70</w:t>
            </w:r>
          </w:p>
        </w:tc>
        <w:tc>
          <w:tcPr>
            <w:tcW w:type="dxa" w:w="1481"/>
            <w:vAlign w:val="center"/>
          </w:tcPr>
          <w:p>
            <w:pPr>
              <w:spacing w:after="0"/>
            </w:pPr>
            <w:r>
              <w:rPr>
                <w:sz w:val="17"/>
              </w:rPr>
            </w:r>
            <w:r>
              <w:rPr>
                <w:b w:val="0"/>
                <w:sz w:val="17"/>
              </w:rPr>
              <w:t>8.5</w:t>
            </w:r>
          </w:p>
        </w:tc>
      </w:tr>
      <w:tr>
        <w:tc>
          <w:tcPr>
            <w:tcW w:type="dxa" w:w="1481"/>
            <w:vAlign w:val="center"/>
          </w:tcPr>
          <w:p>
            <w:pPr>
              <w:spacing w:after="0"/>
            </w:pPr>
            <w:r>
              <w:rPr>
                <w:sz w:val="17"/>
              </w:rPr>
            </w:r>
            <w:r>
              <w:rPr>
                <w:b w:val="0"/>
                <w:sz w:val="17"/>
              </w:rPr>
              <w:t>Core</w:t>
            </w:r>
          </w:p>
        </w:tc>
        <w:tc>
          <w:tcPr>
            <w:tcW w:type="dxa" w:w="1481"/>
            <w:vAlign w:val="center"/>
          </w:tcPr>
          <w:p>
            <w:pPr>
              <w:spacing w:after="0"/>
            </w:pPr>
            <w:r>
              <w:rPr>
                <w:sz w:val="17"/>
              </w:rPr>
            </w:r>
            <w:r>
              <w:rPr>
                <w:b w:val="0"/>
                <w:sz w:val="17"/>
              </w:rPr>
              <w:t>Middle</w:t>
            </w:r>
          </w:p>
        </w:tc>
        <w:tc>
          <w:tcPr>
            <w:tcW w:type="dxa" w:w="1481"/>
            <w:vAlign w:val="center"/>
          </w:tcPr>
          <w:p>
            <w:pPr>
              <w:spacing w:after="0"/>
            </w:pPr>
            <w:r>
              <w:rPr>
                <w:sz w:val="17"/>
              </w:rPr>
            </w:r>
            <w:r>
              <w:rPr>
                <w:b w:val="0"/>
                <w:sz w:val="17"/>
              </w:rPr>
              <w:t>0.65</w:t>
            </w:r>
          </w:p>
        </w:tc>
        <w:tc>
          <w:tcPr>
            <w:tcW w:type="dxa" w:w="1481"/>
            <w:vAlign w:val="center"/>
          </w:tcPr>
          <w:p>
            <w:pPr>
              <w:spacing w:after="0"/>
            </w:pPr>
            <w:r>
              <w:rPr>
                <w:sz w:val="17"/>
              </w:rPr>
            </w:r>
            <w:r>
              <w:rPr>
                <w:b w:val="0"/>
                <w:sz w:val="17"/>
              </w:rPr>
              <w:t>0.75</w:t>
            </w:r>
          </w:p>
        </w:tc>
        <w:tc>
          <w:tcPr>
            <w:tcW w:type="dxa" w:w="1481"/>
            <w:vAlign w:val="center"/>
          </w:tcPr>
          <w:p>
            <w:pPr>
              <w:spacing w:after="0"/>
            </w:pPr>
            <w:r>
              <w:rPr>
                <w:sz w:val="17"/>
              </w:rPr>
            </w:r>
            <w:r>
              <w:rPr>
                <w:b w:val="0"/>
                <w:sz w:val="17"/>
              </w:rPr>
              <w:t>0.65</w:t>
            </w:r>
          </w:p>
        </w:tc>
        <w:tc>
          <w:tcPr>
            <w:tcW w:type="dxa" w:w="1481"/>
            <w:vAlign w:val="center"/>
          </w:tcPr>
          <w:p>
            <w:pPr>
              <w:spacing w:after="0"/>
            </w:pPr>
            <w:r>
              <w:rPr>
                <w:sz w:val="17"/>
              </w:rPr>
            </w:r>
            <w:r>
              <w:rPr>
                <w:b w:val="0"/>
                <w:sz w:val="17"/>
              </w:rPr>
              <w:t>68</w:t>
            </w:r>
          </w:p>
        </w:tc>
        <w:tc>
          <w:tcPr>
            <w:tcW w:type="dxa" w:w="1481"/>
            <w:vAlign w:val="center"/>
          </w:tcPr>
          <w:p>
            <w:pPr>
              <w:spacing w:after="0"/>
            </w:pPr>
            <w:r>
              <w:rPr>
                <w:sz w:val="17"/>
              </w:rPr>
            </w:r>
            <w:r>
              <w:rPr>
                <w:b w:val="0"/>
                <w:sz w:val="17"/>
              </w:rPr>
              <w:t>8.5</w:t>
            </w:r>
          </w:p>
        </w:tc>
      </w:tr>
      <w:tr>
        <w:tc>
          <w:tcPr>
            <w:tcW w:type="dxa" w:w="1481"/>
            <w:vAlign w:val="center"/>
          </w:tcPr>
          <w:p>
            <w:pPr>
              <w:spacing w:after="0"/>
            </w:pPr>
            <w:r>
              <w:rPr>
                <w:sz w:val="17"/>
              </w:rPr>
            </w:r>
            <w:r>
              <w:rPr>
                <w:b w:val="0"/>
                <w:sz w:val="17"/>
              </w:rPr>
              <w:t>Core</w:t>
            </w:r>
          </w:p>
        </w:tc>
        <w:tc>
          <w:tcPr>
            <w:tcW w:type="dxa" w:w="1481"/>
            <w:vAlign w:val="center"/>
          </w:tcPr>
          <w:p>
            <w:pPr>
              <w:spacing w:after="0"/>
            </w:pPr>
            <w:r>
              <w:rPr>
                <w:sz w:val="17"/>
              </w:rPr>
            </w:r>
            <w:r>
              <w:rPr>
                <w:b w:val="0"/>
                <w:sz w:val="17"/>
              </w:rPr>
              <w:t>Back</w:t>
            </w:r>
          </w:p>
        </w:tc>
        <w:tc>
          <w:tcPr>
            <w:tcW w:type="dxa" w:w="1481"/>
            <w:vAlign w:val="center"/>
          </w:tcPr>
          <w:p>
            <w:pPr>
              <w:spacing w:after="0"/>
            </w:pPr>
            <w:r>
              <w:rPr>
                <w:sz w:val="17"/>
              </w:rPr>
            </w:r>
            <w:r>
              <w:rPr>
                <w:b w:val="0"/>
                <w:sz w:val="17"/>
              </w:rPr>
              <w:t>0.70</w:t>
            </w:r>
          </w:p>
        </w:tc>
        <w:tc>
          <w:tcPr>
            <w:tcW w:type="dxa" w:w="1481"/>
            <w:vAlign w:val="center"/>
          </w:tcPr>
          <w:p>
            <w:pPr>
              <w:spacing w:after="0"/>
            </w:pPr>
            <w:r>
              <w:rPr>
                <w:sz w:val="17"/>
              </w:rPr>
            </w:r>
            <w:r>
              <w:rPr>
                <w:b w:val="0"/>
                <w:sz w:val="17"/>
              </w:rPr>
              <w:t>0.75</w:t>
            </w:r>
          </w:p>
        </w:tc>
        <w:tc>
          <w:tcPr>
            <w:tcW w:type="dxa" w:w="1481"/>
            <w:vAlign w:val="center"/>
          </w:tcPr>
          <w:p>
            <w:pPr>
              <w:spacing w:after="0"/>
            </w:pPr>
            <w:r>
              <w:rPr>
                <w:sz w:val="17"/>
              </w:rPr>
            </w:r>
            <w:r>
              <w:rPr>
                <w:b w:val="0"/>
                <w:sz w:val="17"/>
              </w:rPr>
              <w:t>0.75</w:t>
            </w:r>
          </w:p>
        </w:tc>
        <w:tc>
          <w:tcPr>
            <w:tcW w:type="dxa" w:w="1481"/>
            <w:vAlign w:val="center"/>
          </w:tcPr>
          <w:p>
            <w:pPr>
              <w:spacing w:after="0"/>
            </w:pPr>
            <w:r>
              <w:rPr>
                <w:sz w:val="17"/>
              </w:rPr>
            </w:r>
            <w:r>
              <w:rPr>
                <w:b w:val="0"/>
                <w:sz w:val="17"/>
              </w:rPr>
              <w:t>66</w:t>
            </w:r>
          </w:p>
        </w:tc>
        <w:tc>
          <w:tcPr>
            <w:tcW w:type="dxa" w:w="1481"/>
            <w:vAlign w:val="center"/>
          </w:tcPr>
          <w:p>
            <w:pPr>
              <w:spacing w:after="0"/>
            </w:pPr>
            <w:r>
              <w:rPr>
                <w:sz w:val="17"/>
              </w:rPr>
            </w:r>
            <w:r>
              <w:rPr>
                <w:b w:val="0"/>
                <w:sz w:val="17"/>
              </w:rPr>
              <w:t>8.5</w:t>
            </w:r>
          </w:p>
        </w:tc>
      </w:tr>
      <w:tr>
        <w:tc>
          <w:tcPr>
            <w:tcW w:type="dxa" w:w="1481"/>
            <w:vAlign w:val="center"/>
          </w:tcPr>
          <w:p>
            <w:pPr>
              <w:spacing w:after="0"/>
            </w:pPr>
            <w:r>
              <w:rPr>
                <w:sz w:val="17"/>
              </w:rPr>
            </w:r>
            <w:r>
              <w:rPr>
                <w:b w:val="0"/>
                <w:sz w:val="17"/>
              </w:rPr>
              <w:t>Secondary</w:t>
            </w:r>
          </w:p>
        </w:tc>
        <w:tc>
          <w:tcPr>
            <w:tcW w:type="dxa" w:w="1481"/>
            <w:vAlign w:val="center"/>
          </w:tcPr>
          <w:p>
            <w:pPr>
              <w:spacing w:after="0"/>
            </w:pPr>
            <w:r>
              <w:rPr>
                <w:sz w:val="17"/>
              </w:rPr>
            </w:r>
            <w:r>
              <w:rPr>
                <w:b w:val="0"/>
                <w:sz w:val="17"/>
              </w:rPr>
              <w:t>Front</w:t>
            </w:r>
          </w:p>
        </w:tc>
        <w:tc>
          <w:tcPr>
            <w:tcW w:type="dxa" w:w="1481"/>
            <w:vAlign w:val="center"/>
          </w:tcPr>
          <w:p>
            <w:pPr>
              <w:spacing w:after="0"/>
            </w:pPr>
            <w:r>
              <w:rPr>
                <w:sz w:val="17"/>
              </w:rPr>
            </w:r>
            <w:r>
              <w:rPr>
                <w:b w:val="0"/>
                <w:sz w:val="17"/>
              </w:rPr>
              <w:t>0.60</w:t>
            </w:r>
          </w:p>
        </w:tc>
        <w:tc>
          <w:tcPr>
            <w:tcW w:type="dxa" w:w="1481"/>
            <w:vAlign w:val="center"/>
          </w:tcPr>
          <w:p>
            <w:pPr>
              <w:spacing w:after="0"/>
            </w:pPr>
            <w:r>
              <w:rPr>
                <w:sz w:val="17"/>
              </w:rPr>
            </w:r>
            <w:r>
              <w:rPr>
                <w:b w:val="0"/>
                <w:sz w:val="17"/>
              </w:rPr>
              <w:t>0.50</w:t>
            </w:r>
          </w:p>
        </w:tc>
        <w:tc>
          <w:tcPr>
            <w:tcW w:type="dxa" w:w="1481"/>
            <w:vAlign w:val="center"/>
          </w:tcPr>
          <w:p>
            <w:pPr>
              <w:spacing w:after="0"/>
            </w:pPr>
            <w:r>
              <w:rPr>
                <w:sz w:val="17"/>
              </w:rPr>
            </w:r>
            <w:r>
              <w:rPr>
                <w:b w:val="0"/>
                <w:sz w:val="17"/>
              </w:rPr>
              <w:t>0.40</w:t>
            </w:r>
          </w:p>
        </w:tc>
        <w:tc>
          <w:tcPr>
            <w:tcW w:type="dxa" w:w="1481"/>
            <w:vAlign w:val="center"/>
          </w:tcPr>
          <w:p>
            <w:pPr>
              <w:spacing w:after="0"/>
            </w:pPr>
            <w:r>
              <w:rPr>
                <w:sz w:val="17"/>
              </w:rPr>
            </w:r>
            <w:r>
              <w:rPr>
                <w:b w:val="0"/>
                <w:sz w:val="17"/>
              </w:rPr>
              <w:t>74</w:t>
            </w:r>
          </w:p>
        </w:tc>
        <w:tc>
          <w:tcPr>
            <w:tcW w:type="dxa" w:w="1481"/>
            <w:vAlign w:val="center"/>
          </w:tcPr>
          <w:p>
            <w:pPr>
              <w:spacing w:after="0"/>
            </w:pPr>
            <w:r>
              <w:rPr>
                <w:sz w:val="17"/>
              </w:rPr>
            </w:r>
            <w:r>
              <w:rPr>
                <w:b w:val="0"/>
                <w:sz w:val="17"/>
              </w:rPr>
              <w:t>6.5</w:t>
            </w:r>
          </w:p>
        </w:tc>
      </w:tr>
      <w:tr>
        <w:tc>
          <w:tcPr>
            <w:tcW w:type="dxa" w:w="1481"/>
            <w:vAlign w:val="center"/>
          </w:tcPr>
          <w:p>
            <w:pPr>
              <w:spacing w:after="0"/>
            </w:pPr>
            <w:r>
              <w:rPr>
                <w:sz w:val="17"/>
              </w:rPr>
            </w:r>
            <w:r>
              <w:rPr>
                <w:b w:val="0"/>
                <w:sz w:val="17"/>
              </w:rPr>
              <w:t>Secondary</w:t>
            </w:r>
          </w:p>
        </w:tc>
        <w:tc>
          <w:tcPr>
            <w:tcW w:type="dxa" w:w="1481"/>
            <w:vAlign w:val="center"/>
          </w:tcPr>
          <w:p>
            <w:pPr>
              <w:spacing w:after="0"/>
            </w:pPr>
            <w:r>
              <w:rPr>
                <w:sz w:val="17"/>
              </w:rPr>
            </w:r>
            <w:r>
              <w:rPr>
                <w:b w:val="0"/>
                <w:sz w:val="17"/>
              </w:rPr>
              <w:t>Middle</w:t>
            </w:r>
          </w:p>
        </w:tc>
        <w:tc>
          <w:tcPr>
            <w:tcW w:type="dxa" w:w="1481"/>
            <w:vAlign w:val="center"/>
          </w:tcPr>
          <w:p>
            <w:pPr>
              <w:spacing w:after="0"/>
            </w:pPr>
            <w:r>
              <w:rPr>
                <w:sz w:val="17"/>
              </w:rPr>
            </w:r>
            <w:r>
              <w:rPr>
                <w:b w:val="0"/>
                <w:sz w:val="17"/>
              </w:rPr>
              <w:t>0.60</w:t>
            </w:r>
          </w:p>
        </w:tc>
        <w:tc>
          <w:tcPr>
            <w:tcW w:type="dxa" w:w="1481"/>
            <w:vAlign w:val="center"/>
          </w:tcPr>
          <w:p>
            <w:pPr>
              <w:spacing w:after="0"/>
            </w:pPr>
            <w:r>
              <w:rPr>
                <w:sz w:val="17"/>
              </w:rPr>
            </w:r>
            <w:r>
              <w:rPr>
                <w:b w:val="0"/>
                <w:sz w:val="17"/>
              </w:rPr>
              <w:t>0.50</w:t>
            </w:r>
          </w:p>
        </w:tc>
        <w:tc>
          <w:tcPr>
            <w:tcW w:type="dxa" w:w="1481"/>
            <w:vAlign w:val="center"/>
          </w:tcPr>
          <w:p>
            <w:pPr>
              <w:spacing w:after="0"/>
            </w:pPr>
            <w:r>
              <w:rPr>
                <w:sz w:val="17"/>
              </w:rPr>
            </w:r>
            <w:r>
              <w:rPr>
                <w:b w:val="0"/>
                <w:sz w:val="17"/>
              </w:rPr>
              <w:t>0.50</w:t>
            </w:r>
          </w:p>
        </w:tc>
        <w:tc>
          <w:tcPr>
            <w:tcW w:type="dxa" w:w="1481"/>
            <w:vAlign w:val="center"/>
          </w:tcPr>
          <w:p>
            <w:pPr>
              <w:spacing w:after="0"/>
            </w:pPr>
            <w:r>
              <w:rPr>
                <w:sz w:val="17"/>
              </w:rPr>
            </w:r>
            <w:r>
              <w:rPr>
                <w:b w:val="0"/>
                <w:sz w:val="17"/>
              </w:rPr>
              <w:t>70</w:t>
            </w:r>
          </w:p>
        </w:tc>
        <w:tc>
          <w:tcPr>
            <w:tcW w:type="dxa" w:w="1481"/>
            <w:vAlign w:val="center"/>
          </w:tcPr>
          <w:p>
            <w:pPr>
              <w:spacing w:after="0"/>
            </w:pPr>
            <w:r>
              <w:rPr>
                <w:sz w:val="17"/>
              </w:rPr>
            </w:r>
            <w:r>
              <w:rPr>
                <w:b w:val="0"/>
                <w:sz w:val="17"/>
              </w:rPr>
              <w:t>6.5</w:t>
            </w:r>
          </w:p>
        </w:tc>
      </w:tr>
      <w:tr>
        <w:tc>
          <w:tcPr>
            <w:tcW w:type="dxa" w:w="1481"/>
            <w:vAlign w:val="center"/>
          </w:tcPr>
          <w:p>
            <w:pPr>
              <w:spacing w:after="0"/>
            </w:pPr>
            <w:r>
              <w:rPr>
                <w:sz w:val="17"/>
              </w:rPr>
            </w:r>
            <w:r>
              <w:rPr>
                <w:b w:val="0"/>
                <w:sz w:val="17"/>
              </w:rPr>
              <w:t>Secondary</w:t>
            </w:r>
          </w:p>
        </w:tc>
        <w:tc>
          <w:tcPr>
            <w:tcW w:type="dxa" w:w="1481"/>
            <w:vAlign w:val="center"/>
          </w:tcPr>
          <w:p>
            <w:pPr>
              <w:spacing w:after="0"/>
            </w:pPr>
            <w:r>
              <w:rPr>
                <w:sz w:val="17"/>
              </w:rPr>
            </w:r>
            <w:r>
              <w:rPr>
                <w:b w:val="0"/>
                <w:sz w:val="17"/>
              </w:rPr>
              <w:t>Back</w:t>
            </w:r>
          </w:p>
        </w:tc>
        <w:tc>
          <w:tcPr>
            <w:tcW w:type="dxa" w:w="1481"/>
            <w:vAlign w:val="center"/>
          </w:tcPr>
          <w:p>
            <w:pPr>
              <w:spacing w:after="0"/>
            </w:pPr>
            <w:r>
              <w:rPr>
                <w:sz w:val="17"/>
              </w:rPr>
            </w:r>
            <w:r>
              <w:rPr>
                <w:b w:val="0"/>
                <w:sz w:val="17"/>
              </w:rPr>
              <w:t>0.70</w:t>
            </w:r>
          </w:p>
        </w:tc>
        <w:tc>
          <w:tcPr>
            <w:tcW w:type="dxa" w:w="1481"/>
            <w:vAlign w:val="center"/>
          </w:tcPr>
          <w:p>
            <w:pPr>
              <w:spacing w:after="0"/>
            </w:pPr>
            <w:r>
              <w:rPr>
                <w:sz w:val="17"/>
              </w:rPr>
            </w:r>
            <w:r>
              <w:rPr>
                <w:b w:val="0"/>
                <w:sz w:val="17"/>
              </w:rPr>
              <w:t>0.50</w:t>
            </w:r>
          </w:p>
        </w:tc>
        <w:tc>
          <w:tcPr>
            <w:tcW w:type="dxa" w:w="1481"/>
            <w:vAlign w:val="center"/>
          </w:tcPr>
          <w:p>
            <w:pPr>
              <w:spacing w:after="0"/>
            </w:pPr>
            <w:r>
              <w:rPr>
                <w:sz w:val="17"/>
              </w:rPr>
            </w:r>
            <w:r>
              <w:rPr>
                <w:b w:val="0"/>
                <w:sz w:val="17"/>
              </w:rPr>
              <w:t>0.50</w:t>
            </w:r>
          </w:p>
        </w:tc>
        <w:tc>
          <w:tcPr>
            <w:tcW w:type="dxa" w:w="1481"/>
            <w:vAlign w:val="center"/>
          </w:tcPr>
          <w:p>
            <w:pPr>
              <w:spacing w:after="0"/>
            </w:pPr>
            <w:r>
              <w:rPr>
                <w:sz w:val="17"/>
              </w:rPr>
            </w:r>
            <w:r>
              <w:rPr>
                <w:b w:val="0"/>
                <w:sz w:val="17"/>
              </w:rPr>
              <w:t>68</w:t>
            </w:r>
          </w:p>
        </w:tc>
        <w:tc>
          <w:tcPr>
            <w:tcW w:type="dxa" w:w="1481"/>
            <w:vAlign w:val="center"/>
          </w:tcPr>
          <w:p>
            <w:pPr>
              <w:spacing w:after="0"/>
            </w:pPr>
            <w:r>
              <w:rPr>
                <w:sz w:val="17"/>
              </w:rPr>
            </w:r>
            <w:r>
              <w:rPr>
                <w:b w:val="0"/>
                <w:sz w:val="17"/>
              </w:rPr>
              <w:t>6.5</w:t>
            </w:r>
          </w:p>
        </w:tc>
      </w:tr>
    </w:tbl>
    <w:p>
      <w:pPr>
        <w:pStyle w:val="Heading2"/>
      </w:pPr>
      <w:r>
        <w:t>7.2 Selection logic</w:t>
      </w:r>
    </w:p>
    <w:p>
      <w:pPr>
        <w:pStyle w:val="ListNumber"/>
      </w:pPr>
      <w:r>
        <w:t>Evaluate all Core tenors against their bucket-specific thresholds.</w:t>
      </w:r>
    </w:p>
    <w:p>
      <w:pPr>
        <w:pStyle w:val="ListNumber"/>
      </w:pPr>
      <w:r>
        <w:t>If one or more Core tenors qualify, ignore Secondary entirely.</w:t>
      </w:r>
    </w:p>
    <w:p>
      <w:pPr>
        <w:pStyle w:val="ListNumber"/>
      </w:pPr>
      <w:r>
        <w:t>If no Core tenor qualifies, evaluate Secondary tenors.</w:t>
      </w:r>
    </w:p>
    <w:p>
      <w:pPr>
        <w:pStyle w:val="ListNumber"/>
      </w:pPr>
      <w:r>
        <w:t>Within the active layer, rank qualifying tenors by conditional win probability.</w:t>
      </w:r>
    </w:p>
    <w:p>
      <w:pPr>
        <w:pStyle w:val="ListNumber"/>
      </w:pPr>
      <w:r>
        <w:t>Keep tenors within 25 basis points of the best conditional win probability.</w:t>
      </w:r>
    </w:p>
    <w:p>
      <w:pPr>
        <w:pStyle w:val="ListNumber"/>
      </w:pPr>
      <w:r>
        <w:t>Choose the tenor in that near-tie set with the highest conditional average P&amp;L per day.</w:t>
      </w:r>
    </w:p>
    <w:p>
      <w:pPr>
        <w:pStyle w:val="ListNumber"/>
      </w:pPr>
      <w:r>
        <w:t>Remaining ties are broken by aggregate P&amp;L per day, conditional win probability, and then longer tenor.</w:t>
      </w:r>
    </w:p>
    <w:p>
      <w:pPr>
        <w:pStyle w:val="Heading2"/>
      </w:pPr>
      <w:r>
        <w:t>7.3 Sizing schedule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1F4E79"/>
          </w:tcPr>
          <w:p>
            <w:pPr>
              <w:spacing w:after="0"/>
            </w:pPr>
            <w:r>
              <w:rPr>
                <w:sz w:val="17"/>
              </w:rPr>
            </w:r>
            <w:r>
              <w:rPr>
                <w:b/>
                <w:color w:val="FFFFFF"/>
                <w:sz w:val="17"/>
              </w:rPr>
              <w:t>Layer</w:t>
            </w:r>
          </w:p>
        </w:tc>
        <w:tc>
          <w:tcPr>
            <w:tcW w:type="dxa" w:w="3456"/>
            <w:vAlign w:val="center"/>
            <w:shd w:fill="1F4E79"/>
          </w:tcPr>
          <w:p>
            <w:pPr>
              <w:spacing w:after="0"/>
            </w:pPr>
            <w:r>
              <w:rPr>
                <w:sz w:val="17"/>
              </w:rPr>
            </w:r>
            <w:r>
              <w:rPr>
                <w:b/>
                <w:color w:val="FFFFFF"/>
                <w:sz w:val="17"/>
              </w:rPr>
              <w:t>Bucket</w:t>
            </w:r>
          </w:p>
        </w:tc>
        <w:tc>
          <w:tcPr>
            <w:tcW w:type="dxa" w:w="3456"/>
            <w:vAlign w:val="center"/>
            <w:shd w:fill="1F4E79"/>
          </w:tcPr>
          <w:p>
            <w:pPr>
              <w:spacing w:after="0"/>
            </w:pPr>
            <w:r>
              <w:rPr>
                <w:sz w:val="17"/>
              </w:rPr>
            </w:r>
            <w:r>
              <w:rPr>
                <w:b/>
                <w:color w:val="FFFFFF"/>
                <w:sz w:val="17"/>
              </w:rPr>
              <w:t>Max-risk fraction at inception</w:t>
            </w:r>
          </w:p>
        </w:tc>
      </w:tr>
      <w:tr>
        <w:tc>
          <w:tcPr>
            <w:tcW w:type="dxa" w:w="3456"/>
            <w:vAlign w:val="center"/>
          </w:tcPr>
          <w:p>
            <w:pPr>
              <w:spacing w:after="0"/>
            </w:pPr>
            <w:r>
              <w:rPr>
                <w:sz w:val="17"/>
              </w:rPr>
            </w:r>
            <w:r>
              <w:rPr>
                <w:b w:val="0"/>
                <w:sz w:val="17"/>
              </w:rPr>
              <w:t>Core</w:t>
            </w:r>
          </w:p>
        </w:tc>
        <w:tc>
          <w:tcPr>
            <w:tcW w:type="dxa" w:w="3456"/>
            <w:vAlign w:val="center"/>
          </w:tcPr>
          <w:p>
            <w:pPr>
              <w:spacing w:after="0"/>
            </w:pPr>
            <w:r>
              <w:rPr>
                <w:sz w:val="17"/>
              </w:rPr>
            </w:r>
            <w:r>
              <w:rPr>
                <w:b w:val="0"/>
                <w:sz w:val="17"/>
              </w:rPr>
              <w:t>Back</w:t>
            </w:r>
          </w:p>
        </w:tc>
        <w:tc>
          <w:tcPr>
            <w:tcW w:type="dxa" w:w="3456"/>
            <w:vAlign w:val="center"/>
          </w:tcPr>
          <w:p>
            <w:pPr>
              <w:spacing w:after="0"/>
            </w:pPr>
            <w:r>
              <w:rPr>
                <w:sz w:val="17"/>
              </w:rPr>
            </w:r>
            <w:r>
              <w:rPr>
                <w:b w:val="0"/>
                <w:sz w:val="17"/>
              </w:rPr>
              <w:t>5.00%</w:t>
            </w:r>
          </w:p>
        </w:tc>
      </w:tr>
      <w:tr>
        <w:tc>
          <w:tcPr>
            <w:tcW w:type="dxa" w:w="3456"/>
            <w:vAlign w:val="center"/>
          </w:tcPr>
          <w:p>
            <w:pPr>
              <w:spacing w:after="0"/>
            </w:pPr>
            <w:r>
              <w:rPr>
                <w:sz w:val="17"/>
              </w:rPr>
            </w:r>
            <w:r>
              <w:rPr>
                <w:b w:val="0"/>
                <w:sz w:val="17"/>
              </w:rPr>
              <w:t>Core</w:t>
            </w:r>
          </w:p>
        </w:tc>
        <w:tc>
          <w:tcPr>
            <w:tcW w:type="dxa" w:w="3456"/>
            <w:vAlign w:val="center"/>
          </w:tcPr>
          <w:p>
            <w:pPr>
              <w:spacing w:after="0"/>
            </w:pPr>
            <w:r>
              <w:rPr>
                <w:sz w:val="17"/>
              </w:rPr>
            </w:r>
            <w:r>
              <w:rPr>
                <w:b w:val="0"/>
                <w:sz w:val="17"/>
              </w:rPr>
              <w:t>Middle</w:t>
            </w:r>
          </w:p>
        </w:tc>
        <w:tc>
          <w:tcPr>
            <w:tcW w:type="dxa" w:w="3456"/>
            <w:vAlign w:val="center"/>
          </w:tcPr>
          <w:p>
            <w:pPr>
              <w:spacing w:after="0"/>
            </w:pPr>
            <w:r>
              <w:rPr>
                <w:sz w:val="17"/>
              </w:rPr>
            </w:r>
            <w:r>
              <w:rPr>
                <w:b w:val="0"/>
                <w:sz w:val="17"/>
              </w:rPr>
              <w:t>4.85%</w:t>
            </w:r>
          </w:p>
        </w:tc>
      </w:tr>
      <w:tr>
        <w:tc>
          <w:tcPr>
            <w:tcW w:type="dxa" w:w="3456"/>
            <w:vAlign w:val="center"/>
          </w:tcPr>
          <w:p>
            <w:pPr>
              <w:spacing w:after="0"/>
            </w:pPr>
            <w:r>
              <w:rPr>
                <w:sz w:val="17"/>
              </w:rPr>
            </w:r>
            <w:r>
              <w:rPr>
                <w:b w:val="0"/>
                <w:sz w:val="17"/>
              </w:rPr>
              <w:t>Core</w:t>
            </w:r>
          </w:p>
        </w:tc>
        <w:tc>
          <w:tcPr>
            <w:tcW w:type="dxa" w:w="3456"/>
            <w:vAlign w:val="center"/>
          </w:tcPr>
          <w:p>
            <w:pPr>
              <w:spacing w:after="0"/>
            </w:pPr>
            <w:r>
              <w:rPr>
                <w:sz w:val="17"/>
              </w:rPr>
            </w:r>
            <w:r>
              <w:rPr>
                <w:b w:val="0"/>
                <w:sz w:val="17"/>
              </w:rPr>
              <w:t>Front</w:t>
            </w:r>
          </w:p>
        </w:tc>
        <w:tc>
          <w:tcPr>
            <w:tcW w:type="dxa" w:w="3456"/>
            <w:vAlign w:val="center"/>
          </w:tcPr>
          <w:p>
            <w:pPr>
              <w:spacing w:after="0"/>
            </w:pPr>
            <w:r>
              <w:rPr>
                <w:sz w:val="17"/>
              </w:rPr>
            </w:r>
            <w:r>
              <w:rPr>
                <w:b w:val="0"/>
                <w:sz w:val="17"/>
              </w:rPr>
              <w:t>1.75%</w:t>
            </w:r>
          </w:p>
        </w:tc>
      </w:tr>
      <w:tr>
        <w:tc>
          <w:tcPr>
            <w:tcW w:type="dxa" w:w="3456"/>
            <w:vAlign w:val="center"/>
          </w:tcPr>
          <w:p>
            <w:pPr>
              <w:spacing w:after="0"/>
            </w:pPr>
            <w:r>
              <w:rPr>
                <w:sz w:val="17"/>
              </w:rPr>
            </w:r>
            <w:r>
              <w:rPr>
                <w:b w:val="0"/>
                <w:sz w:val="17"/>
              </w:rPr>
              <w:t>Secondary</w:t>
            </w:r>
          </w:p>
        </w:tc>
        <w:tc>
          <w:tcPr>
            <w:tcW w:type="dxa" w:w="3456"/>
            <w:vAlign w:val="center"/>
          </w:tcPr>
          <w:p>
            <w:pPr>
              <w:spacing w:after="0"/>
            </w:pPr>
            <w:r>
              <w:rPr>
                <w:sz w:val="17"/>
              </w:rPr>
            </w:r>
            <w:r>
              <w:rPr>
                <w:b w:val="0"/>
                <w:sz w:val="17"/>
              </w:rPr>
              <w:t>Back</w:t>
            </w:r>
          </w:p>
        </w:tc>
        <w:tc>
          <w:tcPr>
            <w:tcW w:type="dxa" w:w="3456"/>
            <w:vAlign w:val="center"/>
          </w:tcPr>
          <w:p>
            <w:pPr>
              <w:spacing w:after="0"/>
            </w:pPr>
            <w:r>
              <w:rPr>
                <w:sz w:val="17"/>
              </w:rPr>
            </w:r>
            <w:r>
              <w:rPr>
                <w:b w:val="0"/>
                <w:sz w:val="17"/>
              </w:rPr>
              <w:t>4.50%</w:t>
            </w:r>
          </w:p>
        </w:tc>
      </w:tr>
      <w:tr>
        <w:tc>
          <w:tcPr>
            <w:tcW w:type="dxa" w:w="3456"/>
            <w:vAlign w:val="center"/>
          </w:tcPr>
          <w:p>
            <w:pPr>
              <w:spacing w:after="0"/>
            </w:pPr>
            <w:r>
              <w:rPr>
                <w:sz w:val="17"/>
              </w:rPr>
            </w:r>
            <w:r>
              <w:rPr>
                <w:b w:val="0"/>
                <w:sz w:val="17"/>
              </w:rPr>
              <w:t>Secondary</w:t>
            </w:r>
          </w:p>
        </w:tc>
        <w:tc>
          <w:tcPr>
            <w:tcW w:type="dxa" w:w="3456"/>
            <w:vAlign w:val="center"/>
          </w:tcPr>
          <w:p>
            <w:pPr>
              <w:spacing w:after="0"/>
            </w:pPr>
            <w:r>
              <w:rPr>
                <w:sz w:val="17"/>
              </w:rPr>
            </w:r>
            <w:r>
              <w:rPr>
                <w:b w:val="0"/>
                <w:sz w:val="17"/>
              </w:rPr>
              <w:t>Middle</w:t>
            </w:r>
          </w:p>
        </w:tc>
        <w:tc>
          <w:tcPr>
            <w:tcW w:type="dxa" w:w="3456"/>
            <w:vAlign w:val="center"/>
          </w:tcPr>
          <w:p>
            <w:pPr>
              <w:spacing w:after="0"/>
            </w:pPr>
            <w:r>
              <w:rPr>
                <w:sz w:val="17"/>
              </w:rPr>
            </w:r>
            <w:r>
              <w:rPr>
                <w:b w:val="0"/>
                <w:sz w:val="17"/>
              </w:rPr>
              <w:t>3.25%</w:t>
            </w:r>
          </w:p>
        </w:tc>
      </w:tr>
      <w:tr>
        <w:tc>
          <w:tcPr>
            <w:tcW w:type="dxa" w:w="3456"/>
            <w:vAlign w:val="center"/>
          </w:tcPr>
          <w:p>
            <w:pPr>
              <w:spacing w:after="0"/>
            </w:pPr>
            <w:r>
              <w:rPr>
                <w:sz w:val="17"/>
              </w:rPr>
            </w:r>
            <w:r>
              <w:rPr>
                <w:b w:val="0"/>
                <w:sz w:val="17"/>
              </w:rPr>
              <w:t>Secondary</w:t>
            </w:r>
          </w:p>
        </w:tc>
        <w:tc>
          <w:tcPr>
            <w:tcW w:type="dxa" w:w="3456"/>
            <w:vAlign w:val="center"/>
          </w:tcPr>
          <w:p>
            <w:pPr>
              <w:spacing w:after="0"/>
            </w:pPr>
            <w:r>
              <w:rPr>
                <w:sz w:val="17"/>
              </w:rPr>
            </w:r>
            <w:r>
              <w:rPr>
                <w:b w:val="0"/>
                <w:sz w:val="17"/>
              </w:rPr>
              <w:t>Front</w:t>
            </w:r>
          </w:p>
        </w:tc>
        <w:tc>
          <w:tcPr>
            <w:tcW w:type="dxa" w:w="3456"/>
            <w:vAlign w:val="center"/>
          </w:tcPr>
          <w:p>
            <w:pPr>
              <w:spacing w:after="0"/>
            </w:pPr>
            <w:r>
              <w:rPr>
                <w:sz w:val="17"/>
              </w:rPr>
            </w:r>
            <w:r>
              <w:rPr>
                <w:b w:val="0"/>
                <w:sz w:val="17"/>
              </w:rPr>
              <w:t>1.75%</w:t>
            </w:r>
          </w:p>
        </w:tc>
      </w:tr>
    </w:tbl>
    <w:p>
      <w:r>
        <w:t>Sizing is max risk at inception. It is not premium received, broker margin, expected loss, or a portfolio-level stress cap. Portfolio overlap, stress caps, hedging, and trade approval are separate manual risk-management layers for v1.</w:t>
      </w:r>
    </w:p>
    <w:p>
      <w:pPr>
        <w:pStyle w:val="Heading2"/>
      </w:pPr>
      <w:r>
        <w:t>7.4 Backtest reference result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shd w:fill="1F4E79"/>
          </w:tcPr>
          <w:p>
            <w:pPr>
              <w:spacing w:after="0"/>
            </w:pPr>
            <w:r>
              <w:rPr>
                <w:sz w:val="17"/>
              </w:rPr>
            </w:r>
            <w:r>
              <w:rPr>
                <w:b/>
                <w:color w:val="FFFFFF"/>
                <w:sz w:val="17"/>
              </w:rPr>
              <w:t>Metric</w:t>
            </w:r>
          </w:p>
        </w:tc>
        <w:tc>
          <w:tcPr>
            <w:tcW w:type="dxa" w:w="5184"/>
            <w:vAlign w:val="center"/>
            <w:shd w:fill="1F4E79"/>
          </w:tcPr>
          <w:p>
            <w:pPr>
              <w:spacing w:after="0"/>
            </w:pPr>
            <w:r>
              <w:rPr>
                <w:sz w:val="17"/>
              </w:rPr>
            </w:r>
            <w:r>
              <w:rPr>
                <w:b/>
                <w:color w:val="FFFFFF"/>
                <w:sz w:val="17"/>
              </w:rPr>
              <w:t>Locked result</w:t>
            </w:r>
          </w:p>
        </w:tc>
      </w:tr>
      <w:tr>
        <w:tc>
          <w:tcPr>
            <w:tcW w:type="dxa" w:w="5184"/>
            <w:vAlign w:val="center"/>
          </w:tcPr>
          <w:p>
            <w:pPr>
              <w:spacing w:after="0"/>
            </w:pPr>
            <w:r>
              <w:rPr>
                <w:sz w:val="17"/>
              </w:rPr>
            </w:r>
            <w:r>
              <w:rPr>
                <w:b w:val="0"/>
                <w:sz w:val="17"/>
              </w:rPr>
              <w:t>Selected trades</w:t>
            </w:r>
          </w:p>
        </w:tc>
        <w:tc>
          <w:tcPr>
            <w:tcW w:type="dxa" w:w="5184"/>
            <w:vAlign w:val="center"/>
          </w:tcPr>
          <w:p>
            <w:pPr>
              <w:spacing w:after="0"/>
            </w:pPr>
            <w:r>
              <w:rPr>
                <w:sz w:val="17"/>
              </w:rPr>
            </w:r>
            <w:r>
              <w:rPr>
                <w:b w:val="0"/>
                <w:sz w:val="17"/>
              </w:rPr>
              <w:t>577</w:t>
            </w:r>
          </w:p>
        </w:tc>
      </w:tr>
      <w:tr>
        <w:tc>
          <w:tcPr>
            <w:tcW w:type="dxa" w:w="5184"/>
            <w:vAlign w:val="center"/>
          </w:tcPr>
          <w:p>
            <w:pPr>
              <w:spacing w:after="0"/>
            </w:pPr>
            <w:r>
              <w:rPr>
                <w:sz w:val="17"/>
              </w:rPr>
            </w:r>
            <w:r>
              <w:rPr>
                <w:b w:val="0"/>
                <w:sz w:val="17"/>
              </w:rPr>
              <w:t>Win rate</w:t>
            </w:r>
          </w:p>
        </w:tc>
        <w:tc>
          <w:tcPr>
            <w:tcW w:type="dxa" w:w="5184"/>
            <w:vAlign w:val="center"/>
          </w:tcPr>
          <w:p>
            <w:pPr>
              <w:spacing w:after="0"/>
            </w:pPr>
            <w:r>
              <w:rPr>
                <w:sz w:val="17"/>
              </w:rPr>
            </w:r>
            <w:r>
              <w:rPr>
                <w:b w:val="0"/>
                <w:sz w:val="17"/>
              </w:rPr>
              <w:t>83.19%</w:t>
            </w:r>
          </w:p>
        </w:tc>
      </w:tr>
      <w:tr>
        <w:tc>
          <w:tcPr>
            <w:tcW w:type="dxa" w:w="5184"/>
            <w:vAlign w:val="center"/>
          </w:tcPr>
          <w:p>
            <w:pPr>
              <w:spacing w:after="0"/>
            </w:pPr>
            <w:r>
              <w:rPr>
                <w:sz w:val="17"/>
              </w:rPr>
            </w:r>
            <w:r>
              <w:rPr>
                <w:b w:val="0"/>
                <w:sz w:val="17"/>
              </w:rPr>
              <w:t>Constant $1mm NAV total sized P&amp;L</w:t>
            </w:r>
          </w:p>
        </w:tc>
        <w:tc>
          <w:tcPr>
            <w:tcW w:type="dxa" w:w="5184"/>
            <w:vAlign w:val="center"/>
          </w:tcPr>
          <w:p>
            <w:pPr>
              <w:spacing w:after="0"/>
            </w:pPr>
            <w:r>
              <w:rPr>
                <w:sz w:val="17"/>
              </w:rPr>
            </w:r>
            <w:r>
              <w:rPr>
                <w:b w:val="0"/>
                <w:sz w:val="17"/>
              </w:rPr>
              <w:t>Approximately $2.13mm</w:t>
            </w:r>
          </w:p>
        </w:tc>
      </w:tr>
      <w:tr>
        <w:tc>
          <w:tcPr>
            <w:tcW w:type="dxa" w:w="5184"/>
            <w:vAlign w:val="center"/>
          </w:tcPr>
          <w:p>
            <w:pPr>
              <w:spacing w:after="0"/>
            </w:pPr>
            <w:r>
              <w:rPr>
                <w:sz w:val="17"/>
              </w:rPr>
            </w:r>
            <w:r>
              <w:rPr>
                <w:b w:val="0"/>
                <w:sz w:val="17"/>
              </w:rPr>
              <w:t>Constant $1mm NAV max drawdown</w:t>
            </w:r>
          </w:p>
        </w:tc>
        <w:tc>
          <w:tcPr>
            <w:tcW w:type="dxa" w:w="5184"/>
            <w:vAlign w:val="center"/>
          </w:tcPr>
          <w:p>
            <w:pPr>
              <w:spacing w:after="0"/>
            </w:pPr>
            <w:r>
              <w:rPr>
                <w:sz w:val="17"/>
              </w:rPr>
            </w:r>
            <w:r>
              <w:rPr>
                <w:b w:val="0"/>
                <w:sz w:val="17"/>
              </w:rPr>
              <w:t>Approximately -$139,954 / -14.00%</w:t>
            </w:r>
          </w:p>
        </w:tc>
      </w:tr>
      <w:tr>
        <w:tc>
          <w:tcPr>
            <w:tcW w:type="dxa" w:w="5184"/>
            <w:vAlign w:val="center"/>
          </w:tcPr>
          <w:p>
            <w:pPr>
              <w:spacing w:after="0"/>
            </w:pPr>
            <w:r>
              <w:rPr>
                <w:sz w:val="17"/>
              </w:rPr>
            </w:r>
            <w:r>
              <w:rPr>
                <w:b w:val="0"/>
                <w:sz w:val="17"/>
              </w:rPr>
              <w:t>Selected entry date range</w:t>
            </w:r>
          </w:p>
        </w:tc>
        <w:tc>
          <w:tcPr>
            <w:tcW w:type="dxa" w:w="5184"/>
            <w:vAlign w:val="center"/>
          </w:tcPr>
          <w:p>
            <w:pPr>
              <w:spacing w:after="0"/>
            </w:pPr>
            <w:r>
              <w:rPr>
                <w:sz w:val="17"/>
              </w:rPr>
            </w:r>
            <w:r>
              <w:rPr>
                <w:b w:val="0"/>
                <w:sz w:val="17"/>
              </w:rPr>
              <w:t>2019-07-17 through 2026-03-30</w:t>
            </w:r>
          </w:p>
        </w:tc>
      </w:tr>
    </w:tbl>
    <w:p>
      <w:pPr>
        <w:pStyle w:val="Heading1"/>
      </w:pPr>
      <w:r>
        <w:t>8. Production run steps built so far</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1F4E79"/>
          </w:tcPr>
          <w:p>
            <w:pPr>
              <w:spacing w:after="0"/>
            </w:pPr>
            <w:r>
              <w:rPr>
                <w:sz w:val="17"/>
              </w:rPr>
            </w:r>
            <w:r>
              <w:rPr>
                <w:b/>
                <w:color w:val="FFFFFF"/>
                <w:sz w:val="17"/>
              </w:rPr>
              <w:t>Step</w:t>
            </w:r>
          </w:p>
        </w:tc>
        <w:tc>
          <w:tcPr>
            <w:tcW w:type="dxa" w:w="2592"/>
            <w:vAlign w:val="center"/>
            <w:shd w:fill="1F4E79"/>
          </w:tcPr>
          <w:p>
            <w:pPr>
              <w:spacing w:after="0"/>
            </w:pPr>
            <w:r>
              <w:rPr>
                <w:sz w:val="17"/>
              </w:rPr>
            </w:r>
            <w:r>
              <w:rPr>
                <w:b/>
                <w:color w:val="FFFFFF"/>
                <w:sz w:val="17"/>
              </w:rPr>
              <w:t>Name</w:t>
            </w:r>
          </w:p>
        </w:tc>
        <w:tc>
          <w:tcPr>
            <w:tcW w:type="dxa" w:w="2592"/>
            <w:vAlign w:val="center"/>
            <w:shd w:fill="1F4E79"/>
          </w:tcPr>
          <w:p>
            <w:pPr>
              <w:spacing w:after="0"/>
            </w:pPr>
            <w:r>
              <w:rPr>
                <w:sz w:val="17"/>
              </w:rPr>
            </w:r>
            <w:r>
              <w:rPr>
                <w:b/>
                <w:color w:val="FFFFFF"/>
                <w:sz w:val="17"/>
              </w:rPr>
              <w:t>Purpose</w:t>
            </w:r>
          </w:p>
        </w:tc>
        <w:tc>
          <w:tcPr>
            <w:tcW w:type="dxa" w:w="2592"/>
            <w:vAlign w:val="center"/>
            <w:shd w:fill="1F4E79"/>
          </w:tcPr>
          <w:p>
            <w:pPr>
              <w:spacing w:after="0"/>
            </w:pPr>
            <w:r>
              <w:rPr>
                <w:sz w:val="17"/>
              </w:rPr>
            </w:r>
            <w:r>
              <w:rPr>
                <w:b/>
                <w:color w:val="FFFFFF"/>
                <w:sz w:val="17"/>
              </w:rPr>
              <w:t>Promotes official files?</w:t>
            </w:r>
          </w:p>
        </w:tc>
      </w:tr>
      <w:tr>
        <w:tc>
          <w:tcPr>
            <w:tcW w:type="dxa" w:w="2592"/>
            <w:vAlign w:val="center"/>
          </w:tcPr>
          <w:p>
            <w:pPr>
              <w:spacing w:after="0"/>
            </w:pPr>
            <w:r>
              <w:rPr>
                <w:sz w:val="17"/>
              </w:rPr>
            </w:r>
            <w:r>
              <w:rPr>
                <w:b w:val="0"/>
                <w:sz w:val="17"/>
              </w:rPr>
              <w:t>01</w:t>
            </w:r>
          </w:p>
        </w:tc>
        <w:tc>
          <w:tcPr>
            <w:tcW w:type="dxa" w:w="2592"/>
            <w:vAlign w:val="center"/>
          </w:tcPr>
          <w:p>
            <w:pPr>
              <w:spacing w:after="0"/>
            </w:pPr>
            <w:r>
              <w:rPr>
                <w:sz w:val="17"/>
              </w:rPr>
            </w:r>
            <w:r>
              <w:rPr>
                <w:b w:val="0"/>
                <w:sz w:val="17"/>
              </w:rPr>
              <w:t>Inventory</w:t>
            </w:r>
          </w:p>
        </w:tc>
        <w:tc>
          <w:tcPr>
            <w:tcW w:type="dxa" w:w="2592"/>
            <w:vAlign w:val="center"/>
          </w:tcPr>
          <w:p>
            <w:pPr>
              <w:spacing w:after="0"/>
            </w:pPr>
            <w:r>
              <w:rPr>
                <w:sz w:val="17"/>
              </w:rPr>
            </w:r>
            <w:r>
              <w:rPr>
                <w:b w:val="0"/>
                <w:sz w:val="17"/>
              </w:rPr>
              <w:t>Checks freshness, row counts, missing dates, raw cache range, downstream latest dates.</w:t>
            </w:r>
          </w:p>
        </w:tc>
        <w:tc>
          <w:tcPr>
            <w:tcW w:type="dxa" w:w="2592"/>
            <w:vAlign w:val="center"/>
          </w:tcPr>
          <w:p>
            <w:pPr>
              <w:spacing w:after="0"/>
            </w:pPr>
            <w:r>
              <w:rPr>
                <w:sz w:val="17"/>
              </w:rPr>
            </w:r>
            <w:r>
              <w:rPr>
                <w:b w:val="0"/>
                <w:sz w:val="17"/>
              </w:rPr>
              <w:t>No</w:t>
            </w:r>
          </w:p>
        </w:tc>
      </w:tr>
      <w:tr>
        <w:tc>
          <w:tcPr>
            <w:tcW w:type="dxa" w:w="2592"/>
            <w:vAlign w:val="center"/>
          </w:tcPr>
          <w:p>
            <w:pPr>
              <w:spacing w:after="0"/>
            </w:pPr>
            <w:r>
              <w:rPr>
                <w:sz w:val="17"/>
              </w:rPr>
            </w:r>
            <w:r>
              <w:rPr>
                <w:b w:val="0"/>
                <w:sz w:val="17"/>
              </w:rPr>
              <w:t>02</w:t>
            </w:r>
          </w:p>
        </w:tc>
        <w:tc>
          <w:tcPr>
            <w:tcW w:type="dxa" w:w="2592"/>
            <w:vAlign w:val="center"/>
          </w:tcPr>
          <w:p>
            <w:pPr>
              <w:spacing w:after="0"/>
            </w:pPr>
            <w:r>
              <w:rPr>
                <w:sz w:val="17"/>
              </w:rPr>
            </w:r>
            <w:r>
              <w:rPr>
                <w:b w:val="0"/>
                <w:sz w:val="17"/>
              </w:rPr>
              <w:t>EOD staging update</w:t>
            </w:r>
          </w:p>
        </w:tc>
        <w:tc>
          <w:tcPr>
            <w:tcW w:type="dxa" w:w="2592"/>
            <w:vAlign w:val="center"/>
          </w:tcPr>
          <w:p>
            <w:pPr>
              <w:spacing w:after="0"/>
            </w:pPr>
            <w:r>
              <w:rPr>
                <w:sz w:val="17"/>
              </w:rPr>
            </w:r>
            <w:r>
              <w:rPr>
                <w:b w:val="0"/>
                <w:sz w:val="17"/>
              </w:rPr>
              <w:t>Builds missing VIX-style term-structure rows into staging only.</w:t>
            </w:r>
          </w:p>
        </w:tc>
        <w:tc>
          <w:tcPr>
            <w:tcW w:type="dxa" w:w="2592"/>
            <w:vAlign w:val="center"/>
          </w:tcPr>
          <w:p>
            <w:pPr>
              <w:spacing w:after="0"/>
            </w:pPr>
            <w:r>
              <w:rPr>
                <w:sz w:val="17"/>
              </w:rPr>
            </w:r>
            <w:r>
              <w:rPr>
                <w:b w:val="0"/>
                <w:sz w:val="17"/>
              </w:rPr>
              <w:t>No</w:t>
            </w:r>
          </w:p>
        </w:tc>
      </w:tr>
      <w:tr>
        <w:tc>
          <w:tcPr>
            <w:tcW w:type="dxa" w:w="2592"/>
            <w:vAlign w:val="center"/>
          </w:tcPr>
          <w:p>
            <w:pPr>
              <w:spacing w:after="0"/>
            </w:pPr>
            <w:r>
              <w:rPr>
                <w:sz w:val="17"/>
              </w:rPr>
            </w:r>
            <w:r>
              <w:rPr>
                <w:b w:val="0"/>
                <w:sz w:val="17"/>
              </w:rPr>
              <w:t>03</w:t>
            </w:r>
          </w:p>
        </w:tc>
        <w:tc>
          <w:tcPr>
            <w:tcW w:type="dxa" w:w="2592"/>
            <w:vAlign w:val="center"/>
          </w:tcPr>
          <w:p>
            <w:pPr>
              <w:spacing w:after="0"/>
            </w:pPr>
            <w:r>
              <w:rPr>
                <w:sz w:val="17"/>
              </w:rPr>
            </w:r>
            <w:r>
              <w:rPr>
                <w:b w:val="0"/>
                <w:sz w:val="17"/>
              </w:rPr>
              <w:t>Append candidate</w:t>
            </w:r>
          </w:p>
        </w:tc>
        <w:tc>
          <w:tcPr>
            <w:tcW w:type="dxa" w:w="2592"/>
            <w:vAlign w:val="center"/>
          </w:tcPr>
          <w:p>
            <w:pPr>
              <w:spacing w:after="0"/>
            </w:pPr>
            <w:r>
              <w:rPr>
                <w:sz w:val="17"/>
              </w:rPr>
            </w:r>
            <w:r>
              <w:rPr>
                <w:b w:val="0"/>
                <w:sz w:val="17"/>
              </w:rPr>
              <w:t>Combines canonical history and Step 02 rows into a candidate file.</w:t>
            </w:r>
          </w:p>
        </w:tc>
        <w:tc>
          <w:tcPr>
            <w:tcW w:type="dxa" w:w="2592"/>
            <w:vAlign w:val="center"/>
          </w:tcPr>
          <w:p>
            <w:pPr>
              <w:spacing w:after="0"/>
            </w:pPr>
            <w:r>
              <w:rPr>
                <w:sz w:val="17"/>
              </w:rPr>
            </w:r>
            <w:r>
              <w:rPr>
                <w:b w:val="0"/>
                <w:sz w:val="17"/>
              </w:rPr>
              <w:t>No</w:t>
            </w:r>
          </w:p>
        </w:tc>
      </w:tr>
      <w:tr>
        <w:tc>
          <w:tcPr>
            <w:tcW w:type="dxa" w:w="2592"/>
            <w:vAlign w:val="center"/>
          </w:tcPr>
          <w:p>
            <w:pPr>
              <w:spacing w:after="0"/>
            </w:pPr>
            <w:r>
              <w:rPr>
                <w:sz w:val="17"/>
              </w:rPr>
            </w:r>
            <w:r>
              <w:rPr>
                <w:b w:val="0"/>
                <w:sz w:val="17"/>
              </w:rPr>
              <w:t>04</w:t>
            </w:r>
          </w:p>
        </w:tc>
        <w:tc>
          <w:tcPr>
            <w:tcW w:type="dxa" w:w="2592"/>
            <w:vAlign w:val="center"/>
          </w:tcPr>
          <w:p>
            <w:pPr>
              <w:spacing w:after="0"/>
            </w:pPr>
            <w:r>
              <w:rPr>
                <w:sz w:val="17"/>
              </w:rPr>
            </w:r>
            <w:r>
              <w:rPr>
                <w:b w:val="0"/>
                <w:sz w:val="17"/>
              </w:rPr>
              <w:t>Promote candidate</w:t>
            </w:r>
          </w:p>
        </w:tc>
        <w:tc>
          <w:tcPr>
            <w:tcW w:type="dxa" w:w="2592"/>
            <w:vAlign w:val="center"/>
          </w:tcPr>
          <w:p>
            <w:pPr>
              <w:spacing w:after="0"/>
            </w:pPr>
            <w:r>
              <w:rPr>
                <w:sz w:val="17"/>
              </w:rPr>
            </w:r>
            <w:r>
              <w:rPr>
                <w:b w:val="0"/>
                <w:sz w:val="17"/>
              </w:rPr>
              <w:t>Backs up and replaces the official repaired term-structure file.</w:t>
            </w:r>
          </w:p>
        </w:tc>
        <w:tc>
          <w:tcPr>
            <w:tcW w:type="dxa" w:w="2592"/>
            <w:vAlign w:val="center"/>
          </w:tcPr>
          <w:p>
            <w:pPr>
              <w:spacing w:after="0"/>
            </w:pPr>
            <w:r>
              <w:rPr>
                <w:sz w:val="17"/>
              </w:rPr>
            </w:r>
            <w:r>
              <w:rPr>
                <w:b w:val="0"/>
                <w:sz w:val="17"/>
              </w:rPr>
              <w:t>Yes</w:t>
            </w:r>
          </w:p>
        </w:tc>
      </w:tr>
      <w:tr>
        <w:tc>
          <w:tcPr>
            <w:tcW w:type="dxa" w:w="2592"/>
            <w:vAlign w:val="center"/>
          </w:tcPr>
          <w:p>
            <w:pPr>
              <w:spacing w:after="0"/>
            </w:pPr>
            <w:r>
              <w:rPr>
                <w:sz w:val="17"/>
              </w:rPr>
            </w:r>
            <w:r>
              <w:rPr>
                <w:b w:val="0"/>
                <w:sz w:val="17"/>
              </w:rPr>
              <w:t>05</w:t>
            </w:r>
          </w:p>
        </w:tc>
        <w:tc>
          <w:tcPr>
            <w:tcW w:type="dxa" w:w="2592"/>
            <w:vAlign w:val="center"/>
          </w:tcPr>
          <w:p>
            <w:pPr>
              <w:spacing w:after="0"/>
            </w:pPr>
            <w:r>
              <w:rPr>
                <w:sz w:val="17"/>
              </w:rPr>
            </w:r>
            <w:r>
              <w:rPr>
                <w:b w:val="0"/>
                <w:sz w:val="17"/>
              </w:rPr>
              <w:t>Downstream candidate</w:t>
            </w:r>
          </w:p>
        </w:tc>
        <w:tc>
          <w:tcPr>
            <w:tcW w:type="dxa" w:w="2592"/>
            <w:vAlign w:val="center"/>
          </w:tcPr>
          <w:p>
            <w:pPr>
              <w:spacing w:after="0"/>
            </w:pPr>
            <w:r>
              <w:rPr>
                <w:sz w:val="17"/>
              </w:rPr>
            </w:r>
            <w:r>
              <w:rPr>
                <w:b w:val="0"/>
                <w:sz w:val="17"/>
              </w:rPr>
              <w:t>Rebuilds realized variance, VRP panel, feature panel, latest snapshot into staging.</w:t>
            </w:r>
          </w:p>
        </w:tc>
        <w:tc>
          <w:tcPr>
            <w:tcW w:type="dxa" w:w="2592"/>
            <w:vAlign w:val="center"/>
          </w:tcPr>
          <w:p>
            <w:pPr>
              <w:spacing w:after="0"/>
            </w:pPr>
            <w:r>
              <w:rPr>
                <w:sz w:val="17"/>
              </w:rPr>
            </w:r>
            <w:r>
              <w:rPr>
                <w:b w:val="0"/>
                <w:sz w:val="17"/>
              </w:rPr>
              <w:t>No</w:t>
            </w:r>
          </w:p>
        </w:tc>
      </w:tr>
      <w:tr>
        <w:tc>
          <w:tcPr>
            <w:tcW w:type="dxa" w:w="2592"/>
            <w:vAlign w:val="center"/>
          </w:tcPr>
          <w:p>
            <w:pPr>
              <w:spacing w:after="0"/>
            </w:pPr>
            <w:r>
              <w:rPr>
                <w:sz w:val="17"/>
              </w:rPr>
            </w:r>
            <w:r>
              <w:rPr>
                <w:b w:val="0"/>
                <w:sz w:val="17"/>
              </w:rPr>
              <w:t>06</w:t>
            </w:r>
          </w:p>
        </w:tc>
        <w:tc>
          <w:tcPr>
            <w:tcW w:type="dxa" w:w="2592"/>
            <w:vAlign w:val="center"/>
          </w:tcPr>
          <w:p>
            <w:pPr>
              <w:spacing w:after="0"/>
            </w:pPr>
            <w:r>
              <w:rPr>
                <w:sz w:val="17"/>
              </w:rPr>
            </w:r>
            <w:r>
              <w:rPr>
                <w:b w:val="0"/>
                <w:sz w:val="17"/>
              </w:rPr>
              <w:t>Promote downstream</w:t>
            </w:r>
          </w:p>
        </w:tc>
        <w:tc>
          <w:tcPr>
            <w:tcW w:type="dxa" w:w="2592"/>
            <w:vAlign w:val="center"/>
          </w:tcPr>
          <w:p>
            <w:pPr>
              <w:spacing w:after="0"/>
            </w:pPr>
            <w:r>
              <w:rPr>
                <w:sz w:val="17"/>
              </w:rPr>
            </w:r>
            <w:r>
              <w:rPr>
                <w:b w:val="0"/>
                <w:sz w:val="17"/>
              </w:rPr>
              <w:t>Backs up and replaces official downstream panels.</w:t>
            </w:r>
          </w:p>
        </w:tc>
        <w:tc>
          <w:tcPr>
            <w:tcW w:type="dxa" w:w="2592"/>
            <w:vAlign w:val="center"/>
          </w:tcPr>
          <w:p>
            <w:pPr>
              <w:spacing w:after="0"/>
            </w:pPr>
            <w:r>
              <w:rPr>
                <w:sz w:val="17"/>
              </w:rPr>
            </w:r>
            <w:r>
              <w:rPr>
                <w:b w:val="0"/>
                <w:sz w:val="17"/>
              </w:rPr>
              <w:t>Yes</w:t>
            </w:r>
          </w:p>
        </w:tc>
      </w:tr>
      <w:tr>
        <w:tc>
          <w:tcPr>
            <w:tcW w:type="dxa" w:w="2592"/>
            <w:vAlign w:val="center"/>
          </w:tcPr>
          <w:p>
            <w:pPr>
              <w:spacing w:after="0"/>
            </w:pPr>
            <w:r>
              <w:rPr>
                <w:sz w:val="17"/>
              </w:rPr>
            </w:r>
            <w:r>
              <w:rPr>
                <w:b w:val="0"/>
                <w:sz w:val="17"/>
              </w:rPr>
              <w:t>07</w:t>
            </w:r>
          </w:p>
        </w:tc>
        <w:tc>
          <w:tcPr>
            <w:tcW w:type="dxa" w:w="2592"/>
            <w:vAlign w:val="center"/>
          </w:tcPr>
          <w:p>
            <w:pPr>
              <w:spacing w:after="0"/>
            </w:pPr>
            <w:r>
              <w:rPr>
                <w:sz w:val="17"/>
              </w:rPr>
            </w:r>
            <w:r>
              <w:rPr>
                <w:b w:val="0"/>
                <w:sz w:val="17"/>
              </w:rPr>
              <w:t>Signal snapshot</w:t>
            </w:r>
          </w:p>
        </w:tc>
        <w:tc>
          <w:tcPr>
            <w:tcW w:type="dxa" w:w="2592"/>
            <w:vAlign w:val="center"/>
          </w:tcPr>
          <w:p>
            <w:pPr>
              <w:spacing w:after="0"/>
            </w:pPr>
            <w:r>
              <w:rPr>
                <w:sz w:val="17"/>
              </w:rPr>
            </w:r>
            <w:r>
              <w:rPr>
                <w:b w:val="0"/>
                <w:sz w:val="17"/>
              </w:rPr>
              <w:t>Runs locked 2621 signal for the latest or specified date and saves outputs.</w:t>
            </w:r>
          </w:p>
        </w:tc>
        <w:tc>
          <w:tcPr>
            <w:tcW w:type="dxa" w:w="2592"/>
            <w:vAlign w:val="center"/>
          </w:tcPr>
          <w:p>
            <w:pPr>
              <w:spacing w:after="0"/>
            </w:pPr>
            <w:r>
              <w:rPr>
                <w:sz w:val="17"/>
              </w:rPr>
            </w:r>
            <w:r>
              <w:rPr>
                <w:b w:val="0"/>
                <w:sz w:val="17"/>
              </w:rPr>
              <w:t>Signal outputs only</w:t>
            </w:r>
          </w:p>
        </w:tc>
      </w:tr>
      <w:tr>
        <w:tc>
          <w:tcPr>
            <w:tcW w:type="dxa" w:w="2592"/>
            <w:vAlign w:val="center"/>
          </w:tcPr>
          <w:p>
            <w:pPr>
              <w:spacing w:after="0"/>
            </w:pPr>
            <w:r>
              <w:rPr>
                <w:sz w:val="17"/>
              </w:rPr>
            </w:r>
            <w:r>
              <w:rPr>
                <w:b w:val="0"/>
                <w:sz w:val="17"/>
              </w:rPr>
              <w:t>08</w:t>
            </w:r>
          </w:p>
        </w:tc>
        <w:tc>
          <w:tcPr>
            <w:tcW w:type="dxa" w:w="2592"/>
            <w:vAlign w:val="center"/>
          </w:tcPr>
          <w:p>
            <w:pPr>
              <w:spacing w:after="0"/>
            </w:pPr>
            <w:r>
              <w:rPr>
                <w:sz w:val="17"/>
              </w:rPr>
            </w:r>
            <w:r>
              <w:rPr>
                <w:b w:val="0"/>
                <w:sz w:val="17"/>
              </w:rPr>
              <w:t>Daily pipeline wrapper</w:t>
            </w:r>
          </w:p>
        </w:tc>
        <w:tc>
          <w:tcPr>
            <w:tcW w:type="dxa" w:w="2592"/>
            <w:vAlign w:val="center"/>
          </w:tcPr>
          <w:p>
            <w:pPr>
              <w:spacing w:after="0"/>
            </w:pPr>
            <w:r>
              <w:rPr>
                <w:sz w:val="17"/>
              </w:rPr>
            </w:r>
            <w:r>
              <w:rPr>
                <w:b w:val="0"/>
                <w:sz w:val="17"/>
              </w:rPr>
              <w:t>One-command orchestrator. Skips current stages and runs only needed updates plus signal.</w:t>
            </w:r>
          </w:p>
        </w:tc>
        <w:tc>
          <w:tcPr>
            <w:tcW w:type="dxa" w:w="2592"/>
            <w:vAlign w:val="center"/>
          </w:tcPr>
          <w:p>
            <w:pPr>
              <w:spacing w:after="0"/>
            </w:pPr>
            <w:r>
              <w:rPr>
                <w:sz w:val="17"/>
              </w:rPr>
            </w:r>
            <w:r>
              <w:rPr>
                <w:b w:val="0"/>
                <w:sz w:val="17"/>
              </w:rPr>
              <w:t>Yes, if updates needed</w:t>
            </w:r>
          </w:p>
        </w:tc>
      </w:tr>
      <w:tr>
        <w:tc>
          <w:tcPr>
            <w:tcW w:type="dxa" w:w="2592"/>
            <w:vAlign w:val="center"/>
          </w:tcPr>
          <w:p>
            <w:pPr>
              <w:spacing w:after="0"/>
            </w:pPr>
            <w:r>
              <w:rPr>
                <w:sz w:val="17"/>
              </w:rPr>
            </w:r>
            <w:r>
              <w:rPr>
                <w:b w:val="0"/>
                <w:sz w:val="17"/>
              </w:rPr>
              <w:t>09</w:t>
            </w:r>
          </w:p>
        </w:tc>
        <w:tc>
          <w:tcPr>
            <w:tcW w:type="dxa" w:w="2592"/>
            <w:vAlign w:val="center"/>
          </w:tcPr>
          <w:p>
            <w:pPr>
              <w:spacing w:after="0"/>
            </w:pPr>
            <w:r>
              <w:rPr>
                <w:sz w:val="17"/>
              </w:rPr>
            </w:r>
            <w:r>
              <w:rPr>
                <w:b w:val="0"/>
                <w:sz w:val="17"/>
              </w:rPr>
              <w:t>Streamlit dashboard</w:t>
            </w:r>
          </w:p>
        </w:tc>
        <w:tc>
          <w:tcPr>
            <w:tcW w:type="dxa" w:w="2592"/>
            <w:vAlign w:val="center"/>
          </w:tcPr>
          <w:p>
            <w:pPr>
              <w:spacing w:after="0"/>
            </w:pPr>
            <w:r>
              <w:rPr>
                <w:sz w:val="17"/>
              </w:rPr>
            </w:r>
            <w:r>
              <w:rPr>
                <w:b w:val="0"/>
                <w:sz w:val="17"/>
              </w:rPr>
              <w:t>User-facing local dashboard with health, signal, data explorer, run controls, and reports.</w:t>
            </w:r>
          </w:p>
        </w:tc>
        <w:tc>
          <w:tcPr>
            <w:tcW w:type="dxa" w:w="2592"/>
            <w:vAlign w:val="center"/>
          </w:tcPr>
          <w:p>
            <w:pPr>
              <w:spacing w:after="0"/>
            </w:pPr>
            <w:r>
              <w:rPr>
                <w:sz w:val="17"/>
              </w:rPr>
            </w:r>
            <w:r>
              <w:rPr>
                <w:b w:val="0"/>
                <w:sz w:val="17"/>
              </w:rPr>
              <w:t>No</w:t>
            </w:r>
          </w:p>
        </w:tc>
      </w:tr>
    </w:tbl>
    <w:p>
      <w:pPr>
        <w:pStyle w:val="Heading1"/>
      </w:pPr>
      <w:r>
        <w:t>9. Current dashboard design</w:t>
      </w:r>
    </w:p>
    <w:p>
      <w:r>
        <w:t>The Streamlit dashboard is the beginning of the user-friendly control center. The goal is to replace command-line interaction with a dashboard that proves the data chain is healthy and explains the signal.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shd w:fill="1F4E79"/>
          </w:tcPr>
          <w:p>
            <w:pPr>
              <w:spacing w:after="0"/>
            </w:pPr>
            <w:r>
              <w:rPr>
                <w:sz w:val="17"/>
              </w:rPr>
            </w:r>
            <w:r>
              <w:rPr>
                <w:b/>
                <w:color w:val="FFFFFF"/>
                <w:sz w:val="17"/>
              </w:rPr>
              <w:t>Tab / section</w:t>
            </w:r>
          </w:p>
        </w:tc>
        <w:tc>
          <w:tcPr>
            <w:tcW w:type="dxa" w:w="5184"/>
            <w:vAlign w:val="center"/>
            <w:shd w:fill="1F4E79"/>
          </w:tcPr>
          <w:p>
            <w:pPr>
              <w:spacing w:after="0"/>
            </w:pPr>
            <w:r>
              <w:rPr>
                <w:sz w:val="17"/>
              </w:rPr>
            </w:r>
            <w:r>
              <w:rPr>
                <w:b/>
                <w:color w:val="FFFFFF"/>
                <w:sz w:val="17"/>
              </w:rPr>
              <w:t>Purpose</w:t>
            </w:r>
          </w:p>
        </w:tc>
      </w:tr>
      <w:tr>
        <w:tc>
          <w:tcPr>
            <w:tcW w:type="dxa" w:w="5184"/>
            <w:vAlign w:val="center"/>
          </w:tcPr>
          <w:p>
            <w:pPr>
              <w:spacing w:after="0"/>
            </w:pPr>
            <w:r>
              <w:rPr>
                <w:sz w:val="17"/>
              </w:rPr>
            </w:r>
            <w:r>
              <w:rPr>
                <w:b w:val="0"/>
                <w:sz w:val="17"/>
              </w:rPr>
              <w:t>Health</w:t>
            </w:r>
          </w:p>
        </w:tc>
        <w:tc>
          <w:tcPr>
            <w:tcW w:type="dxa" w:w="5184"/>
            <w:vAlign w:val="center"/>
          </w:tcPr>
          <w:p>
            <w:pPr>
              <w:spacing w:after="0"/>
            </w:pPr>
            <w:r>
              <w:rPr>
                <w:sz w:val="17"/>
              </w:rPr>
            </w:r>
            <w:r>
              <w:rPr>
                <w:b w:val="0"/>
                <w:sz w:val="17"/>
              </w:rPr>
              <w:t>Data freshness, latest dates, missing EOD dates, and current production status.</w:t>
            </w:r>
          </w:p>
        </w:tc>
      </w:tr>
      <w:tr>
        <w:tc>
          <w:tcPr>
            <w:tcW w:type="dxa" w:w="5184"/>
            <w:vAlign w:val="center"/>
          </w:tcPr>
          <w:p>
            <w:pPr>
              <w:spacing w:after="0"/>
            </w:pPr>
            <w:r>
              <w:rPr>
                <w:sz w:val="17"/>
              </w:rPr>
            </w:r>
            <w:r>
              <w:rPr>
                <w:b w:val="0"/>
                <w:sz w:val="17"/>
              </w:rPr>
              <w:t>Signal</w:t>
            </w:r>
          </w:p>
        </w:tc>
        <w:tc>
          <w:tcPr>
            <w:tcW w:type="dxa" w:w="5184"/>
            <w:vAlign w:val="center"/>
          </w:tcPr>
          <w:p>
            <w:pPr>
              <w:spacing w:after="0"/>
            </w:pPr>
            <w:r>
              <w:rPr>
                <w:sz w:val="17"/>
              </w:rPr>
            </w:r>
            <w:r>
              <w:rPr>
                <w:b w:val="0"/>
                <w:sz w:val="17"/>
              </w:rPr>
              <w:t>Latest trade / no-trade decision, selected tenor if any, pass/fail table, and reasons.</w:t>
            </w:r>
          </w:p>
        </w:tc>
      </w:tr>
      <w:tr>
        <w:tc>
          <w:tcPr>
            <w:tcW w:type="dxa" w:w="5184"/>
            <w:vAlign w:val="center"/>
          </w:tcPr>
          <w:p>
            <w:pPr>
              <w:spacing w:after="0"/>
            </w:pPr>
            <w:r>
              <w:rPr>
                <w:sz w:val="17"/>
              </w:rPr>
            </w:r>
            <w:r>
              <w:rPr>
                <w:b w:val="0"/>
                <w:sz w:val="17"/>
              </w:rPr>
              <w:t>Data Explorer</w:t>
            </w:r>
          </w:p>
        </w:tc>
        <w:tc>
          <w:tcPr>
            <w:tcW w:type="dxa" w:w="5184"/>
            <w:vAlign w:val="center"/>
          </w:tcPr>
          <w:p>
            <w:pPr>
              <w:spacing w:after="0"/>
            </w:pPr>
            <w:r>
              <w:rPr>
                <w:sz w:val="17"/>
              </w:rPr>
            </w:r>
            <w:r>
              <w:rPr>
                <w:b w:val="0"/>
                <w:sz w:val="17"/>
              </w:rPr>
              <w:t>At least one year of SPX, SOFR, VIX-style vols, forecast vols, variance, RSI, z-scores, pass/fail flags, and audit fields.</w:t>
            </w:r>
          </w:p>
        </w:tc>
      </w:tr>
      <w:tr>
        <w:tc>
          <w:tcPr>
            <w:tcW w:type="dxa" w:w="5184"/>
            <w:vAlign w:val="center"/>
          </w:tcPr>
          <w:p>
            <w:pPr>
              <w:spacing w:after="0"/>
            </w:pPr>
            <w:r>
              <w:rPr>
                <w:sz w:val="17"/>
              </w:rPr>
            </w:r>
            <w:r>
              <w:rPr>
                <w:b w:val="0"/>
                <w:sz w:val="17"/>
              </w:rPr>
              <w:t>Run</w:t>
            </w:r>
          </w:p>
        </w:tc>
        <w:tc>
          <w:tcPr>
            <w:tcW w:type="dxa" w:w="5184"/>
            <w:vAlign w:val="center"/>
          </w:tcPr>
          <w:p>
            <w:pPr>
              <w:spacing w:after="0"/>
            </w:pPr>
            <w:r>
              <w:rPr>
                <w:sz w:val="17"/>
              </w:rPr>
            </w:r>
            <w:r>
              <w:rPr>
                <w:b w:val="0"/>
                <w:sz w:val="17"/>
              </w:rPr>
              <w:t>Buttons to run the daily EOD pipeline, signal only, and inventory checks.</w:t>
            </w:r>
          </w:p>
        </w:tc>
      </w:tr>
      <w:tr>
        <w:tc>
          <w:tcPr>
            <w:tcW w:type="dxa" w:w="5184"/>
            <w:vAlign w:val="center"/>
          </w:tcPr>
          <w:p>
            <w:pPr>
              <w:spacing w:after="0"/>
            </w:pPr>
            <w:r>
              <w:rPr>
                <w:sz w:val="17"/>
              </w:rPr>
            </w:r>
            <w:r>
              <w:rPr>
                <w:b w:val="0"/>
                <w:sz w:val="17"/>
              </w:rPr>
              <w:t>Reports</w:t>
            </w:r>
          </w:p>
        </w:tc>
        <w:tc>
          <w:tcPr>
            <w:tcW w:type="dxa" w:w="5184"/>
            <w:vAlign w:val="center"/>
          </w:tcPr>
          <w:p>
            <w:pPr>
              <w:spacing w:after="0"/>
            </w:pPr>
            <w:r>
              <w:rPr>
                <w:sz w:val="17"/>
              </w:rPr>
            </w:r>
            <w:r>
              <w:rPr>
                <w:b w:val="0"/>
                <w:sz w:val="17"/>
              </w:rPr>
              <w:t>Recent audit reports and logs.</w:t>
            </w:r>
          </w:p>
        </w:tc>
      </w:tr>
    </w:tbl>
    <w:p>
      <w:pPr>
        <w:pStyle w:val="Heading1"/>
      </w:pPr>
      <w:r>
        <w:t>10. Intraday roadmap</w:t>
      </w:r>
    </w:p>
    <w:p>
      <w:r>
        <w:t>Intraday is intentionally separate from EOD. EOD rows are the official research and backtest record. Intraday rows are live decision support and should not be appended to the official EOD panel.</w:t>
      </w:r>
    </w:p>
    <w:p>
      <w:pPr>
        <w:pStyle w:val="ListNumber"/>
      </w:pPr>
      <w:r>
        <w:t>Pull current SPX level from a live source.</w:t>
      </w:r>
    </w:p>
    <w:p>
      <w:pPr>
        <w:pStyle w:val="ListNumber"/>
      </w:pPr>
      <w:r>
        <w:t>Pull current ThetaData option chains every 15 minutes during market hours.</w:t>
      </w:r>
    </w:p>
    <w:p>
      <w:pPr>
        <w:pStyle w:val="ListNumber"/>
      </w:pPr>
      <w:r>
        <w:t>Build live 9-tenor VIX-style term structure using intraday quote times.</w:t>
      </w:r>
    </w:p>
    <w:p>
      <w:pPr>
        <w:pStyle w:val="ListNumber"/>
      </w:pPr>
      <w:r>
        <w:t>Run intraday-specific curve QA and save an intraday snapshot table.</w:t>
      </w:r>
    </w:p>
    <w:p>
      <w:pPr>
        <w:pStyle w:val="ListNumber"/>
      </w:pPr>
      <w:r>
        <w:t>Compute live VRP, z-scores, pass/fail flags, and signal state.</w:t>
      </w:r>
    </w:p>
    <w:p>
      <w:pPr>
        <w:pStyle w:val="ListNumber"/>
      </w:pPr>
      <w:r>
        <w:t>Update dashboard visuals and log every intraday snapshot.</w:t>
      </w:r>
    </w:p>
    <w:p>
      <w:pPr>
        <w:pStyle w:val="Heading1"/>
      </w:pPr>
      <w:r>
        <w:t>11. Risk and governance notes</w:t>
      </w:r>
    </w:p>
    <w:p>
      <w:pPr>
        <w:pStyle w:val="ListBullet"/>
      </w:pPr>
      <w:r>
        <w:t>Production v1 is a signal cockpit, not an execution engine.</w:t>
      </w:r>
    </w:p>
    <w:p>
      <w:pPr>
        <w:pStyle w:val="ListBullet"/>
      </w:pPr>
      <w:r>
        <w:t>Every signal remains subject to manual review.</w:t>
      </w:r>
    </w:p>
    <w:p>
      <w:pPr>
        <w:pStyle w:val="ListBullet"/>
      </w:pPr>
      <w:r>
        <w:t>The per-trade size is a proposed max-risk number, not an instruction to trade at that size automatically.</w:t>
      </w:r>
    </w:p>
    <w:p>
      <w:pPr>
        <w:pStyle w:val="ListBullet"/>
      </w:pPr>
      <w:r>
        <w:t>The project still needs portfolio overlap checks, open-risk exposure, stress capacity, hedge logic, and trade construction rules before it becomes a complete trading workflow.</w:t>
      </w:r>
    </w:p>
    <w:p>
      <w:pPr>
        <w:pStyle w:val="ListBullet"/>
      </w:pPr>
      <w:r>
        <w:t>The dashboard should make every number traceable from raw data to final signal.</w:t>
      </w:r>
    </w:p>
    <w:p>
      <w:pPr>
        <w:pStyle w:val="Heading1"/>
      </w:pPr>
      <w:r>
        <w:t>12. Source materials used</w:t>
      </w:r>
    </w:p>
    <w:p>
      <w:pPr>
        <w:pStyle w:val="ListBullet"/>
      </w:pPr>
      <w:r>
        <w:t>ThetaData VIX-Style Variance Term-Structure Build documentation.</w:t>
      </w:r>
    </w:p>
    <w:p>
      <w:pPr>
        <w:pStyle w:val="ListBullet"/>
      </w:pPr>
      <w:r>
        <w:t>Locked 2621 SPX VRP Signal and Per-Trade Sizing documentation.</w:t>
      </w:r>
    </w:p>
    <w:p>
      <w:pPr>
        <w:pStyle w:val="ListBullet"/>
      </w:pPr>
      <w:r>
        <w:t>Production v1 Roadmap and dashboard requirements.</w:t>
      </w:r>
    </w:p>
    <w:p>
      <w:pPr>
        <w:pStyle w:val="ListBullet"/>
      </w:pPr>
      <w:r>
        <w:t>Step 01-09 production run outputs from the July 3, 2026 build session.</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for daily VRP production use - not an automated trading instruction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VRP Production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